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2.svg" ContentType="image/svg+xml"/>
  <Override PartName="/word/media/rId33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9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Start w:id="28" w:name="X5648d77f271f43fcab324fc7dc4a2c9131e2294"/>
    <w:p>
      <w:pPr>
        <w:pStyle w:val="Heading3"/>
      </w:pPr>
      <w:r>
        <w:t xml:space="preserve">4.2 Out-of-Domain Validation Expansion (Additional Area/Year Transfer)</w:t>
      </w:r>
    </w:p>
    <w:p>
      <w:pPr>
        <w:numPr>
          <w:ilvl w:val="0"/>
          <w:numId w:val="1007"/>
        </w:numPr>
        <w:pStyle w:val="Compact"/>
      </w:pPr>
      <w:r>
        <w:t xml:space="preserve">Detail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7"/>
        </w:numPr>
        <w:pStyle w:val="Compact"/>
      </w:pPr>
      <w:r>
        <w:t xml:space="preserve">Summary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cross_year_transfer / own_ship: mean F1=0.7479, mean model gap=+0.1378, negative Δ count=1, low-support=0</w:t>
      </w:r>
      <w:r>
        <w:t xml:space="preserve"> </w:t>
      </w:r>
      <w:r>
        <w:t xml:space="preserve">- true_unseen_area / own_ship: mean F1=0.7293, mean model gap=+0.1460, negative Δ count=0, low-support=0</w:t>
      </w:r>
      <w:r>
        <w:t xml:space="preserve"> </w:t>
      </w:r>
      <w:r>
        <w:t xml:space="preserve">- true_unseen_area / timestamp: mean F1=0.6357, mean model gap=-0.0521, negative Δ count=0, low-support=0</w:t>
      </w:r>
      <w:r>
        <w:t xml:space="preserve"> </w:t>
      </w:r>
      <w:r>
        <w:t xml:space="preserve">- Source-summary cross-check: true_area_row_count=8, transfer_row_count=6, true_area_low_support_count=0</w:t>
      </w:r>
    </w:p>
    <w:bookmarkEnd w:id="28"/>
    <w:bookmarkEnd w:id="29"/>
    <w:bookmarkStart w:id="30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30"/>
    <w:bookmarkStart w:id="35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8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6"/>
    <w:bookmarkStart w:id="37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9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7"/>
    <w:bookmarkStart w:id="38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10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0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0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8"/>
    <w:bookmarkStart w:id="39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1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1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9"/>
    <w:bookmarkStart w:id="40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2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2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Bilingual parity report: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Out-of-domain validation appendix: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0"/>
    <w:bookmarkStart w:id="41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3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3"/>
        </w:numPr>
        <w:pStyle w:val="Compact"/>
      </w:pPr>
      <w:r>
        <w:t xml:space="preserve">It maps each core claim to supporting literature and explicitly documents residual gaps.</w:t>
      </w:r>
    </w:p>
    <w:bookmarkEnd w:id="41"/>
    <w:bookmarkStart w:id="42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4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4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2"/>
    <w:bookmarkStart w:id="43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5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5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5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3"/>
    <w:bookmarkStart w:id="44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6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6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4"/>
    <w:bookmarkStart w:id="45" w:name="X87628fc250d7b1867276627138d9078c8975729"/>
    <w:p>
      <w:pPr>
        <w:pStyle w:val="Heading2"/>
      </w:pPr>
      <w:r>
        <w:t xml:space="preserve">16. Threshold Utility Appendix (Operational Cost Profile)</w:t>
      </w:r>
    </w:p>
    <w:p>
      <w:pPr>
        <w:numPr>
          <w:ilvl w:val="0"/>
          <w:numId w:val="1017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7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7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2026-04-09T12:44:34Z</dcterms:created>
  <dcterms:modified xsi:type="dcterms:W3CDTF">2026-04-09T12:44:34Z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