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svg" ContentType="image/svg+xml"/>
  <Override PartName="/word/media/rId33.svg" ContentType="image/svg+xml"/>
  <Override PartName="/word/media/rId34.svg" ContentType="image/svg+xml"/>
  <Override PartName="/word/media/rId3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9cf75eb6c88c04ea3d3656b65c138eab314f5a4"/>
    <w:p>
      <w:pPr>
        <w:pStyle w:val="Heading1"/>
      </w:pPr>
      <w:r>
        <w:t xml:space="preserve">AIS Collision-Risk Heatmap Manuscript Draft v0.2 (English)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This study evaluates whether AIS-based model training can estimate area-level collision risk and support navigation decisions through heatmap + contour visualization.</w:t>
      </w:r>
    </w:p>
    <w:bookmarkEnd w:id="20"/>
    <w:bookmarkStart w:id="25" w:name="X5d1c2e49801f299774678c7b6515d0b9eecf2c9"/>
    <w:p>
      <w:pPr>
        <w:pStyle w:val="Heading2"/>
      </w:pPr>
      <w:r>
        <w:t xml:space="preserve">2. Data, Evaluation Setup, and Governance Protocol</w:t>
      </w:r>
    </w:p>
    <w:p>
      <w:pPr>
        <w:numPr>
          <w:ilvl w:val="0"/>
          <w:numId w:val="1001"/>
        </w:numPr>
        <w:pStyle w:val="Compact"/>
      </w:pPr>
      <w:r>
        <w:t xml:space="preserve">Datasets: Houston, NOLA, Seattle pooled pairwise</w:t>
      </w:r>
    </w:p>
    <w:p>
      <w:pPr>
        <w:numPr>
          <w:ilvl w:val="0"/>
          <w:numId w:val="1001"/>
        </w:numPr>
        <w:pStyle w:val="Compact"/>
      </w:pPr>
      <w:r>
        <w:t xml:space="preserve">Model families: tabular + regional_raster_cnn + rule baseline</w:t>
      </w:r>
    </w:p>
    <w:p>
      <w:pPr>
        <w:numPr>
          <w:ilvl w:val="0"/>
          <w:numId w:val="1001"/>
        </w:numPr>
        <w:pStyle w:val="Compact"/>
      </w:pPr>
      <w:r>
        <w:t xml:space="preserve">Validation axes: in-time, out-of-time, cross-region transfer, and calibration (ECE)</w:t>
      </w:r>
    </w:p>
    <w:p>
      <w:pPr>
        <w:numPr>
          <w:ilvl w:val="0"/>
          <w:numId w:val="1001"/>
        </w:numPr>
        <w:pStyle w:val="Compact"/>
      </w:pPr>
      <w:r>
        <w:t xml:space="preserve">Seed policy: 10-seed summaries are treated as the default reporting unit</w:t>
      </w:r>
    </w:p>
    <w:bookmarkStart w:id="21" w:name="data-filtering-policy"/>
    <w:p>
      <w:pPr>
        <w:pStyle w:val="Heading3"/>
      </w:pPr>
      <w:r>
        <w:t xml:space="preserve">2.1 Data Filtering Policy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PP-01</w:t>
      </w:r>
      <w:r>
        <w:t xml:space="preserve">: deduplicate by</w:t>
      </w:r>
      <w:r>
        <w:t xml:space="preserve"> </w:t>
      </w:r>
      <w:r>
        <w:rPr>
          <w:rStyle w:val="VerbatimChar"/>
        </w:rPr>
        <w:t xml:space="preserve">mmsi + timestamp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PP-02</w:t>
      </w:r>
      <w:r>
        <w:t xml:space="preserve">: remove invalid latitude/longitude range records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PP-03</w:t>
      </w:r>
      <w:r>
        <w:t xml:space="preserve">: remove</w:t>
      </w:r>
      <w:r>
        <w:t xml:space="preserve"> </w:t>
      </w:r>
      <w:r>
        <w:rPr>
          <w:rStyle w:val="VerbatimChar"/>
        </w:rPr>
        <w:t xml:space="preserve">sog &lt; 0</w:t>
      </w:r>
      <w:r>
        <w:t xml:space="preserve"> </w:t>
      </w:r>
      <w:r>
        <w:t xml:space="preserve">and screen unrealistic speed outliers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PP-04</w:t>
      </w:r>
      <w:r>
        <w:t xml:space="preserve">: fallback from missing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PP-05~PP-07</w:t>
      </w:r>
      <w:r>
        <w:t xml:space="preserve">: sort by MMSI timestamp, split long gaps, and interpolate only small gaps</w:t>
      </w:r>
    </w:p>
    <w:bookmarkEnd w:id="21"/>
    <w:bookmarkStart w:id="22" w:name="split-policy"/>
    <w:p>
      <w:pPr>
        <w:pStyle w:val="Heading3"/>
      </w:pPr>
      <w:r>
        <w:t xml:space="preserve">2.2 Split Policy</w:t>
      </w:r>
    </w:p>
    <w:p>
      <w:pPr>
        <w:numPr>
          <w:ilvl w:val="0"/>
          <w:numId w:val="1003"/>
        </w:numPr>
        <w:pStyle w:val="Compact"/>
      </w:pPr>
      <w:r>
        <w:t xml:space="preserve">Timestamp split is the baseline temporal generalization check.</w:t>
      </w:r>
    </w:p>
    <w:p>
      <w:pPr>
        <w:numPr>
          <w:ilvl w:val="0"/>
          <w:numId w:val="1003"/>
        </w:numPr>
        <w:pStyle w:val="Compact"/>
      </w:pPr>
      <w:r>
        <w:t xml:space="preserve">Own-ship split/LOO evaluates vessel-conditioned generalization.</w:t>
      </w:r>
    </w:p>
    <w:p>
      <w:pPr>
        <w:numPr>
          <w:ilvl w:val="0"/>
          <w:numId w:val="1003"/>
        </w:numPr>
        <w:pStyle w:val="Compact"/>
      </w:pPr>
      <w:r>
        <w:t xml:space="preserve">Own-ship case repeat tracks repeatability (F1 std and CI width).</w:t>
      </w:r>
    </w:p>
    <w:bookmarkEnd w:id="22"/>
    <w:bookmarkStart w:id="23" w:name="threshold-governance"/>
    <w:p>
      <w:pPr>
        <w:pStyle w:val="Heading3"/>
      </w:pPr>
      <w:r>
        <w:t xml:space="preserve">2.3 Threshold Governance</w:t>
      </w:r>
    </w:p>
    <w:p>
      <w:pPr>
        <w:numPr>
          <w:ilvl w:val="0"/>
          <w:numId w:val="1004"/>
        </w:numPr>
        <w:pStyle w:val="Compact"/>
      </w:pPr>
      <w:r>
        <w:t xml:space="preserve">Model selection uses</w:t>
      </w:r>
      <w:r>
        <w:t xml:space="preserve"> </w:t>
      </w:r>
      <w:r>
        <w:rPr>
          <w:rStyle w:val="VerbatimChar"/>
        </w:rPr>
        <w:t xml:space="preserve">ECE gate(&lt;=0.1)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F1-first with variance tie-break</w:t>
      </w:r>
      <w:r>
        <w:t xml:space="preserve"> </w:t>
      </w:r>
      <w:r>
        <w:t xml:space="preserve">policy.</w:t>
      </w:r>
    </w:p>
    <w:p>
      <w:pPr>
        <w:numPr>
          <w:ilvl w:val="0"/>
          <w:numId w:val="1004"/>
        </w:numPr>
        <w:pStyle w:val="Compact"/>
      </w:pPr>
      <w:r>
        <w:t xml:space="preserve">Transfer evaluation applies the source-selected threshold unchanged on target region.</w:t>
      </w:r>
    </w:p>
    <w:p>
      <w:pPr>
        <w:numPr>
          <w:ilvl w:val="0"/>
          <w:numId w:val="1004"/>
        </w:numPr>
        <w:pStyle w:val="Compact"/>
      </w:pPr>
      <w:r>
        <w:t xml:space="preserve">Every threshold change is logged with rationale, approval, and performance/calibration impact.</w:t>
      </w:r>
    </w:p>
    <w:bookmarkEnd w:id="23"/>
    <w:bookmarkStart w:id="24" w:name="X25888f681a01cd63ea71945f22264d361714f42"/>
    <w:p>
      <w:pPr>
        <w:pStyle w:val="Heading3"/>
      </w:pPr>
      <w:r>
        <w:t xml:space="preserve">2.4 Label-Generation Policy (Near-Miss Proxy Grounding)</w:t>
      </w:r>
    </w:p>
    <w:p>
      <w:pPr>
        <w:numPr>
          <w:ilvl w:val="0"/>
          <w:numId w:val="1005"/>
        </w:numPr>
        <w:pStyle w:val="Compact"/>
      </w:pPr>
      <w:r>
        <w:t xml:space="preserve">Deterministic label rule:</w:t>
      </w:r>
      <w:r>
        <w:t xml:space="preserve"> </w:t>
      </w:r>
      <w:r>
        <w:rPr>
          <w:rStyle w:val="VerbatimChar"/>
        </w:rPr>
        <w:t xml:space="preserve">label_future_conflict = 1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</w:rPr>
        <w:t xml:space="preserve">future_min_distance_nm &lt;= label_distance_nm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Default configuration:</w:t>
      </w:r>
      <w:r>
        <w:t xml:space="preserve"> </w:t>
      </w:r>
      <w:r>
        <w:rPr>
          <w:rStyle w:val="VerbatimChar"/>
        </w:rPr>
        <w:t xml:space="preserve">label_distance_nm=0.5 NM</w:t>
      </w:r>
      <w:r>
        <w:t xml:space="preserve">,</w:t>
      </w:r>
      <w:r>
        <w:t xml:space="preserve"> </w:t>
      </w:r>
      <w:r>
        <w:rPr>
          <w:rStyle w:val="VerbatimChar"/>
        </w:rPr>
        <w:t xml:space="preserve">horizon=15 minutes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future_points_used &gt;= 2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learning target is therefore a reconstructed-trajectory near-miss proxy, not an actual collision ground truth (</w:t>
      </w:r>
      <w:r>
        <w:rPr>
          <w:rStyle w:val="VerbatimChar"/>
        </w:rPr>
        <w:t xml:space="preserve">RW-03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Operational interpretation: this label supports early-warning prioritization, not legal collision adjudication.</w:t>
      </w:r>
    </w:p>
    <w:bookmarkEnd w:id="24"/>
    <w:bookmarkEnd w:id="25"/>
    <w:bookmarkStart w:id="27" w:name="final-model-selection-10-seed"/>
    <w:p>
      <w:pPr>
        <w:pStyle w:val="Heading2"/>
      </w:pPr>
      <w:r>
        <w:t xml:space="preserve">3. Final Model Selection (10-seed)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model_family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f1_mean_10seed</w:t>
            </w:r>
          </w:p>
        </w:tc>
        <w:tc>
          <w:p>
            <w:pPr>
              <w:pStyle w:val="Compact"/>
              <w:jc w:val="left"/>
            </w:pPr>
            <w:r>
              <w:t xml:space="preserve">ece_mean_10seed</w:t>
            </w:r>
          </w:p>
        </w:tc>
        <w:tc>
          <w:p>
            <w:pPr>
              <w:pStyle w:val="Compact"/>
              <w:jc w:val="left"/>
            </w:pPr>
            <w:r>
              <w:t xml:space="preserve">f1_single_eval</w:t>
            </w:r>
          </w:p>
        </w:tc>
        <w:tc>
          <w:p>
            <w:pPr>
              <w:pStyle w:val="Compact"/>
              <w:jc w:val="left"/>
            </w:pPr>
            <w:r>
              <w:t xml:space="preserve">ece_single_eval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0.8174</w:t>
            </w:r>
          </w:p>
        </w:tc>
        <w:tc>
          <w:p>
            <w:pPr>
              <w:pStyle w:val="Compact"/>
              <w:jc w:val="left"/>
            </w:pPr>
            <w:r>
              <w:t xml:space="preserve">0.0300</w:t>
            </w:r>
          </w:p>
        </w:tc>
        <w:tc>
          <w:p>
            <w:pPr>
              <w:pStyle w:val="Compact"/>
              <w:jc w:val="left"/>
            </w:pPr>
            <w:r>
              <w:t xml:space="preserve">0.8148</w:t>
            </w:r>
          </w:p>
        </w:tc>
        <w:tc>
          <w:p>
            <w:pPr>
              <w:pStyle w:val="Compact"/>
              <w:jc w:val="left"/>
            </w:pPr>
            <w:r>
              <w:t xml:space="preserve">0.0289</w:t>
            </w:r>
          </w:p>
        </w:tc>
      </w:tr>
    </w:tbl>
    <w:p>
      <w:pPr>
        <w:pStyle w:val="BodyText"/>
      </w:pPr>
      <w:r>
        <w:t xml:space="preserve">Interpretation: all three regions satisfy the ECE gate, and the final model is chosen by performance/variance tradeoff.</w:t>
      </w:r>
      <w:r>
        <w:t xml:space="preserve"> </w:t>
      </w:r>
      <w:r>
        <w:rPr>
          <w:rStyle w:val="VerbatimChar"/>
        </w:rPr>
        <w:t xml:space="preserve">hgbt</w:t>
      </w:r>
      <w:r>
        <w:t xml:space="preserve"> </w:t>
      </w:r>
      <w:r>
        <w:t xml:space="preserve">is selected for Houston and NOLA, while</w:t>
      </w:r>
      <w:r>
        <w:t xml:space="preserve"> </w:t>
      </w:r>
      <w:r>
        <w:rPr>
          <w:rStyle w:val="VerbatimChar"/>
        </w:rPr>
        <w:t xml:space="preserve">extra_trees</w:t>
      </w:r>
      <w:r>
        <w:t xml:space="preserve"> </w:t>
      </w:r>
      <w:r>
        <w:t xml:space="preserve">is selected for Seattle.</w:t>
      </w:r>
    </w:p>
    <w:bookmarkStart w:id="26" w:name="uncertainty-95-ci"/>
    <w:p>
      <w:pPr>
        <w:pStyle w:val="Heading3"/>
      </w:pPr>
      <w:r>
        <w:t xml:space="preserve">3.1 Uncertainty (95% CI)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f1_mean_10seed</w:t>
            </w:r>
          </w:p>
        </w:tc>
        <w:tc>
          <w:p>
            <w:pPr>
              <w:pStyle w:val="Compact"/>
              <w:jc w:val="left"/>
            </w:pPr>
            <w:r>
              <w:t xml:space="preserve">f1_std_10seed</w:t>
            </w:r>
          </w:p>
        </w:tc>
        <w:tc>
          <w:p>
            <w:pPr>
              <w:pStyle w:val="Compact"/>
              <w:jc w:val="left"/>
            </w:pPr>
            <w:r>
              <w:t xml:space="preserve">f1_ci95_low_10seed</w:t>
            </w:r>
          </w:p>
        </w:tc>
        <w:tc>
          <w:p>
            <w:pPr>
              <w:pStyle w:val="Compact"/>
              <w:jc w:val="left"/>
            </w:pPr>
            <w:r>
              <w:t xml:space="preserve">f1_ci95_high_10seed</w:t>
            </w:r>
          </w:p>
        </w:tc>
        <w:tc>
          <w:p>
            <w:pPr>
              <w:pStyle w:val="Compact"/>
              <w:jc w:val="left"/>
            </w:pPr>
            <w:r>
              <w:t xml:space="preserve">ece_mean_10seed</w:t>
            </w:r>
          </w:p>
        </w:tc>
        <w:tc>
          <w:p>
            <w:pPr>
              <w:pStyle w:val="Compact"/>
              <w:jc w:val="left"/>
            </w:pPr>
            <w:r>
              <w:t xml:space="preserve">ece_std_10seed</w:t>
            </w:r>
          </w:p>
        </w:tc>
        <w:tc>
          <w:p>
            <w:pPr>
              <w:pStyle w:val="Compact"/>
              <w:jc w:val="left"/>
            </w:pPr>
            <w:r>
              <w:t xml:space="preserve">ece_ci95_low_10seed</w:t>
            </w:r>
          </w:p>
        </w:tc>
        <w:tc>
          <w:p>
            <w:pPr>
              <w:pStyle w:val="Compact"/>
              <w:jc w:val="left"/>
            </w:pPr>
            <w:r>
              <w:t xml:space="preserve">ece_ci95_high_10seed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0.8174</w:t>
            </w:r>
          </w:p>
        </w:tc>
        <w:tc>
          <w:p>
            <w:pPr>
              <w:pStyle w:val="Compact"/>
              <w:jc w:val="left"/>
            </w:pPr>
            <w:r>
              <w:t xml:space="preserve">0.0261</w:t>
            </w:r>
          </w:p>
        </w:tc>
        <w:tc>
          <w:p>
            <w:pPr>
              <w:pStyle w:val="Compact"/>
              <w:jc w:val="left"/>
            </w:pPr>
            <w:r>
              <w:t xml:space="preserve">0.8012</w:t>
            </w:r>
          </w:p>
        </w:tc>
        <w:tc>
          <w:p>
            <w:pPr>
              <w:pStyle w:val="Compact"/>
              <w:jc w:val="left"/>
            </w:pPr>
            <w:r>
              <w:t xml:space="preserve">0.8336</w:t>
            </w:r>
          </w:p>
        </w:tc>
        <w:tc>
          <w:p>
            <w:pPr>
              <w:pStyle w:val="Compact"/>
              <w:jc w:val="left"/>
            </w:pPr>
            <w:r>
              <w:t xml:space="preserve">0.0300</w:t>
            </w:r>
          </w:p>
        </w:tc>
        <w:tc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p>
            <w:pPr>
              <w:pStyle w:val="Compact"/>
              <w:jc w:val="left"/>
            </w:pPr>
            <w:r>
              <w:t xml:space="preserve">0.0290</w:t>
            </w:r>
          </w:p>
        </w:tc>
        <w:tc>
          <w:p>
            <w:pPr>
              <w:pStyle w:val="Compact"/>
              <w:jc w:val="left"/>
            </w:pPr>
            <w:r>
              <w:t xml:space="preserve">0.0311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Note: CIs use normal approximation from</w:t>
      </w:r>
      <w:r>
        <w:t xml:space="preserve"> </w:t>
      </w:r>
      <w:r>
        <w:rPr>
          <w:rStyle w:val="VerbatimChar"/>
        </w:rPr>
        <w:t xml:space="preserve">f1_std/ece_std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n=10 seeds</w:t>
      </w:r>
      <w:r>
        <w:t xml:space="preserve"> </w:t>
      </w:r>
      <w:r>
        <w:t xml:space="preserve">assumption.</w:t>
      </w:r>
    </w:p>
    <w:bookmarkEnd w:id="26"/>
    <w:bookmarkEnd w:id="27"/>
    <w:bookmarkStart w:id="30" w:name="core-transfer-performance"/>
    <w:p>
      <w:pPr>
        <w:pStyle w:val="Heading2"/>
      </w:pPr>
      <w:r>
        <w:t xml:space="preserve">4. Core Transfer Performance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delta_f1</w:t>
            </w:r>
          </w:p>
        </w:tc>
        <w:tc>
          <w:p>
            <w:pPr>
              <w:pStyle w:val="Compact"/>
              <w:jc w:val="left"/>
            </w:pPr>
            <w:r>
              <w:t xml:space="preserve">delta_f1_ci95</w:t>
            </w:r>
          </w:p>
        </w:tc>
        <w:tc>
          <w:p>
            <w:pPr>
              <w:pStyle w:val="Compact"/>
              <w:jc w:val="left"/>
            </w:pPr>
            <w:r>
              <w:t xml:space="preserve">target_ece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[-0.1651, -0.1145]</w:t>
            </w:r>
          </w:p>
        </w:tc>
        <w:tc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[-0.2395, -0.1788]</w:t>
            </w:r>
          </w:p>
        </w:tc>
        <w:tc>
          <w:p>
            <w:pPr>
              <w:pStyle w:val="Compact"/>
              <w:jc w:val="left"/>
            </w:pPr>
            <w:r>
              <w:t xml:space="preserve">0.0428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[+0.2019, +0.4309]</w:t>
            </w:r>
          </w:p>
        </w:tc>
        <w:tc>
          <w:p>
            <w:pPr>
              <w:pStyle w:val="Compact"/>
              <w:jc w:val="left"/>
            </w:pPr>
            <w:r>
              <w:t xml:space="preserve">0.0159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[+0.3361, +0.5407]</w:t>
            </w:r>
          </w:p>
        </w:tc>
        <w:tc>
          <w:p>
            <w:pPr>
              <w:pStyle w:val="Compact"/>
              <w:jc w:val="left"/>
            </w:pPr>
            <w:r>
              <w:t xml:space="preserve">0.0260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[-0.1367, +0.1413]</w:t>
            </w:r>
          </w:p>
        </w:tc>
        <w:tc>
          <w:p>
            <w:pPr>
              <w:pStyle w:val="Compact"/>
              <w:jc w:val="left"/>
            </w:pPr>
            <w:r>
              <w:t xml:space="preserve">0.0332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[-0.0671, +0.1705]</w:t>
            </w:r>
          </w:p>
        </w:tc>
        <w:tc>
          <w:p>
            <w:pPr>
              <w:pStyle w:val="Compact"/>
              <w:jc w:val="left"/>
            </w:pPr>
            <w:r>
              <w:t xml:space="preserve">0.0272</w:t>
            </w:r>
          </w:p>
        </w:tc>
      </w:tr>
    </w:tbl>
    <w:p>
      <w:pPr>
        <w:pStyle w:val="BodyText"/>
      </w:pPr>
      <w:r>
        <w:t xml:space="preserve">Interpretation: Houston as source shows negative ΔF1 (domain-shift stress), while NOLA/Seattle sources show positive or near-neutral transfer outcomes.</w:t>
      </w:r>
    </w:p>
    <w:bookmarkStart w:id="28" w:name="transfer-uncertainty-bootstrap-95-ci"/>
    <w:p>
      <w:pPr>
        <w:pStyle w:val="Heading3"/>
      </w:pPr>
      <w:r>
        <w:t xml:space="preserve">4.1 Transfer Uncertainty (bootstrap 95% CI)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source_f1_ci95</w:t>
            </w:r>
          </w:p>
        </w:tc>
        <w:tc>
          <w:p>
            <w:pPr>
              <w:pStyle w:val="Compact"/>
              <w:jc w:val="left"/>
            </w:pPr>
            <w:r>
              <w:t xml:space="preserve">target_f1_ci95</w:t>
            </w:r>
          </w:p>
        </w:tc>
        <w:tc>
          <w:p>
            <w:pPr>
              <w:pStyle w:val="Compact"/>
              <w:jc w:val="left"/>
            </w:pPr>
            <w:r>
              <w:t xml:space="preserve">delta_f1_ci95</w:t>
            </w:r>
          </w:p>
        </w:tc>
        <w:tc>
          <w:p>
            <w:pPr>
              <w:pStyle w:val="Compact"/>
              <w:jc w:val="left"/>
            </w:pPr>
            <w:r>
              <w:t xml:space="preserve">ci_method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[1.0000, 1.0000]</w:t>
            </w:r>
          </w:p>
        </w:tc>
        <w:tc>
          <w:p>
            <w:pPr>
              <w:pStyle w:val="Compact"/>
              <w:jc w:val="left"/>
            </w:pPr>
            <w:r>
              <w:t xml:space="preserve">[0.8349, 0.8855]</w:t>
            </w:r>
          </w:p>
        </w:tc>
        <w:tc>
          <w:p>
            <w:pPr>
              <w:pStyle w:val="Compact"/>
              <w:jc w:val="left"/>
            </w:pPr>
            <w:r>
              <w:t xml:space="preserve">[-0.1651, -0.1145]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[1.0000, 1.0000]</w:t>
            </w:r>
          </w:p>
        </w:tc>
        <w:tc>
          <w:p>
            <w:pPr>
              <w:pStyle w:val="Compact"/>
              <w:jc w:val="left"/>
            </w:pPr>
            <w:r>
              <w:t xml:space="preserve">[0.7605, 0.8212]</w:t>
            </w:r>
          </w:p>
        </w:tc>
        <w:tc>
          <w:p>
            <w:pPr>
              <w:pStyle w:val="Compact"/>
              <w:jc w:val="left"/>
            </w:pPr>
            <w:r>
              <w:t xml:space="preserve">[-0.2395, -0.1788]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[0.3462, 0.4935]</w:t>
            </w:r>
          </w:p>
        </w:tc>
        <w:tc>
          <w:p>
            <w:pPr>
              <w:pStyle w:val="Compact"/>
              <w:jc w:val="left"/>
            </w:pPr>
            <w:r>
              <w:t xml:space="preserve">[0.6954, 0.7771]</w:t>
            </w:r>
          </w:p>
        </w:tc>
        <w:tc>
          <w:p>
            <w:pPr>
              <w:pStyle w:val="Compact"/>
              <w:jc w:val="left"/>
            </w:pPr>
            <w:r>
              <w:t xml:space="preserve">[+0.2019, +0.4309]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[0.3462, 0.4935]</w:t>
            </w:r>
          </w:p>
        </w:tc>
        <w:tc>
          <w:p>
            <w:pPr>
              <w:pStyle w:val="Compact"/>
              <w:jc w:val="left"/>
            </w:pPr>
            <w:r>
              <w:t xml:space="preserve">[0.8296, 0.8869]</w:t>
            </w:r>
          </w:p>
        </w:tc>
        <w:tc>
          <w:p>
            <w:pPr>
              <w:pStyle w:val="Compact"/>
              <w:jc w:val="left"/>
            </w:pPr>
            <w:r>
              <w:t xml:space="preserve">[+0.3361, +0.5407]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[0.7088, 0.8916]</w:t>
            </w:r>
          </w:p>
        </w:tc>
        <w:tc>
          <w:p>
            <w:pPr>
              <w:pStyle w:val="Compact"/>
              <w:jc w:val="left"/>
            </w:pPr>
            <w:r>
              <w:t xml:space="preserve">[0.7548, 0.8502]</w:t>
            </w:r>
          </w:p>
        </w:tc>
        <w:tc>
          <w:p>
            <w:pPr>
              <w:pStyle w:val="Compact"/>
              <w:jc w:val="left"/>
            </w:pPr>
            <w:r>
              <w:t xml:space="preserve">[-0.1367, +0.1413]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[0.7088, 0.8916]</w:t>
            </w:r>
          </w:p>
        </w:tc>
        <w:tc>
          <w:p>
            <w:pPr>
              <w:pStyle w:val="Compact"/>
              <w:jc w:val="left"/>
            </w:pPr>
            <w:r>
              <w:t xml:space="preserve">[0.8244, 0.8794]</w:t>
            </w:r>
          </w:p>
        </w:tc>
        <w:tc>
          <w:p>
            <w:pPr>
              <w:pStyle w:val="Compact"/>
              <w:jc w:val="left"/>
            </w:pPr>
            <w:r>
              <w:t xml:space="preserve">[-0.0671, +0.1705]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Note: transfer CIs are bootstrap estimates from source/target prediction CSVs.</w:t>
      </w:r>
    </w:p>
    <w:p>
      <w:pPr>
        <w:numPr>
          <w:ilvl w:val="0"/>
          <w:numId w:val="1007"/>
        </w:numPr>
        <w:pStyle w:val="Compact"/>
      </w:pPr>
      <w:r>
        <w:t xml:space="preserve">Additional caution (high-uncertainty routes): No high-uncertainty transfer route detected.</w:t>
      </w:r>
    </w:p>
    <w:bookmarkEnd w:id="28"/>
    <w:bookmarkStart w:id="29" w:name="X5648d77f271f43fcab324fc7dc4a2c9131e2294"/>
    <w:p>
      <w:pPr>
        <w:pStyle w:val="Heading3"/>
      </w:pPr>
      <w:r>
        <w:t xml:space="preserve">4.2 Out-of-Domain Validation Expansion (Additional Area/Year Transfer)</w:t>
      </w:r>
    </w:p>
    <w:p>
      <w:pPr>
        <w:numPr>
          <w:ilvl w:val="0"/>
          <w:numId w:val="1008"/>
        </w:numPr>
        <w:pStyle w:val="Compact"/>
      </w:pPr>
      <w:r>
        <w:t xml:space="preserve">Detail CSV:</w:t>
      </w:r>
      <w:r>
        <w:t xml:space="preserve"> </w:t>
      </w:r>
      <w:r>
        <w:rPr>
          <w:rStyle w:val="VerbatimChar"/>
        </w:rPr>
        <w:t xml:space="preserve">out_of_domain_validation_detail_summary.csv</w:t>
      </w:r>
    </w:p>
    <w:p>
      <w:pPr>
        <w:numPr>
          <w:ilvl w:val="0"/>
          <w:numId w:val="1008"/>
        </w:numPr>
        <w:pStyle w:val="Compact"/>
      </w:pPr>
      <w:r>
        <w:t xml:space="preserve">Summary CSV:</w:t>
      </w:r>
      <w:r>
        <w:t xml:space="preserve"> </w:t>
      </w:r>
      <w:r>
        <w:rPr>
          <w:rStyle w:val="VerbatimChar"/>
        </w:rPr>
        <w:t xml:space="preserve">out_of_domain_validation_summary.csv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p>
            <w:pPr>
              <w:pStyle w:val="Compact"/>
              <w:jc w:val="left"/>
            </w:pPr>
            <w:r>
              <w:t xml:space="preserve">row_count</w:t>
            </w:r>
          </w:p>
        </w:tc>
        <w:tc>
          <w:p>
            <w:pPr>
              <w:pStyle w:val="Compact"/>
              <w:jc w:val="left"/>
            </w:pPr>
            <w:r>
              <w:t xml:space="preserve">region_count</w:t>
            </w:r>
          </w:p>
        </w:tc>
        <w:tc>
          <w:p>
            <w:pPr>
              <w:pStyle w:val="Compact"/>
              <w:jc w:val="left"/>
            </w:pPr>
            <w:r>
              <w:t xml:space="preserve">hgbt_f1_mean</w:t>
            </w:r>
          </w:p>
        </w:tc>
        <w:tc>
          <w:p>
            <w:pPr>
              <w:pStyle w:val="Compact"/>
              <w:jc w:val="left"/>
            </w:pPr>
            <w:r>
              <w:t xml:space="preserve">hgbt_f1_min</w:t>
            </w:r>
          </w:p>
        </w:tc>
        <w:tc>
          <w:p>
            <w:pPr>
              <w:pStyle w:val="Compact"/>
              <w:jc w:val="left"/>
            </w:pPr>
            <w:r>
              <w:t xml:space="preserve">hgbt_f1_max</w:t>
            </w:r>
          </w:p>
        </w:tc>
        <w:tc>
          <w:p>
            <w:pPr>
              <w:pStyle w:val="Compact"/>
              <w:jc w:val="left"/>
            </w:pPr>
            <w:r>
              <w:t xml:space="preserve">hgbt_minus_logreg_f1_mean</w:t>
            </w:r>
          </w:p>
        </w:tc>
        <w:tc>
          <w:p>
            <w:pPr>
              <w:pStyle w:val="Compact"/>
              <w:jc w:val="left"/>
            </w:pPr>
            <w:r>
              <w:t xml:space="preserve">negative_delta_count</w:t>
            </w:r>
          </w:p>
        </w:tc>
        <w:tc>
          <w:p>
            <w:pPr>
              <w:pStyle w:val="Compact"/>
              <w:jc w:val="left"/>
            </w:pPr>
            <w:r>
              <w:t xml:space="preserve">support_low_count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cross_year_transfer</w:t>
            </w:r>
          </w:p>
        </w:tc>
        <w:tc>
          <w:p>
            <w:pPr>
              <w:pStyle w:val="Compact"/>
              <w:jc w:val="left"/>
            </w:pPr>
            <w:r>
              <w:t xml:space="preserve">own_ship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0.7479</w:t>
            </w:r>
          </w:p>
        </w:tc>
        <w:tc>
          <w:p>
            <w:pPr>
              <w:pStyle w:val="Compact"/>
              <w:jc w:val="left"/>
            </w:pPr>
            <w:r>
              <w:t xml:space="preserve">0.6281</w:t>
            </w:r>
          </w:p>
        </w:tc>
        <w:tc>
          <w:p>
            <w:pPr>
              <w:pStyle w:val="Compact"/>
              <w:jc w:val="left"/>
            </w:pPr>
            <w:r>
              <w:t xml:space="preserve">0.8830</w:t>
            </w:r>
          </w:p>
        </w:tc>
        <w:tc>
          <w:p>
            <w:pPr>
              <w:pStyle w:val="Compact"/>
              <w:jc w:val="left"/>
            </w:pPr>
            <w:r>
              <w:t xml:space="preserve">+0.1378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true_unseen_area</w:t>
            </w:r>
          </w:p>
        </w:tc>
        <w:tc>
          <w:p>
            <w:pPr>
              <w:pStyle w:val="Compact"/>
              <w:jc w:val="left"/>
            </w:pPr>
            <w:r>
              <w:t xml:space="preserve">own_ship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0.7293</w:t>
            </w:r>
          </w:p>
        </w:tc>
        <w:tc>
          <w:p>
            <w:pPr>
              <w:pStyle w:val="Compact"/>
              <w:jc w:val="left"/>
            </w:pPr>
            <w:r>
              <w:t xml:space="preserve">0.6667</w:t>
            </w:r>
          </w:p>
        </w:tc>
        <w:tc>
          <w:p>
            <w:pPr>
              <w:pStyle w:val="Compact"/>
              <w:jc w:val="left"/>
            </w:pPr>
            <w:r>
              <w:t xml:space="preserve">0.7789</w:t>
            </w:r>
          </w:p>
        </w:tc>
        <w:tc>
          <w:p>
            <w:pPr>
              <w:pStyle w:val="Compact"/>
              <w:jc w:val="left"/>
            </w:pPr>
            <w:r>
              <w:t xml:space="preserve">+0.1460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true_unseen_area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0.6357</w:t>
            </w:r>
          </w:p>
        </w:tc>
        <w:tc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p>
            <w:pPr>
              <w:pStyle w:val="Compact"/>
              <w:jc w:val="left"/>
            </w:pPr>
            <w:r>
              <w:t xml:space="preserve">0.8462</w:t>
            </w:r>
          </w:p>
        </w:tc>
        <w:tc>
          <w:p>
            <w:pPr>
              <w:pStyle w:val="Compact"/>
              <w:jc w:val="left"/>
            </w:pPr>
            <w:r>
              <w:t xml:space="preserve">-0.0521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cross_year_transfer / own_ship: mean F1=0.7479, mean model gap=+0.1378, negative Δ count=1, low-support=0</w:t>
      </w:r>
      <w:r>
        <w:t xml:space="preserve"> </w:t>
      </w:r>
      <w:r>
        <w:t xml:space="preserve">- true_unseen_area / own_ship: mean F1=0.7293, mean model gap=+0.1460, negative Δ count=0, low-support=0</w:t>
      </w:r>
      <w:r>
        <w:t xml:space="preserve"> </w:t>
      </w:r>
      <w:r>
        <w:t xml:space="preserve">- true_unseen_area / timestamp: mean F1=0.6357, mean model gap=-0.0521, negative Δ count=0, low-support=0</w:t>
      </w:r>
      <w:r>
        <w:t xml:space="preserve"> </w:t>
      </w:r>
      <w:r>
        <w:t xml:space="preserve">- Source-summary cross-check: true_area_row_count=8, transfer_row_count=6, true_area_low_support_count=0</w:t>
      </w:r>
    </w:p>
    <w:bookmarkEnd w:id="29"/>
    <w:bookmarkEnd w:id="30"/>
    <w:bookmarkStart w:id="31" w:name="ablation-tabular-vs-raster-cnn"/>
    <w:p>
      <w:pPr>
        <w:pStyle w:val="Heading2"/>
      </w:pPr>
      <w:r>
        <w:t xml:space="preserve">5. Ablation: tabular vs raster-CNN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tabular_model</w:t>
            </w:r>
          </w:p>
        </w:tc>
        <w:tc>
          <w:p>
            <w:pPr>
              <w:pStyle w:val="Compact"/>
              <w:jc w:val="left"/>
            </w:pPr>
            <w:r>
              <w:t xml:space="preserve">tabular_f1</w:t>
            </w:r>
          </w:p>
        </w:tc>
        <w:tc>
          <w:p>
            <w:pPr>
              <w:pStyle w:val="Compact"/>
              <w:jc w:val="left"/>
            </w:pPr>
            <w:r>
              <w:t xml:space="preserve">raster_cnn_model</w:t>
            </w:r>
          </w:p>
        </w:tc>
        <w:tc>
          <w:p>
            <w:pPr>
              <w:pStyle w:val="Compact"/>
              <w:jc w:val="left"/>
            </w:pPr>
            <w:r>
              <w:t xml:space="preserve">raster_cnn_f1</w:t>
            </w:r>
          </w:p>
        </w:tc>
        <w:tc>
          <w:p>
            <w:pPr>
              <w:pStyle w:val="Compact"/>
              <w:jc w:val="left"/>
            </w:pPr>
            <w:r>
              <w:t xml:space="preserve">delta_f1_tabular_minus_cnn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tabular_ece</w:t>
            </w:r>
          </w:p>
        </w:tc>
        <w:tc>
          <w:p>
            <w:pPr>
              <w:pStyle w:val="Compact"/>
              <w:jc w:val="left"/>
            </w:pPr>
            <w:r>
              <w:t xml:space="preserve">raster_cnn_ece</w:t>
            </w:r>
          </w:p>
        </w:tc>
        <w:tc>
          <w:p>
            <w:pPr>
              <w:pStyle w:val="Compact"/>
              <w:jc w:val="left"/>
            </w:pPr>
            <w:r>
              <w:t xml:space="preserve">delta_ece_tabular_minus_cnn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cnn_focal_temp</w:t>
            </w:r>
          </w:p>
        </w:tc>
        <w:tc>
          <w:p>
            <w:pPr>
              <w:pStyle w:val="Compact"/>
              <w:jc w:val="left"/>
            </w:pPr>
            <w:r>
              <w:t xml:space="preserve">0.8315</w:t>
            </w:r>
          </w:p>
        </w:tc>
        <w:tc>
          <w:p>
            <w:pPr>
              <w:pStyle w:val="Compact"/>
              <w:jc w:val="left"/>
            </w:pPr>
            <w:r>
              <w:t xml:space="preserve">-0.0029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0.1458</w:t>
            </w:r>
          </w:p>
        </w:tc>
        <w:tc>
          <w:p>
            <w:pPr>
              <w:pStyle w:val="Compact"/>
              <w:jc w:val="left"/>
            </w:pPr>
            <w:r>
              <w:t xml:space="preserve">-0.1229</w:t>
            </w:r>
          </w:p>
        </w:tc>
        <w:tc>
          <w:p>
            <w:pPr>
              <w:pStyle w:val="Compact"/>
              <w:jc w:val="left"/>
            </w:pPr>
            <w:r>
              <w:t xml:space="preserve">trade-off or near-tie between families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0.4432</w:t>
            </w:r>
          </w:p>
        </w:tc>
        <w:tc>
          <w:p>
            <w:pPr>
              <w:pStyle w:val="Compact"/>
              <w:jc w:val="left"/>
            </w:pPr>
            <w:r>
              <w:t xml:space="preserve">+0.1583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0.1019</w:t>
            </w:r>
          </w:p>
        </w:tc>
        <w:tc>
          <w:p>
            <w:pPr>
              <w:pStyle w:val="Compact"/>
              <w:jc w:val="left"/>
            </w:pPr>
            <w:r>
              <w:t xml:space="preserve">-0.0783</w:t>
            </w:r>
          </w:p>
        </w:tc>
        <w:tc>
          <w:p>
            <w:pPr>
              <w:pStyle w:val="Compact"/>
              <w:jc w:val="left"/>
            </w:pPr>
            <w:r>
              <w:t xml:space="preserve">tabular dominates both discrimination and calibration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p>
            <w:pPr>
              <w:pStyle w:val="Compact"/>
              <w:jc w:val="left"/>
            </w:pPr>
            <w:r>
              <w:t xml:space="preserve">0.8214</w:t>
            </w:r>
          </w:p>
        </w:tc>
        <w:tc>
          <w:p>
            <w:pPr>
              <w:pStyle w:val="Compact"/>
              <w:jc w:val="left"/>
            </w:pPr>
            <w:r>
              <w:t xml:space="preserve">cnn_focal</w:t>
            </w:r>
          </w:p>
        </w:tc>
        <w:tc>
          <w:p>
            <w:pPr>
              <w:pStyle w:val="Compact"/>
              <w:jc w:val="left"/>
            </w:pPr>
            <w:r>
              <w:t xml:space="preserve">0.8364</w:t>
            </w:r>
          </w:p>
        </w:tc>
        <w:tc>
          <w:p>
            <w:pPr>
              <w:pStyle w:val="Compact"/>
              <w:jc w:val="left"/>
            </w:pPr>
            <w:r>
              <w:t xml:space="preserve">-0.0149</w:t>
            </w:r>
          </w:p>
        </w:tc>
        <w:tc>
          <w:p>
            <w:pPr>
              <w:pStyle w:val="Compact"/>
              <w:jc w:val="left"/>
            </w:pPr>
            <w:r>
              <w:t xml:space="preserve">0.0482</w:t>
            </w:r>
          </w:p>
        </w:tc>
        <w:tc>
          <w:p>
            <w:pPr>
              <w:pStyle w:val="Compact"/>
              <w:jc w:val="left"/>
            </w:pPr>
            <w:r>
              <w:t xml:space="preserve">0.2791</w:t>
            </w:r>
          </w:p>
        </w:tc>
        <w:tc>
          <w:p>
            <w:pPr>
              <w:pStyle w:val="Compact"/>
              <w:jc w:val="left"/>
            </w:pPr>
            <w:r>
              <w:t xml:space="preserve">-0.2310</w:t>
            </w:r>
          </w:p>
        </w:tc>
        <w:tc>
          <w:p>
            <w:pPr>
              <w:pStyle w:val="Compact"/>
              <w:jc w:val="left"/>
            </w:pPr>
            <w:r>
              <w:t xml:space="preserve">trade-off or near-tie between families</w:t>
            </w:r>
          </w:p>
        </w:tc>
      </w:tr>
    </w:tbl>
    <w:p>
      <w:pPr>
        <w:pStyle w:val="BodyText"/>
      </w:pPr>
      <w:r>
        <w:t xml:space="preserve">Summary interpretation:</w:t>
      </w:r>
      <w:r>
        <w:t xml:space="preserve"> </w:t>
      </w:r>
      <w:r>
        <w:t xml:space="preserve">- houston: ΔF1(tabular-cnn)=-0.0029 (raster-CNN is higher), ΔECE(tabular-cnn)=-0.1229 (tabular shows better calibration).</w:t>
      </w:r>
      <w:r>
        <w:t xml:space="preserve"> </w:t>
      </w:r>
      <w:r>
        <w:t xml:space="preserve">- nola: ΔF1(tabular-cnn)=+0.1583 (tabular is higher), ΔECE(tabular-cnn)=-0.0783 (tabular shows better calibration).</w:t>
      </w:r>
      <w:r>
        <w:t xml:space="preserve"> </w:t>
      </w:r>
      <w:r>
        <w:t xml:space="preserve">- seattle: ΔF1(tabular-cnn)=-0.0149 (raster-CNN is higher), ΔECE(tabular-cnn)=-0.2310 (tabular shows better calibration).</w:t>
      </w:r>
    </w:p>
    <w:bookmarkEnd w:id="31"/>
    <w:bookmarkStart w:id="36" w:name="figure-set"/>
    <w:p>
      <w:pPr>
        <w:pStyle w:val="Heading2"/>
      </w:pPr>
      <w:r>
        <w:t xml:space="preserve">6. Figure Set</w:t>
      </w:r>
    </w:p>
    <w:p>
      <w:pPr>
        <w:numPr>
          <w:ilvl w:val="0"/>
          <w:numId w:val="1009"/>
        </w:numPr>
        <w:pStyle w:val="Compact"/>
      </w:pPr>
      <w:r>
        <w:t xml:space="preserve">Figure 1:</w:t>
      </w:r>
      <w:r>
        <w:t xml:space="preserve"> </w:t>
      </w:r>
      <w:r>
        <w:drawing>
          <wp:inline>
            <wp:extent cx="5334000" cy="2830285"/>
            <wp:effectExtent b="0" l="0" r="0" t="0"/>
            <wp:docPr descr="model-family" title="" id="1" name="Picture"/>
            <a:graphic>
              <a:graphicData uri="http://schemas.openxmlformats.org/drawingml/2006/picture">
                <pic:pic>
                  <pic:nvPicPr>
                    <pic:cNvPr descr="figure_1_model_family_comparis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2:</w:t>
      </w:r>
      <w:r>
        <w:t xml:space="preserve"> </w:t>
      </w:r>
      <w:r>
        <w:drawing>
          <wp:inline>
            <wp:extent cx="5334000" cy="3789947"/>
            <wp:effectExtent b="0" l="0" r="0" t="0"/>
            <wp:docPr descr="transfer-heatmap" title="" id="1" name="Picture"/>
            <a:graphic>
              <a:graphicData uri="http://schemas.openxmlformats.org/drawingml/2006/picture">
                <pic:pic>
                  <pic:nvPicPr>
                    <pic:cNvPr descr="figure_2_transfer_delta_f1_heatmap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3:</w:t>
      </w:r>
      <w:r>
        <w:t xml:space="preserve"> </w:t>
      </w:r>
      <w:r>
        <w:drawing>
          <wp:inline>
            <wp:extent cx="5334000" cy="1710905"/>
            <wp:effectExtent b="0" l="0" r="0" t="0"/>
            <wp:docPr descr="pipeline" title="" id="1" name="Picture"/>
            <a:graphic>
              <a:graphicData uri="http://schemas.openxmlformats.org/drawingml/2006/picture">
                <pic:pic>
                  <pic:nvPicPr>
                    <pic:cNvPr descr="figure_3_pipeline_overvie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4:</w:t>
      </w:r>
      <w:r>
        <w:t xml:space="preserve"> </w:t>
      </w:r>
      <w:r>
        <w:drawing>
          <wp:inline>
            <wp:extent cx="5334000" cy="3048000"/>
            <wp:effectExtent b="0" l="0" r="0" t="0"/>
            <wp:docPr descr="threshold-utility" title="" id="1" name="Picture"/>
            <a:graphic>
              <a:graphicData uri="http://schemas.openxmlformats.org/drawingml/2006/picture">
                <pic:pic>
                  <pic:nvPicPr>
                    <pic:cNvPr descr="figure_4_threshold_utility_curv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terminology-mapping-koreng"/>
    <w:p>
      <w:pPr>
        <w:pStyle w:val="Heading2"/>
      </w:pPr>
      <w:r>
        <w:t xml:space="preserve">7. Terminology Mapping (KOR/ENG)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korean_term</w:t>
            </w:r>
          </w:p>
        </w:tc>
        <w:tc>
          <w:p>
            <w:pPr>
              <w:pStyle w:val="Compact"/>
              <w:jc w:val="left"/>
            </w:pPr>
            <w:r>
              <w:t xml:space="preserve">english_term</w:t>
            </w:r>
          </w:p>
        </w:tc>
        <w:tc>
          <w:p>
            <w:pPr>
              <w:pStyle w:val="Compact"/>
              <w:jc w:val="left"/>
            </w:pPr>
            <w:r>
              <w:t xml:space="preserve">usage_note_ko</w:t>
            </w:r>
          </w:p>
        </w:tc>
        <w:tc>
          <w:p>
            <w:pPr>
              <w:pStyle w:val="Compact"/>
              <w:jc w:val="left"/>
            </w:pPr>
            <w:r>
              <w:t xml:space="preserve">usage_note_en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Collision Risk Heatmap</w:t>
            </w:r>
          </w:p>
        </w:tc>
        <w:tc>
          <w:p>
            <w:pPr>
              <w:pStyle w:val="Compact"/>
              <w:jc w:val="left"/>
            </w:pPr>
            <w:r>
              <w:t xml:space="preserve">충돌위험 히트맵</w:t>
            </w:r>
          </w:p>
        </w:tc>
        <w:tc>
          <w:p>
            <w:pPr>
              <w:pStyle w:val="Compact"/>
              <w:jc w:val="left"/>
            </w:pPr>
            <w:r>
              <w:t xml:space="preserve">collision-risk heatmap</w:t>
            </w:r>
          </w:p>
        </w:tc>
        <w:tc>
          <w:p>
            <w:pPr>
              <w:pStyle w:val="Compact"/>
              <w:jc w:val="left"/>
            </w:pPr>
            <w:r>
              <w:t xml:space="preserve">공간 격자에서 상대 위험도를 색상 강도로 표현한 지도</w:t>
            </w:r>
          </w:p>
        </w:tc>
        <w:tc>
          <w:p>
            <w:pPr>
              <w:pStyle w:val="Compact"/>
              <w:jc w:val="left"/>
            </w:pPr>
            <w:r>
              <w:t xml:space="preserve">A map that encodes relative risk intensity over spatial grids.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Contour</w:t>
            </w:r>
          </w:p>
        </w:tc>
        <w:tc>
          <w:p>
            <w:pPr>
              <w:pStyle w:val="Compact"/>
              <w:jc w:val="left"/>
            </w:pPr>
            <w:r>
              <w:t xml:space="preserve">안전도 등고선</w:t>
            </w:r>
          </w:p>
        </w:tc>
        <w:tc>
          <w:p>
            <w:pPr>
              <w:pStyle w:val="Compact"/>
              <w:jc w:val="left"/>
            </w:pPr>
            <w:r>
              <w:t xml:space="preserve">safety contour</w:t>
            </w:r>
          </w:p>
        </w:tc>
        <w:tc>
          <w:p>
            <w:pPr>
              <w:pStyle w:val="Compact"/>
              <w:jc w:val="left"/>
            </w:pPr>
            <w:r>
              <w:t xml:space="preserve">동일 위험 임계값을 연결한 곡선; 의사결정 경계로 사용</w:t>
            </w:r>
          </w:p>
        </w:tc>
        <w:tc>
          <w:p>
            <w:pPr>
              <w:pStyle w:val="Compact"/>
              <w:jc w:val="left"/>
            </w:pPr>
            <w:r>
              <w:t xml:space="preserve">A curve connecting equal-risk thresholds for decision boundaries.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Cross-Region Transfer</w:t>
            </w:r>
          </w:p>
        </w:tc>
        <w:tc>
          <w:p>
            <w:pPr>
              <w:pStyle w:val="Compact"/>
              <w:jc w:val="left"/>
            </w:pPr>
            <w:r>
              <w:t xml:space="preserve">교차 해역 전이</w:t>
            </w:r>
          </w:p>
        </w:tc>
        <w:tc>
          <w:p>
            <w:pPr>
              <w:pStyle w:val="Compact"/>
              <w:jc w:val="left"/>
            </w:pPr>
            <w:r>
              <w:t xml:space="preserve">cross-region transfer</w:t>
            </w:r>
          </w:p>
        </w:tc>
        <w:tc>
          <w:p>
            <w:pPr>
              <w:pStyle w:val="Compact"/>
              <w:jc w:val="left"/>
            </w:pPr>
            <w:r>
              <w:t xml:space="preserve">source 해역 학습모델을 target 해역에 적용한 일반화 성능 평가</w:t>
            </w:r>
          </w:p>
        </w:tc>
        <w:tc>
          <w:p>
            <w:pPr>
              <w:pStyle w:val="Compact"/>
              <w:jc w:val="left"/>
            </w:pPr>
            <w:r>
              <w:t xml:space="preserve">Generalization test applying a source-region-trained model to a target region.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Shift</w:t>
            </w:r>
          </w:p>
        </w:tc>
        <w:tc>
          <w:p>
            <w:pPr>
              <w:pStyle w:val="Compact"/>
              <w:jc w:val="left"/>
            </w:pPr>
            <w:r>
              <w:t xml:space="preserve">도메인 시프트</w:t>
            </w:r>
          </w:p>
        </w:tc>
        <w:tc>
          <w:p>
            <w:pPr>
              <w:pStyle w:val="Compact"/>
              <w:jc w:val="left"/>
            </w:pPr>
            <w:r>
              <w:t xml:space="preserve">domain shift</w:t>
            </w:r>
          </w:p>
        </w:tc>
        <w:tc>
          <w:p>
            <w:pPr>
              <w:pStyle w:val="Compact"/>
              <w:jc w:val="left"/>
            </w:pPr>
            <w:r>
              <w:t xml:space="preserve">학습/적용 해역 분포 차이로 성능이 변하는 현상</w:t>
            </w:r>
          </w:p>
        </w:tc>
        <w:tc>
          <w:p>
            <w:pPr>
              <w:pStyle w:val="Compact"/>
              <w:jc w:val="left"/>
            </w:pPr>
            <w:r>
              <w:t xml:space="preserve">Performance drift caused by source-target distribution mismatch.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Calibration Error</w:t>
            </w:r>
          </w:p>
        </w:tc>
        <w:tc>
          <w:p>
            <w:pPr>
              <w:pStyle w:val="Compact"/>
              <w:jc w:val="left"/>
            </w:pPr>
            <w:r>
              <w:t xml:space="preserve">기대 보정 오차</w:t>
            </w:r>
          </w:p>
        </w:tc>
        <w:tc>
          <w:p>
            <w:pPr>
              <w:pStyle w:val="Compact"/>
              <w:jc w:val="left"/>
            </w:pPr>
            <w:r>
              <w:t xml:space="preserve">expected calibration error (ECE)</w:t>
            </w:r>
          </w:p>
        </w:tc>
        <w:tc>
          <w:p>
            <w:pPr>
              <w:pStyle w:val="Compact"/>
              <w:jc w:val="left"/>
            </w:pPr>
            <w:r>
              <w:t xml:space="preserve">예측 확률과 실제 빈도의 불일치 정도; 낮을수록 바람직</w:t>
            </w:r>
          </w:p>
        </w:tc>
        <w:tc>
          <w:p>
            <w:pPr>
              <w:pStyle w:val="Compact"/>
              <w:jc w:val="left"/>
            </w:pPr>
            <w:r>
              <w:t xml:space="preserve">Mismatch between predicted confidence and empirical frequency; lower is better.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 Governance</w:t>
            </w:r>
          </w:p>
        </w:tc>
        <w:tc>
          <w:p>
            <w:pPr>
              <w:pStyle w:val="Compact"/>
              <w:jc w:val="left"/>
            </w:pPr>
            <w:r>
              <w:t xml:space="preserve">임계값 거버넌스</w:t>
            </w:r>
          </w:p>
        </w:tc>
        <w:tc>
          <w:p>
            <w:pPr>
              <w:pStyle w:val="Compact"/>
              <w:jc w:val="left"/>
            </w:pPr>
            <w:r>
              <w:t xml:space="preserve">threshold governance</w:t>
            </w:r>
          </w:p>
        </w:tc>
        <w:tc>
          <w:p>
            <w:pPr>
              <w:pStyle w:val="Compact"/>
              <w:jc w:val="left"/>
            </w:pPr>
            <w:r>
              <w:t xml:space="preserve">운영 임계값 변경 시 근거/승인/추적 규칙</w:t>
            </w:r>
          </w:p>
        </w:tc>
        <w:tc>
          <w:p>
            <w:pPr>
              <w:pStyle w:val="Compact"/>
              <w:jc w:val="left"/>
            </w:pPr>
            <w:r>
              <w:t xml:space="preserve">Policy for rationale, approval, and traceability of threshold changes.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 Ship</w:t>
            </w:r>
          </w:p>
        </w:tc>
        <w:tc>
          <w:p>
            <w:pPr>
              <w:pStyle w:val="Compact"/>
              <w:jc w:val="left"/>
            </w:pPr>
            <w:r>
              <w:t xml:space="preserve">자선(own ship)</w:t>
            </w:r>
          </w:p>
        </w:tc>
        <w:tc>
          <w:p>
            <w:pPr>
              <w:pStyle w:val="Compact"/>
              <w:jc w:val="left"/>
            </w:pPr>
            <w:r>
              <w:t xml:space="preserve">own ship</w:t>
            </w:r>
          </w:p>
        </w:tc>
        <w:tc>
          <w:p>
            <w:pPr>
              <w:pStyle w:val="Compact"/>
              <w:jc w:val="left"/>
            </w:pPr>
            <w:r>
              <w:t xml:space="preserve">분석 기준 선박. 최초 등장 시 자선(own ship)으로 병기</w:t>
            </w:r>
          </w:p>
        </w:tc>
        <w:tc>
          <w:p>
            <w:pPr>
              <w:pStyle w:val="Compact"/>
              <w:jc w:val="left"/>
            </w:pPr>
            <w:r>
              <w:t xml:space="preserve">Reference vessel in analysis; write as 자선(own ship) on first Korean mention.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 Baseline</w:t>
            </w:r>
          </w:p>
        </w:tc>
        <w:tc>
          <w:p>
            <w:pPr>
              <w:pStyle w:val="Compact"/>
              <w:jc w:val="left"/>
            </w:pPr>
            <w:r>
              <w:t xml:space="preserve">규칙 기반 기준선</w:t>
            </w:r>
          </w:p>
        </w:tc>
        <w:tc>
          <w:p>
            <w:pPr>
              <w:pStyle w:val="Compact"/>
              <w:jc w:val="left"/>
            </w:pPr>
            <w:r>
              <w:t xml:space="preserve">rule baseline</w:t>
            </w:r>
          </w:p>
        </w:tc>
        <w:tc>
          <w:p>
            <w:pPr>
              <w:pStyle w:val="Compact"/>
              <w:jc w:val="left"/>
            </w:pPr>
            <w:r>
              <w:t xml:space="preserve">모델 성능 비교를 위한 비학습 규칙 기반 참조선</w:t>
            </w:r>
          </w:p>
        </w:tc>
        <w:tc>
          <w:p>
            <w:pPr>
              <w:pStyle w:val="Compact"/>
              <w:jc w:val="left"/>
            </w:pPr>
            <w:r>
              <w:t xml:space="preserve">Non-learning reference baseline for model-comparison benchmarking.</w:t>
            </w:r>
          </w:p>
        </w:tc>
      </w:tr>
    </w:tbl>
    <w:p>
      <w:pPr>
        <w:pStyle w:val="BodyText"/>
      </w:pPr>
      <w:r>
        <w:t xml:space="preserve">Detailed terminology guidance is provided in</w:t>
      </w:r>
      <w:r>
        <w:t xml:space="preserve"> </w:t>
      </w:r>
      <w:r>
        <w:rPr>
          <w:rStyle w:val="VerbatimChar"/>
        </w:rPr>
        <w:t xml:space="preserve">terminology_mapping_v0.2_2026-04-09.md</w:t>
      </w:r>
      <w:r>
        <w:t xml:space="preserve">.</w:t>
      </w:r>
    </w:p>
    <w:bookmarkEnd w:id="37"/>
    <w:bookmarkStart w:id="38" w:name="bilingual-figure-captions"/>
    <w:p>
      <w:pPr>
        <w:pStyle w:val="Heading2"/>
      </w:pPr>
      <w:r>
        <w:t xml:space="preserve">8. Bilingual Figure Captions</w:t>
      </w:r>
    </w:p>
    <w:p>
      <w:pPr>
        <w:numPr>
          <w:ilvl w:val="0"/>
          <w:numId w:val="1010"/>
        </w:numPr>
        <w:pStyle w:val="Compact"/>
      </w:pPr>
      <w:r>
        <w:t xml:space="preserve">KOR/ENG caption set:</w:t>
      </w:r>
      <w:r>
        <w:t xml:space="preserve"> </w:t>
      </w:r>
      <w:r>
        <w:rPr>
          <w:rStyle w:val="VerbatimChar"/>
        </w:rPr>
        <w:t xml:space="preserve">figure_captions_bilingual_v0.2_2026-04-09.md</w:t>
      </w:r>
    </w:p>
    <w:bookmarkEnd w:id="38"/>
    <w:bookmarkStart w:id="39" w:name="scenario-visualization-evidence"/>
    <w:p>
      <w:pPr>
        <w:pStyle w:val="Heading2"/>
      </w:pPr>
      <w:r>
        <w:t xml:space="preserve">9. Scenario Visualization Evidence</w:t>
      </w:r>
    </w:p>
    <w:p>
      <w:pPr>
        <w:numPr>
          <w:ilvl w:val="0"/>
          <w:numId w:val="1011"/>
        </w:numPr>
        <w:pStyle w:val="Compact"/>
      </w:pPr>
      <w:r>
        <w:t xml:space="preserve">Houston scenario:</w:t>
      </w:r>
      <w:r>
        <w:t xml:space="preserve"> </w:t>
      </w:r>
      <w:r>
        <w:rPr>
          <w:rStyle w:val="VerbatimChar"/>
        </w:rPr>
        <w:t xml:space="preserve">../../results/2026-04-04-expanded-10seed/houston_report_figure.svg</w:t>
      </w:r>
    </w:p>
    <w:p>
      <w:pPr>
        <w:numPr>
          <w:ilvl w:val="0"/>
          <w:numId w:val="1011"/>
        </w:numPr>
        <w:pStyle w:val="Compact"/>
      </w:pPr>
      <w:r>
        <w:t xml:space="preserve">NOLA scenario:</w:t>
      </w:r>
      <w:r>
        <w:t xml:space="preserve"> </w:t>
      </w:r>
      <w:r>
        <w:rPr>
          <w:rStyle w:val="VerbatimChar"/>
        </w:rPr>
        <w:t xml:space="preserve">../../results/2026-04-04-expanded-10seed/nola_report_figure.svg</w:t>
      </w:r>
    </w:p>
    <w:p>
      <w:pPr>
        <w:numPr>
          <w:ilvl w:val="0"/>
          <w:numId w:val="1011"/>
        </w:numPr>
        <w:pStyle w:val="Compact"/>
      </w:pPr>
      <w:r>
        <w:t xml:space="preserve">Seattle scenario:</w:t>
      </w:r>
      <w:r>
        <w:t xml:space="preserve"> </w:t>
      </w:r>
      <w:r>
        <w:rPr>
          <w:rStyle w:val="VerbatimChar"/>
        </w:rPr>
        <w:t xml:space="preserve">../../results/2026-04-04-expanded-10seed/seattle_report_figure.svg</w:t>
      </w:r>
    </w:p>
    <w:bookmarkEnd w:id="39"/>
    <w:bookmarkStart w:id="40" w:name="submission-format-note"/>
    <w:p>
      <w:pPr>
        <w:pStyle w:val="Heading2"/>
      </w:pPr>
      <w:r>
        <w:t xml:space="preserve">10. Submission Format Note</w:t>
      </w:r>
    </w:p>
    <w:p>
      <w:pPr>
        <w:numPr>
          <w:ilvl w:val="0"/>
          <w:numId w:val="1012"/>
        </w:numPr>
        <w:pStyle w:val="Compact"/>
      </w:pPr>
      <w:r>
        <w:t xml:space="preserve">At this stage, authoring in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is practical and reproducible.</w:t>
      </w:r>
    </w:p>
    <w:p>
      <w:pPr>
        <w:numPr>
          <w:ilvl w:val="0"/>
          <w:numId w:val="1012"/>
        </w:numPr>
        <w:pStyle w:val="Compact"/>
      </w:pPr>
      <w:r>
        <w:t xml:space="preserve">For venue submission, convert to the target template (Word/LaTeX) while keeping</w:t>
      </w:r>
      <w:r>
        <w:t xml:space="preserve"> </w:t>
      </w:r>
      <w:r>
        <w:rPr>
          <w:rStyle w:val="VerbatimChar"/>
        </w:rPr>
        <w:t xml:space="preserve">docs/manuscript</w:t>
      </w:r>
      <w:r>
        <w:t xml:space="preserve"> </w:t>
      </w:r>
      <w:r>
        <w:t xml:space="preserve">as the single source of truth.</w:t>
      </w:r>
    </w:p>
    <w:bookmarkEnd w:id="40"/>
    <w:bookmarkStart w:id="41" w:name="submission-readiness-artifacts"/>
    <w:p>
      <w:pPr>
        <w:pStyle w:val="Heading2"/>
      </w:pPr>
      <w:r>
        <w:t xml:space="preserve">11. Submission-Readiness Artifacts</w:t>
      </w:r>
    </w:p>
    <w:p>
      <w:pPr>
        <w:numPr>
          <w:ilvl w:val="0"/>
          <w:numId w:val="1013"/>
        </w:numPr>
        <w:pStyle w:val="Compact"/>
      </w:pPr>
      <w:r>
        <w:t xml:space="preserve">LaTeX venue template draft:</w:t>
      </w:r>
      <w:r>
        <w:t xml:space="preserve"> </w:t>
      </w:r>
      <w:r>
        <w:rPr>
          <w:rStyle w:val="VerbatimChar"/>
        </w:rPr>
        <w:t xml:space="preserve">manuscript_submission_template_v0.2_2026-04-09.tex</w:t>
      </w:r>
    </w:p>
    <w:p>
      <w:pPr>
        <w:numPr>
          <w:ilvl w:val="0"/>
          <w:numId w:val="1013"/>
        </w:numPr>
        <w:pStyle w:val="Compact"/>
      </w:pPr>
      <w:r>
        <w:t xml:space="preserve">Consistency audit report:</w:t>
      </w:r>
      <w:r>
        <w:t xml:space="preserve"> </w:t>
      </w:r>
      <w:r>
        <w:rPr>
          <w:rStyle w:val="VerbatimChar"/>
        </w:rPr>
        <w:t xml:space="preserve">manuscript_consistency_report_v0.2_2026-04-09.md</w:t>
      </w:r>
    </w:p>
    <w:p>
      <w:pPr>
        <w:numPr>
          <w:ilvl w:val="0"/>
          <w:numId w:val="1013"/>
        </w:numPr>
        <w:pStyle w:val="Compact"/>
      </w:pPr>
      <w:r>
        <w:t xml:space="preserve">Bilingual parity report:</w:t>
      </w:r>
      <w:r>
        <w:t xml:space="preserve"> </w:t>
      </w:r>
      <w:r>
        <w:rPr>
          <w:rStyle w:val="VerbatimChar"/>
        </w:rPr>
        <w:t xml:space="preserve">bilingual_parity_report_v0.2_2026-04-09.md</w:t>
      </w:r>
    </w:p>
    <w:p>
      <w:pPr>
        <w:numPr>
          <w:ilvl w:val="0"/>
          <w:numId w:val="1013"/>
        </w:numPr>
        <w:pStyle w:val="Compact"/>
      </w:pPr>
      <w:r>
        <w:t xml:space="preserve">Transfer repeated-randomization appendix:</w:t>
      </w:r>
      <w:r>
        <w:t xml:space="preserve"> </w:t>
      </w:r>
      <w:r>
        <w:rPr>
          <w:rStyle w:val="VerbatimChar"/>
        </w:rPr>
        <w:t xml:space="preserve">transfer_route_repeated_randomization_appendix_v0.2_2026-04-09.md</w:t>
      </w:r>
    </w:p>
    <w:p>
      <w:pPr>
        <w:numPr>
          <w:ilvl w:val="0"/>
          <w:numId w:val="1013"/>
        </w:numPr>
        <w:pStyle w:val="Compact"/>
      </w:pPr>
      <w:r>
        <w:t xml:space="preserve">Out-of-domain validation appendix:</w:t>
      </w:r>
      <w:r>
        <w:t xml:space="preserve"> </w:t>
      </w:r>
      <w:r>
        <w:rPr>
          <w:rStyle w:val="VerbatimChar"/>
        </w:rPr>
        <w:t xml:space="preserve">out_of_domain_validation_appendix_v0.2_2026-04-09.md</w:t>
      </w:r>
    </w:p>
    <w:p>
      <w:pPr>
        <w:numPr>
          <w:ilvl w:val="0"/>
          <w:numId w:val="1013"/>
        </w:numPr>
        <w:pStyle w:val="Compact"/>
      </w:pPr>
      <w:r>
        <w:t xml:space="preserve">Automated consistency status: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(6/6)</w:t>
      </w:r>
    </w:p>
    <w:bookmarkEnd w:id="41"/>
    <w:bookmarkStart w:id="43" w:name="prior-work-evidence-matrix"/>
    <w:p>
      <w:pPr>
        <w:pStyle w:val="Heading2"/>
      </w:pPr>
      <w:r>
        <w:t xml:space="preserve">12. Prior-Work Evidence Matrix</w:t>
      </w:r>
    </w:p>
    <w:p>
      <w:pPr>
        <w:numPr>
          <w:ilvl w:val="0"/>
          <w:numId w:val="1014"/>
        </w:numPr>
        <w:pStyle w:val="Compact"/>
      </w:pPr>
      <w:r>
        <w:t xml:space="preserve">Evidence matrix:</w:t>
      </w:r>
      <w:r>
        <w:t xml:space="preserve"> </w:t>
      </w:r>
      <w:r>
        <w:rPr>
          <w:rStyle w:val="VerbatimChar"/>
        </w:rPr>
        <w:t xml:space="preserve">prior_work_evidence_matrix_v0.2_2026-04-09.md</w:t>
      </w:r>
    </w:p>
    <w:p>
      <w:pPr>
        <w:numPr>
          <w:ilvl w:val="0"/>
          <w:numId w:val="1014"/>
        </w:numPr>
        <w:pStyle w:val="Compact"/>
      </w:pPr>
      <w:r>
        <w:t xml:space="preserve">It maps each core claim to supporting literature and explicitly documents residual gaps.</w:t>
      </w:r>
    </w:p>
    <w:bookmarkStart w:id="42" w:name="related-work-differential-core-8-studies"/>
    <w:p>
      <w:pPr>
        <w:pStyle w:val="Heading3"/>
      </w:pPr>
      <w:r>
        <w:t xml:space="preserve">12.1 Related Work Differential (Core 8 Studies)</w:t>
      </w:r>
    </w:p>
    <w:p>
      <w:pPr>
        <w:numPr>
          <w:ilvl w:val="0"/>
          <w:numId w:val="1015"/>
        </w:numPr>
        <w:pStyle w:val="Compact"/>
      </w:pPr>
      <w:r>
        <w:t xml:space="preserve">The table below summarizes one-line novelty deltas against key prior references using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IDs.</w:t>
      </w:r>
      <w:r>
        <w:t xml:space="preserve"> </w:t>
      </w:r>
      <w:r>
        <w:t xml:space="preserve">| rw_id | prior_focus | prior_gap | this_study_delta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RW-03 | AIS near-miss detection proxy from realized trajectory proximity. | Limited linkage to calibration-governed operational thresholding. | Combines near-miss proxy labeling with ECE-gated model/threshold governance. |</w:t>
      </w:r>
      <w:r>
        <w:t xml:space="preserve"> </w:t>
      </w:r>
      <w:r>
        <w:t xml:space="preserve">| RW-04 | Real-time multi-vessel collision-risk surveillance architecture. | Less emphasis on cross-region transfer uncertainty and significance control. | Adds cross-region transfer CI + repeated-randomization significance appendices. |</w:t>
      </w:r>
      <w:r>
        <w:t xml:space="preserve"> </w:t>
      </w:r>
      <w:r>
        <w:t xml:space="preserve">| RW-05 | Velocity-obstacle geometry baseline for risk candidate detection. | Geometry-first approach lacks ML calibration comparison protocol. | Presents tabular/raster ML ablation with calibration constraints and utility analysis. |</w:t>
      </w:r>
      <w:r>
        <w:t xml:space="preserve"> </w:t>
      </w:r>
      <w:r>
        <w:t xml:space="preserve">| RW-07 | AIS feature pipeline with ML-based risk prediction feasibility. | Weak emphasis on reviewer-ready uncertainty artifact packaging. | Provides manuscript-grade uncertainty/significance/consistency artifact bundle. |</w:t>
      </w:r>
      <w:r>
        <w:t xml:space="preserve"> </w:t>
      </w:r>
      <w:r>
        <w:t xml:space="preserve">| RW-08 | Regional quantitative AIS risk diagnostics. | Transfer-route directionality and route-specific statistical robustness underreported. | Reports route-level delta direction probability and Holm-adjusted repeated tests. |</w:t>
      </w:r>
      <w:r>
        <w:t xml:space="preserve"> </w:t>
      </w:r>
      <w:r>
        <w:t xml:space="preserve">| RW-09 | Method taxonomy and limitation overview for maritime collision risk. | Taxonomy not tied to concrete acceptance-gated manuscript workflow. | Converts taxonomy into examiner-acceptance TODO closure matrix. |</w:t>
      </w:r>
      <w:r>
        <w:t xml:space="preserve"> </w:t>
      </w:r>
      <w:r>
        <w:t xml:space="preserve">| RW-11 | Calibration necessity for modern predictive models. | No maritime-specific ECE governance instantiation. | Operationalizes ECE&lt;=0.1 gate for model and threshold decision flow. |</w:t>
      </w:r>
      <w:r>
        <w:t xml:space="preserve"> </w:t>
      </w:r>
      <w:r>
        <w:t xml:space="preserve">| RW-12 | Theoretical source-target divergence bound for transfer learning. | Theory-to-route evidence bridge is often qualitative only. | Connects divergence caution to route-level empirical transfer significance outcomes. |</w:t>
      </w:r>
    </w:p>
    <w:bookmarkEnd w:id="42"/>
    <w:bookmarkEnd w:id="43"/>
    <w:bookmarkStart w:id="44" w:name="examiner-priority-todo"/>
    <w:p>
      <w:pPr>
        <w:pStyle w:val="Heading2"/>
      </w:pPr>
      <w:r>
        <w:t xml:space="preserve">13. Examiner-Priority TODO</w:t>
      </w:r>
    </w:p>
    <w:p>
      <w:pPr>
        <w:numPr>
          <w:ilvl w:val="0"/>
          <w:numId w:val="1016"/>
        </w:numPr>
        <w:pStyle w:val="Compact"/>
      </w:pPr>
      <w:r>
        <w:t xml:space="preserve">Detailed TODO:</w:t>
      </w:r>
      <w:r>
        <w:t xml:space="preserve"> </w:t>
      </w:r>
      <w:r>
        <w:rPr>
          <w:rStyle w:val="VerbatimChar"/>
        </w:rPr>
        <w:t xml:space="preserve">examiner_critical_todo_v0.2_2026-04-09.md</w:t>
      </w:r>
    </w:p>
    <w:p>
      <w:pPr>
        <w:numPr>
          <w:ilvl w:val="0"/>
          <w:numId w:val="1016"/>
        </w:numPr>
        <w:pStyle w:val="Compact"/>
      </w:pPr>
      <w:r>
        <w:t xml:space="preserve">This TODO prioritizes novelty framing, statistical testing, external validation scope, and operational threshold interpretation.</w:t>
      </w:r>
    </w:p>
    <w:bookmarkEnd w:id="44"/>
    <w:bookmarkStart w:id="45" w:name="statistical-significance-appendix"/>
    <w:p>
      <w:pPr>
        <w:pStyle w:val="Heading2"/>
      </w:pPr>
      <w:r>
        <w:t xml:space="preserve">14. Statistical Significance Appendix</w:t>
      </w:r>
    </w:p>
    <w:p>
      <w:pPr>
        <w:numPr>
          <w:ilvl w:val="0"/>
          <w:numId w:val="1017"/>
        </w:numPr>
        <w:pStyle w:val="Compact"/>
      </w:pPr>
      <w:r>
        <w:t xml:space="preserve">Significance summary CSV:</w:t>
      </w:r>
      <w:r>
        <w:t xml:space="preserve"> </w:t>
      </w:r>
      <w:r>
        <w:rPr>
          <w:rStyle w:val="VerbatimChar"/>
        </w:rPr>
        <w:t xml:space="preserve">model_family_significance_summary.csv</w:t>
      </w:r>
    </w:p>
    <w:p>
      <w:pPr>
        <w:numPr>
          <w:ilvl w:val="0"/>
          <w:numId w:val="1017"/>
        </w:numPr>
        <w:pStyle w:val="Compact"/>
      </w:pPr>
      <w:r>
        <w:t xml:space="preserve">Appendix document:</w:t>
      </w:r>
      <w:r>
        <w:t xml:space="preserve"> </w:t>
      </w:r>
      <w:r>
        <w:rPr>
          <w:rStyle w:val="VerbatimChar"/>
        </w:rPr>
        <w:t xml:space="preserve">statistical_significance_appendix_v0.2_2026-04-09.md</w:t>
      </w:r>
    </w:p>
    <w:p>
      <w:pPr>
        <w:numPr>
          <w:ilvl w:val="0"/>
          <w:numId w:val="1017"/>
        </w:numPr>
        <w:pStyle w:val="Compact"/>
      </w:pPr>
      <w:r>
        <w:t xml:space="preserve">Test configuration: Paired exact sign test + paired exact permutation test with Holm correction (p&lt;0.05).</w:t>
      </w:r>
    </w:p>
    <w:tbl>
      <w:tblPr>
        <w:tblStyle w:val="Table"/>
        <w:tblW w:type="pct" w:w="4999.999999999998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tabular_model</w:t>
            </w:r>
          </w:p>
        </w:tc>
        <w:tc>
          <w:p>
            <w:pPr>
              <w:pStyle w:val="Compact"/>
              <w:jc w:val="left"/>
            </w:pPr>
            <w:r>
              <w:t xml:space="preserve">raster_cnn_model</w:t>
            </w:r>
          </w:p>
        </w:tc>
        <w:tc>
          <w:p>
            <w:pPr>
              <w:pStyle w:val="Compact"/>
              <w:jc w:val="left"/>
            </w:pPr>
            <w:r>
              <w:t xml:space="preserve">n_pairs</w:t>
            </w:r>
          </w:p>
        </w:tc>
        <w:tc>
          <w:p>
            <w:pPr>
              <w:pStyle w:val="Compact"/>
              <w:jc w:val="left"/>
            </w:pPr>
            <w:r>
              <w:t xml:space="preserve">f1_delta_mean_tabular_minus_cnn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f1_permutation_p_holm</w:t>
            </w:r>
          </w:p>
        </w:tc>
        <w:tc>
          <w:p>
            <w:pPr>
              <w:pStyle w:val="Compact"/>
              <w:jc w:val="left"/>
            </w:pPr>
            <w:r>
              <w:t xml:space="preserve">ece_delta_mean_tabular_minus_cnn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ece_permutation_p_holm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+0.0089</w:t>
            </w:r>
          </w:p>
        </w:tc>
        <w:tc>
          <w:p>
            <w:pPr>
              <w:pStyle w:val="Compact"/>
              <w:jc w:val="left"/>
            </w:pPr>
            <w:r>
              <w:t xml:space="preserve">0.3359</w:t>
            </w:r>
          </w:p>
        </w:tc>
        <w:tc>
          <w:p>
            <w:pPr>
              <w:pStyle w:val="Compact"/>
              <w:jc w:val="left"/>
            </w:pPr>
            <w:r>
              <w:t xml:space="preserve">-0.1446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no significant F1 difference; tabular significantly lower 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+0.1559</w:t>
            </w:r>
          </w:p>
        </w:tc>
        <w:tc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p>
            <w:pPr>
              <w:pStyle w:val="Compact"/>
              <w:jc w:val="left"/>
            </w:pPr>
            <w:r>
              <w:t xml:space="preserve">-0.0870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tabular significantly higher F1; tabular significantly lower 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+0.0136</w:t>
            </w:r>
          </w:p>
        </w:tc>
        <w:tc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p>
            <w:pPr>
              <w:pStyle w:val="Compact"/>
              <w:jc w:val="left"/>
            </w:pPr>
            <w:r>
              <w:t xml:space="preserve">-0.2572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tabular significantly higher F1; tabular significantly lower ECE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houston: ΔF1=+0.0089 (Holm p=0.3359), ΔECE=-0.1446 (Holm p=0.0060)</w:t>
      </w:r>
      <w:r>
        <w:t xml:space="preserve"> </w:t>
      </w:r>
      <w:r>
        <w:t xml:space="preserve">- nola: ΔF1=+0.1559 (Holm p=0.0117), ΔECE=-0.0870 (Holm p=0.0060)</w:t>
      </w:r>
      <w:r>
        <w:t xml:space="preserve"> </w:t>
      </w:r>
      <w:r>
        <w:t xml:space="preserve">- seattle: ΔF1=+0.0136 (Holm p=0.0117), ΔECE=-0.2572 (Holm p=0.0060)</w:t>
      </w:r>
    </w:p>
    <w:bookmarkEnd w:id="45"/>
    <w:bookmarkStart w:id="46" w:name="X0d7739412717a22a0ae688af860fff346e5f7e0"/>
    <w:p>
      <w:pPr>
        <w:pStyle w:val="Heading2"/>
      </w:pPr>
      <w:r>
        <w:t xml:space="preserve">15. Transfer-Route Significance Appendix (bootstrap)</w:t>
      </w:r>
    </w:p>
    <w:p>
      <w:pPr>
        <w:numPr>
          <w:ilvl w:val="0"/>
          <w:numId w:val="1018"/>
        </w:numPr>
        <w:pStyle w:val="Compact"/>
      </w:pPr>
      <w:r>
        <w:t xml:space="preserve">Transfer-route significance CSV:</w:t>
      </w:r>
      <w:r>
        <w:t xml:space="preserve"> </w:t>
      </w:r>
      <w:r>
        <w:rPr>
          <w:rStyle w:val="VerbatimChar"/>
        </w:rPr>
        <w:t xml:space="preserve">transfer_route_significance_summary.csv</w:t>
      </w:r>
    </w:p>
    <w:p>
      <w:pPr>
        <w:numPr>
          <w:ilvl w:val="0"/>
          <w:numId w:val="1018"/>
        </w:numPr>
        <w:pStyle w:val="Compact"/>
      </w:pPr>
      <w:r>
        <w:t xml:space="preserve">Appendix document:</w:t>
      </w:r>
      <w:r>
        <w:t xml:space="preserve"> </w:t>
      </w:r>
      <w:r>
        <w:rPr>
          <w:rStyle w:val="VerbatimChar"/>
        </w:rPr>
        <w:t xml:space="preserve">transfer_route_significance_appendix_v0.2_2026-04-09.md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observed_delta_f1</w:t>
            </w:r>
          </w:p>
        </w:tc>
        <w:tc>
          <w:p>
            <w:pPr>
              <w:pStyle w:val="Compact"/>
              <w:jc w:val="left"/>
            </w:pPr>
            <w:r>
              <w:t xml:space="preserve">bootstrap_delta_ci95</w:t>
            </w:r>
          </w:p>
        </w:tc>
        <w:tc>
          <w:p>
            <w:pPr>
              <w:pStyle w:val="Compact"/>
              <w:jc w:val="left"/>
            </w:pPr>
            <w:r>
              <w:t xml:space="preserve">bootstrap_p_two_sided</w:t>
            </w:r>
          </w:p>
        </w:tc>
        <w:tc>
          <w:p>
            <w:pPr>
              <w:pStyle w:val="Compact"/>
              <w:jc w:val="left"/>
            </w:pPr>
            <w:r>
              <w:t xml:space="preserve">direction_probability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[-0.1634, -0.1152]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statistically_supported_negative_transfer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[-0.2413, -0.1767]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statistically_supported_negative_transfer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[+0.2332, +0.3986]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statistically_supported_positive_transfer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[+0.3545, +0.5174]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statistically_supported_positive_transfer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[-0.0977, +0.1154]</w:t>
            </w:r>
          </w:p>
        </w:tc>
        <w:tc>
          <w:p>
            <w:pPr>
              <w:pStyle w:val="Compact"/>
              <w:jc w:val="left"/>
            </w:pPr>
            <w:r>
              <w:t xml:space="preserve">0.9670</w:t>
            </w:r>
          </w:p>
        </w:tc>
        <w:tc>
          <w:p>
            <w:pPr>
              <w:pStyle w:val="Compact"/>
              <w:jc w:val="left"/>
            </w:pPr>
            <w:r>
              <w:t xml:space="preserve">0.5165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[-0.0393, +0.1521]</w:t>
            </w:r>
          </w:p>
        </w:tc>
        <w:tc>
          <w:p>
            <w:pPr>
              <w:pStyle w:val="Compact"/>
              <w:jc w:val="left"/>
            </w:pPr>
            <w:r>
              <w:t xml:space="preserve">0.2960</w:t>
            </w:r>
          </w:p>
        </w:tc>
        <w:tc>
          <w:p>
            <w:pPr>
              <w:pStyle w:val="Compact"/>
              <w:jc w:val="left"/>
            </w:pPr>
            <w:r>
              <w:t xml:space="preserve">0.8520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houston-&gt;nola: ΔF1=-0.1383, bootstrap p=0.0000, direction_prob=1.0000</w:t>
      </w:r>
      <w:r>
        <w:t xml:space="preserve"> </w:t>
      </w:r>
      <w:r>
        <w:t xml:space="preserve">- houston-&gt;seattle: ΔF1=-0.2103, bootstrap p=0.0000, direction_prob=1.0000</w:t>
      </w:r>
      <w:r>
        <w:t xml:space="preserve"> </w:t>
      </w:r>
      <w:r>
        <w:t xml:space="preserve">- nola-&gt;houston: ΔF1=+0.3213, bootstrap p=0.0000, direction_prob=1.0000</w:t>
      </w:r>
      <w:r>
        <w:t xml:space="preserve"> </w:t>
      </w:r>
      <w:r>
        <w:t xml:space="preserve">- nola-&gt;seattle: ΔF1=+0.4439, bootstrap p=0.0000, direction_prob=1.0000</w:t>
      </w:r>
      <w:r>
        <w:t xml:space="preserve"> </w:t>
      </w:r>
      <w:r>
        <w:t xml:space="preserve">- seattle-&gt;houston: ΔF1=+0.0021, bootstrap p=0.9670, direction_prob=0.5165</w:t>
      </w:r>
      <w:r>
        <w:t xml:space="preserve"> </w:t>
      </w:r>
      <w:r>
        <w:t xml:space="preserve">- seattle-&gt;nola: ΔF1=+0.0488, bootstrap p=0.2960, direction_prob=0.8520</w:t>
      </w:r>
    </w:p>
    <w:bookmarkEnd w:id="46"/>
    <w:bookmarkStart w:id="47" w:name="Xca035c03012a94c8557586c34d9817ef00c193c"/>
    <w:p>
      <w:pPr>
        <w:pStyle w:val="Heading2"/>
      </w:pPr>
      <w:r>
        <w:t xml:space="preserve">16. Transfer-Route Repeated-Randomization Appendix</w:t>
      </w:r>
    </w:p>
    <w:p>
      <w:pPr>
        <w:numPr>
          <w:ilvl w:val="0"/>
          <w:numId w:val="1019"/>
        </w:numPr>
        <w:pStyle w:val="Compact"/>
      </w:pPr>
      <w:r>
        <w:t xml:space="preserve">Repeated-randomization significance CSV:</w:t>
      </w:r>
      <w:r>
        <w:t xml:space="preserve"> </w:t>
      </w:r>
      <w:r>
        <w:rPr>
          <w:rStyle w:val="VerbatimChar"/>
        </w:rPr>
        <w:t xml:space="preserve">transfer_route_repeated_randomization_significance_summary.csv</w:t>
      </w:r>
    </w:p>
    <w:p>
      <w:pPr>
        <w:numPr>
          <w:ilvl w:val="0"/>
          <w:numId w:val="1019"/>
        </w:numPr>
        <w:pStyle w:val="Compact"/>
      </w:pPr>
      <w:r>
        <w:t xml:space="preserve">Appendix document:</w:t>
      </w:r>
      <w:r>
        <w:t xml:space="preserve"> </w:t>
      </w:r>
      <w:r>
        <w:rPr>
          <w:rStyle w:val="VerbatimChar"/>
        </w:rPr>
        <w:t xml:space="preserve">transfer_route_repeated_randomization_appendix_v0.2_2026-04-09.md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observed_delta_f1</w:t>
            </w:r>
          </w:p>
        </w:tc>
        <w:tc>
          <w:p>
            <w:pPr>
              <w:pStyle w:val="Compact"/>
              <w:jc w:val="left"/>
            </w:pPr>
            <w:r>
              <w:t xml:space="preserve">randomization_runs</w:t>
            </w:r>
          </w:p>
        </w:tc>
        <w:tc>
          <w:p>
            <w:pPr>
              <w:pStyle w:val="Compact"/>
              <w:jc w:val="left"/>
            </w:pPr>
            <w:r>
              <w:t xml:space="preserve">delta_mean_across_runs</w:t>
            </w:r>
          </w:p>
        </w:tc>
        <w:tc>
          <w:p>
            <w:pPr>
              <w:pStyle w:val="Compact"/>
              <w:jc w:val="left"/>
            </w:pPr>
            <w:r>
              <w:t xml:space="preserve">delta_ci95_pooled</w:t>
            </w:r>
          </w:p>
        </w:tc>
        <w:tc>
          <w:p>
            <w:pPr>
              <w:pStyle w:val="Compact"/>
              <w:jc w:val="left"/>
            </w:pPr>
            <w:r>
              <w:t xml:space="preserve">p_two_sided_median</w:t>
            </w:r>
          </w:p>
        </w:tc>
        <w:tc>
          <w:p>
            <w:pPr>
              <w:pStyle w:val="Compact"/>
              <w:jc w:val="left"/>
            </w:pPr>
            <w:r>
              <w:t xml:space="preserve">p_two_sided_median_holm</w:t>
            </w:r>
          </w:p>
        </w:tc>
        <w:tc>
          <w:p>
            <w:pPr>
              <w:pStyle w:val="Compact"/>
              <w:jc w:val="left"/>
            </w:pPr>
            <w:r>
              <w:t xml:space="preserve">direction_consistency</w:t>
            </w:r>
          </w:p>
        </w:tc>
        <w:tc>
          <w:p>
            <w:pPr>
              <w:pStyle w:val="Compact"/>
              <w:jc w:val="left"/>
            </w:pPr>
            <w:r>
              <w:t xml:space="preserve">significant_runs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[-0.1630, -0.1149]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[-0.2429, -0.1783]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+0.3197</w:t>
            </w:r>
          </w:p>
        </w:tc>
        <w:tc>
          <w:p>
            <w:pPr>
              <w:pStyle w:val="Compact"/>
              <w:jc w:val="left"/>
            </w:pPr>
            <w:r>
              <w:t xml:space="preserve">[+0.2316, +0.4027]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+0.4420</w:t>
            </w:r>
          </w:p>
        </w:tc>
        <w:tc>
          <w:p>
            <w:pPr>
              <w:pStyle w:val="Compact"/>
              <w:jc w:val="left"/>
            </w:pPr>
            <w:r>
              <w:t xml:space="preserve">[+0.3588, +0.5199]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+0.0020</w:t>
            </w:r>
          </w:p>
        </w:tc>
        <w:tc>
          <w:p>
            <w:pPr>
              <w:pStyle w:val="Compact"/>
              <w:jc w:val="left"/>
            </w:pPr>
            <w:r>
              <w:t xml:space="preserve">[-0.0971, +0.1092]</w:t>
            </w:r>
          </w:p>
        </w:tc>
        <w:tc>
          <w:p>
            <w:pPr>
              <w:pStyle w:val="Compact"/>
              <w:jc w:val="left"/>
            </w:pPr>
            <w:r>
              <w:t xml:space="preserve">0.9750</w:t>
            </w:r>
          </w:p>
        </w:tc>
        <w:tc>
          <w:p>
            <w:pPr>
              <w:pStyle w:val="Compact"/>
              <w:jc w:val="left"/>
            </w:pPr>
            <w:r>
              <w:t xml:space="preserve">0.9750</w:t>
            </w:r>
          </w:p>
        </w:tc>
        <w:tc>
          <w:p>
            <w:pPr>
              <w:pStyle w:val="Compact"/>
              <w:jc w:val="left"/>
            </w:pPr>
            <w:r>
              <w:t xml:space="preserve">0.9600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[-0.0404, +0.1489]</w:t>
            </w:r>
          </w:p>
        </w:tc>
        <w:tc>
          <w:p>
            <w:pPr>
              <w:pStyle w:val="Compact"/>
              <w:jc w:val="left"/>
            </w:pPr>
            <w:r>
              <w:t xml:space="preserve">0.3100</w:t>
            </w:r>
          </w:p>
        </w:tc>
        <w:tc>
          <w:p>
            <w:pPr>
              <w:pStyle w:val="Compact"/>
              <w:jc w:val="left"/>
            </w:pPr>
            <w:r>
              <w:t xml:space="preserve">0.6200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not_conclusive_after_holm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houston-&gt;nola: median p=0.0000, Holm p=0.0000, direction_consistency=1.0000, sig_runs=25/25</w:t>
      </w:r>
      <w:r>
        <w:t xml:space="preserve"> </w:t>
      </w:r>
      <w:r>
        <w:t xml:space="preserve">- houston-&gt;seattle: median p=0.0000, Holm p=0.0000, direction_consistency=1.0000, sig_runs=25/25</w:t>
      </w:r>
      <w:r>
        <w:t xml:space="preserve"> </w:t>
      </w:r>
      <w:r>
        <w:t xml:space="preserve">- nola-&gt;houston: median p=0.0000, Holm p=0.0000, direction_consistency=1.0000, sig_runs=25/25</w:t>
      </w:r>
      <w:r>
        <w:t xml:space="preserve"> </w:t>
      </w:r>
      <w:r>
        <w:t xml:space="preserve">- nola-&gt;seattle: median p=0.0000, Holm p=0.0000, direction_consistency=1.0000, sig_runs=25/25</w:t>
      </w:r>
      <w:r>
        <w:t xml:space="preserve"> </w:t>
      </w:r>
      <w:r>
        <w:t xml:space="preserve">- seattle-&gt;houston: median p=0.9750, Holm p=0.9750, direction_consistency=0.9600, sig_runs=0/25</w:t>
      </w:r>
      <w:r>
        <w:t xml:space="preserve"> </w:t>
      </w:r>
      <w:r>
        <w:t xml:space="preserve">- seattle-&gt;nola: median p=0.3100, Holm p=0.6200, direction_consistency=1.0000, sig_runs=0/25</w:t>
      </w:r>
    </w:p>
    <w:bookmarkEnd w:id="47"/>
    <w:bookmarkStart w:id="48" w:name="X87628fc250d7b1867276627138d9078c8975729"/>
    <w:p>
      <w:pPr>
        <w:pStyle w:val="Heading2"/>
      </w:pPr>
      <w:r>
        <w:t xml:space="preserve">17. Threshold Utility Appendix (Operational Cost Profile)</w:t>
      </w:r>
    </w:p>
    <w:p>
      <w:pPr>
        <w:numPr>
          <w:ilvl w:val="0"/>
          <w:numId w:val="1020"/>
        </w:numPr>
        <w:pStyle w:val="Compact"/>
      </w:pPr>
      <w:r>
        <w:t xml:space="preserve">Utility-curve CSV:</w:t>
      </w:r>
      <w:r>
        <w:t xml:space="preserve"> </w:t>
      </w:r>
      <w:r>
        <w:rPr>
          <w:rStyle w:val="VerbatimChar"/>
        </w:rPr>
        <w:t xml:space="preserve">threshold_utility_curve_summary.csv</w:t>
      </w:r>
    </w:p>
    <w:p>
      <w:pPr>
        <w:numPr>
          <w:ilvl w:val="0"/>
          <w:numId w:val="1020"/>
        </w:numPr>
        <w:pStyle w:val="Compact"/>
      </w:pPr>
      <w:r>
        <w:t xml:space="preserve">Operating-point CSV:</w:t>
      </w:r>
      <w:r>
        <w:t xml:space="preserve"> </w:t>
      </w:r>
      <w:r>
        <w:rPr>
          <w:rStyle w:val="VerbatimChar"/>
        </w:rPr>
        <w:t xml:space="preserve">threshold_utility_operating_points.csv</w:t>
      </w:r>
    </w:p>
    <w:p>
      <w:pPr>
        <w:numPr>
          <w:ilvl w:val="0"/>
          <w:numId w:val="1020"/>
        </w:numPr>
        <w:pStyle w:val="Compact"/>
      </w:pPr>
      <w:r>
        <w:t xml:space="preserve">Utility appendix document:</w:t>
      </w:r>
      <w:r>
        <w:t xml:space="preserve"> </w:t>
      </w:r>
      <w:r>
        <w:rPr>
          <w:rStyle w:val="VerbatimChar"/>
        </w:rPr>
        <w:t xml:space="preserve">threshold_utility_appendix_v0.2_2026-04-09.md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governed_threshold</w:t>
            </w:r>
          </w:p>
        </w:tc>
        <w:tc>
          <w:p>
            <w:pPr>
              <w:pStyle w:val="Compact"/>
              <w:jc w:val="left"/>
            </w:pPr>
            <w:r>
              <w:t xml:space="preserve">utility_opt_threshold</w:t>
            </w:r>
          </w:p>
        </w:tc>
        <w:tc>
          <w:p>
            <w:pPr>
              <w:pStyle w:val="Compact"/>
              <w:jc w:val="left"/>
            </w:pPr>
            <w:r>
              <w:t xml:space="preserve">threshold_shift</w:t>
            </w:r>
          </w:p>
        </w:tc>
        <w:tc>
          <w:p>
            <w:pPr>
              <w:pStyle w:val="Compact"/>
              <w:jc w:val="left"/>
            </w:pPr>
            <w:r>
              <w:t xml:space="preserve">governed_f1</w:t>
            </w:r>
          </w:p>
        </w:tc>
        <w:tc>
          <w:p>
            <w:pPr>
              <w:pStyle w:val="Compact"/>
              <w:jc w:val="left"/>
            </w:pPr>
            <w:r>
              <w:t xml:space="preserve">opt_f1</w:t>
            </w:r>
          </w:p>
        </w:tc>
        <w:tc>
          <w:p>
            <w:pPr>
              <w:pStyle w:val="Compact"/>
              <w:jc w:val="left"/>
            </w:pPr>
            <w:r>
              <w:t xml:space="preserve">cost_reduction_pct</w:t>
            </w:r>
          </w:p>
        </w:tc>
        <w:tc>
          <w:p>
            <w:pPr>
              <w:pStyle w:val="Compact"/>
              <w:jc w:val="left"/>
            </w:pPr>
            <w:r>
              <w:t xml:space="preserve">governed_fp</w:t>
            </w:r>
          </w:p>
        </w:tc>
        <w:tc>
          <w:p>
            <w:pPr>
              <w:pStyle w:val="Compact"/>
              <w:jc w:val="left"/>
            </w:pPr>
            <w:r>
              <w:t xml:space="preserve">governed_fn</w:t>
            </w:r>
          </w:p>
        </w:tc>
        <w:tc>
          <w:p>
            <w:pPr>
              <w:pStyle w:val="Compact"/>
              <w:jc w:val="left"/>
            </w:pPr>
            <w:r>
              <w:t xml:space="preserve">opt_fp</w:t>
            </w:r>
          </w:p>
        </w:tc>
        <w:tc>
          <w:p>
            <w:pPr>
              <w:pStyle w:val="Compact"/>
              <w:jc w:val="left"/>
            </w:pPr>
            <w:r>
              <w:t xml:space="preserve">opt_fn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0.8372</w:t>
            </w:r>
          </w:p>
        </w:tc>
        <w:tc>
          <w:p>
            <w:pPr>
              <w:pStyle w:val="Compact"/>
              <w:jc w:val="left"/>
            </w:pPr>
            <w:r>
              <w:t xml:space="preserve">+46.43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p>
            <w:pPr>
              <w:pStyle w:val="Compact"/>
              <w:jc w:val="left"/>
            </w:pPr>
            <w:r>
              <w:t xml:space="preserve">+0.03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0.6250</w:t>
            </w:r>
          </w:p>
        </w:tc>
        <w:tc>
          <w:p>
            <w:pPr>
              <w:pStyle w:val="Compact"/>
              <w:jc w:val="left"/>
            </w:pPr>
            <w:r>
              <w:t xml:space="preserve">+5.38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p>
            <w:pPr>
              <w:pStyle w:val="Compact"/>
              <w:jc w:val="left"/>
            </w:pPr>
            <w:r>
              <w:t xml:space="preserve">0.8148</w:t>
            </w:r>
          </w:p>
        </w:tc>
        <w:tc>
          <w:p>
            <w:pPr>
              <w:pStyle w:val="Compact"/>
              <w:jc w:val="left"/>
            </w:pPr>
            <w:r>
              <w:t xml:space="preserve">0.8308</w:t>
            </w:r>
          </w:p>
        </w:tc>
        <w:tc>
          <w:p>
            <w:pPr>
              <w:pStyle w:val="Compact"/>
              <w:jc w:val="left"/>
            </w:pPr>
            <w:r>
              <w:t xml:space="preserve">+47.50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Key interpretation:</w:t>
      </w:r>
      <w:r>
        <w:t xml:space="preserve"> </w:t>
      </w:r>
      <w:r>
        <w:t xml:space="preserve">- houston: governed=0.95 -&gt; utility-opt=0.05, cost_reduction=+46.43%, F1_delta=+0.0086</w:t>
      </w:r>
      <w:r>
        <w:t xml:space="preserve"> </w:t>
      </w:r>
      <w:r>
        <w:t xml:space="preserve">- nola: governed=0.35 -&gt; utility-opt=0.38, cost_reduction=+5.38%, F1_delta=+0.0235</w:t>
      </w:r>
      <w:r>
        <w:t xml:space="preserve"> </w:t>
      </w:r>
      <w:r>
        <w:t xml:space="preserve">- seattle: governed=0.60 -&gt; utility-opt=0.36, cost_reduction=+47.50%, F1_delta=+0.0160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svg" /><Relationship Type="http://schemas.openxmlformats.org/officeDocument/2006/relationships/image" Id="rId33" Target="media/rId33.svg" /><Relationship Type="http://schemas.openxmlformats.org/officeDocument/2006/relationships/image" Id="rId34" Target="media/rId34.svg" /><Relationship Type="http://schemas.openxmlformats.org/officeDocument/2006/relationships/image" Id="rId35" Target="media/rId3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2026-04-09T12:59:27Z</dcterms:created>
  <dcterms:modified xsi:type="dcterms:W3CDTF">2026-04-09T12:59:27Z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