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svg" ContentType="image/svg+xml"/>
  <Override PartName="/word/media/rId31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9cf75eb6c88c04ea3d3656b65c138eab314f5a4"/>
    <w:p>
      <w:pPr>
        <w:pStyle w:val="Heading1"/>
      </w:pPr>
      <w:r>
        <w:t xml:space="preserve">AIS Collision-Risk Heatmap Manuscript Draft v0.2 (English)</w:t>
      </w:r>
    </w:p>
    <w:bookmarkStart w:id="20" w:name="objective"/>
    <w:p>
      <w:pPr>
        <w:pStyle w:val="Heading2"/>
      </w:pPr>
      <w:r>
        <w:t xml:space="preserve">1. Objective</w:t>
      </w:r>
    </w:p>
    <w:p>
      <w:pPr>
        <w:pStyle w:val="FirstParagraph"/>
      </w:pPr>
      <w:r>
        <w:t xml:space="preserve">This study evaluates whether AIS-based model training can estimate area-level collision risk and support navigation decisions through heatmap + contour visualization.</w:t>
      </w:r>
    </w:p>
    <w:bookmarkEnd w:id="20"/>
    <w:bookmarkStart w:id="24" w:name="X5d1c2e49801f299774678c7b6515d0b9eecf2c9"/>
    <w:p>
      <w:pPr>
        <w:pStyle w:val="Heading2"/>
      </w:pPr>
      <w:r>
        <w:t xml:space="preserve">2. Data, Evaluation Setup, and Governance Protocol</w:t>
      </w:r>
    </w:p>
    <w:p>
      <w:pPr>
        <w:numPr>
          <w:ilvl w:val="0"/>
          <w:numId w:val="1001"/>
        </w:numPr>
        <w:pStyle w:val="Compact"/>
      </w:pPr>
      <w:r>
        <w:t xml:space="preserve">Datasets: Houston, NOLA, Seattle pooled pairwise</w:t>
      </w:r>
    </w:p>
    <w:p>
      <w:pPr>
        <w:numPr>
          <w:ilvl w:val="0"/>
          <w:numId w:val="1001"/>
        </w:numPr>
        <w:pStyle w:val="Compact"/>
      </w:pPr>
      <w:r>
        <w:t xml:space="preserve">Model families: tabular + regional_raster_cnn + rule baseline</w:t>
      </w:r>
    </w:p>
    <w:p>
      <w:pPr>
        <w:numPr>
          <w:ilvl w:val="0"/>
          <w:numId w:val="1001"/>
        </w:numPr>
        <w:pStyle w:val="Compact"/>
      </w:pPr>
      <w:r>
        <w:t xml:space="preserve">Validation axes: in-time, out-of-time, cross-region transfer, and calibration (ECE)</w:t>
      </w:r>
    </w:p>
    <w:p>
      <w:pPr>
        <w:numPr>
          <w:ilvl w:val="0"/>
          <w:numId w:val="1001"/>
        </w:numPr>
        <w:pStyle w:val="Compact"/>
      </w:pPr>
      <w:r>
        <w:t xml:space="preserve">Seed policy: 10-seed summaries are treated as the default reporting unit</w:t>
      </w:r>
    </w:p>
    <w:bookmarkStart w:id="21" w:name="data-filtering-policy"/>
    <w:p>
      <w:pPr>
        <w:pStyle w:val="Heading3"/>
      </w:pPr>
      <w:r>
        <w:t xml:space="preserve">2.1 Data Filtering Policy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PP-01</w:t>
      </w:r>
      <w:r>
        <w:t xml:space="preserve">: deduplicate by</w:t>
      </w:r>
      <w:r>
        <w:t xml:space="preserve"> </w:t>
      </w:r>
      <w:r>
        <w:rPr>
          <w:rStyle w:val="VerbatimChar"/>
        </w:rPr>
        <w:t xml:space="preserve">mmsi + timestamp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PP-02</w:t>
      </w:r>
      <w:r>
        <w:t xml:space="preserve">: remove invalid latitude/longitude range records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PP-03</w:t>
      </w:r>
      <w:r>
        <w:t xml:space="preserve">: remove</w:t>
      </w:r>
      <w:r>
        <w:t xml:space="preserve"> </w:t>
      </w:r>
      <w:r>
        <w:rPr>
          <w:rStyle w:val="VerbatimChar"/>
        </w:rPr>
        <w:t xml:space="preserve">sog &lt; 0</w:t>
      </w:r>
      <w:r>
        <w:t xml:space="preserve"> </w:t>
      </w:r>
      <w:r>
        <w:t xml:space="preserve">and screen unrealistic speed outliers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PP-04</w:t>
      </w:r>
      <w:r>
        <w:t xml:space="preserve">: fallback from missing</w:t>
      </w:r>
      <w:r>
        <w:t xml:space="preserve"> </w:t>
      </w:r>
      <w:r>
        <w:rPr>
          <w:rStyle w:val="VerbatimChar"/>
        </w:rPr>
        <w:t xml:space="preserve">heading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PP-05~PP-07</w:t>
      </w:r>
      <w:r>
        <w:t xml:space="preserve">: sort by MMSI timestamp, split long gaps, and interpolate only small gaps</w:t>
      </w:r>
    </w:p>
    <w:bookmarkEnd w:id="21"/>
    <w:bookmarkStart w:id="22" w:name="split-policy"/>
    <w:p>
      <w:pPr>
        <w:pStyle w:val="Heading3"/>
      </w:pPr>
      <w:r>
        <w:t xml:space="preserve">2.2 Split Policy</w:t>
      </w:r>
    </w:p>
    <w:p>
      <w:pPr>
        <w:numPr>
          <w:ilvl w:val="0"/>
          <w:numId w:val="1003"/>
        </w:numPr>
        <w:pStyle w:val="Compact"/>
      </w:pPr>
      <w:r>
        <w:t xml:space="preserve">Timestamp split is the baseline temporal generalization check.</w:t>
      </w:r>
    </w:p>
    <w:p>
      <w:pPr>
        <w:numPr>
          <w:ilvl w:val="0"/>
          <w:numId w:val="1003"/>
        </w:numPr>
        <w:pStyle w:val="Compact"/>
      </w:pPr>
      <w:r>
        <w:t xml:space="preserve">Own-ship split/LOO evaluates vessel-conditioned generalization.</w:t>
      </w:r>
    </w:p>
    <w:p>
      <w:pPr>
        <w:numPr>
          <w:ilvl w:val="0"/>
          <w:numId w:val="1003"/>
        </w:numPr>
        <w:pStyle w:val="Compact"/>
      </w:pPr>
      <w:r>
        <w:t xml:space="preserve">Own-ship case repeat tracks repeatability (F1 std and CI width).</w:t>
      </w:r>
    </w:p>
    <w:bookmarkEnd w:id="22"/>
    <w:bookmarkStart w:id="23" w:name="threshold-governance"/>
    <w:p>
      <w:pPr>
        <w:pStyle w:val="Heading3"/>
      </w:pPr>
      <w:r>
        <w:t xml:space="preserve">2.3 Threshold Governance</w:t>
      </w:r>
    </w:p>
    <w:p>
      <w:pPr>
        <w:numPr>
          <w:ilvl w:val="0"/>
          <w:numId w:val="1004"/>
        </w:numPr>
        <w:pStyle w:val="Compact"/>
      </w:pPr>
      <w:r>
        <w:t xml:space="preserve">Model selection uses</w:t>
      </w:r>
      <w:r>
        <w:t xml:space="preserve"> </w:t>
      </w:r>
      <w:r>
        <w:rPr>
          <w:rStyle w:val="VerbatimChar"/>
        </w:rPr>
        <w:t xml:space="preserve">ECE gate(&lt;=0.1)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F1-first with variance tie-break</w:t>
      </w:r>
      <w:r>
        <w:t xml:space="preserve"> </w:t>
      </w:r>
      <w:r>
        <w:t xml:space="preserve">policy.</w:t>
      </w:r>
    </w:p>
    <w:p>
      <w:pPr>
        <w:numPr>
          <w:ilvl w:val="0"/>
          <w:numId w:val="1004"/>
        </w:numPr>
        <w:pStyle w:val="Compact"/>
      </w:pPr>
      <w:r>
        <w:t xml:space="preserve">Transfer evaluation applies the source-selected threshold unchanged on target region.</w:t>
      </w:r>
    </w:p>
    <w:p>
      <w:pPr>
        <w:numPr>
          <w:ilvl w:val="0"/>
          <w:numId w:val="1004"/>
        </w:numPr>
        <w:pStyle w:val="Compact"/>
      </w:pPr>
      <w:r>
        <w:t xml:space="preserve">Every threshold change is logged with rationale, approval, and performance/calibration impact.</w:t>
      </w:r>
    </w:p>
    <w:bookmarkEnd w:id="23"/>
    <w:bookmarkEnd w:id="24"/>
    <w:bookmarkStart w:id="26" w:name="final-model-selection-10-seed"/>
    <w:p>
      <w:pPr>
        <w:pStyle w:val="Heading2"/>
      </w:pPr>
      <w:r>
        <w:t xml:space="preserve">3. Final Model Selection (10-seed)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f1_single_eval</w:t>
            </w:r>
          </w:p>
        </w:tc>
        <w:tc>
          <w:p>
            <w:pPr>
              <w:pStyle w:val="Compact"/>
              <w:jc w:val="left"/>
            </w:pPr>
            <w:r>
              <w:t xml:space="preserve">ece_single_eval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0.0289</w:t>
            </w:r>
          </w:p>
        </w:tc>
      </w:tr>
    </w:tbl>
    <w:p>
      <w:pPr>
        <w:pStyle w:val="BodyText"/>
      </w:pPr>
      <w:r>
        <w:t xml:space="preserve">Interpretation: all three regions satisfy the ECE gate, and the final model is chosen by performance/variance tradeoff.</w:t>
      </w:r>
      <w:r>
        <w:t xml:space="preserve"> </w:t>
      </w:r>
      <w:r>
        <w:rPr>
          <w:rStyle w:val="VerbatimChar"/>
        </w:rPr>
        <w:t xml:space="preserve">hgbt</w:t>
      </w:r>
      <w:r>
        <w:t xml:space="preserve"> </w:t>
      </w:r>
      <w:r>
        <w:t xml:space="preserve">is selected for Houston and NOLA, while</w:t>
      </w:r>
      <w:r>
        <w:t xml:space="preserve"> </w:t>
      </w:r>
      <w:r>
        <w:rPr>
          <w:rStyle w:val="VerbatimChar"/>
        </w:rPr>
        <w:t xml:space="preserve">extra_trees</w:t>
      </w:r>
      <w:r>
        <w:t xml:space="preserve"> </w:t>
      </w:r>
      <w:r>
        <w:t xml:space="preserve">is selected for Seattle.</w:t>
      </w:r>
    </w:p>
    <w:bookmarkStart w:id="25" w:name="uncertainty-95-ci"/>
    <w:p>
      <w:pPr>
        <w:pStyle w:val="Heading3"/>
      </w:pPr>
      <w:r>
        <w:t xml:space="preserve">3.1 Uncertainty (95%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f1_std_10seed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f1_ci95_high_10seed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ece_std_10seed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ece_ci95_high_10seed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0.0261</w:t>
            </w:r>
          </w:p>
        </w:tc>
        <w:tc>
          <w:p>
            <w:pPr>
              <w:pStyle w:val="Compact"/>
              <w:jc w:val="left"/>
            </w:pPr>
            <w:r>
              <w:t xml:space="preserve">0.8012</w:t>
            </w:r>
          </w:p>
        </w:tc>
        <w:tc>
          <w:p>
            <w:pPr>
              <w:pStyle w:val="Compact"/>
              <w:jc w:val="left"/>
            </w:pPr>
            <w:r>
              <w:t xml:space="preserve">0.8336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p>
            <w:pPr>
              <w:pStyle w:val="Compact"/>
              <w:jc w:val="left"/>
            </w:pPr>
            <w:r>
              <w:t xml:space="preserve">0.0311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Note: CIs use normal approximation from</w:t>
      </w:r>
      <w:r>
        <w:t xml:space="preserve"> </w:t>
      </w:r>
      <w:r>
        <w:rPr>
          <w:rStyle w:val="VerbatimChar"/>
        </w:rPr>
        <w:t xml:space="preserve">f1_std/ece_std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n=10 seeds</w:t>
      </w:r>
      <w:r>
        <w:t xml:space="preserve"> </w:t>
      </w:r>
      <w:r>
        <w:t xml:space="preserve">assumption.</w:t>
      </w:r>
    </w:p>
    <w:bookmarkEnd w:id="25"/>
    <w:bookmarkEnd w:id="26"/>
    <w:bookmarkStart w:id="28" w:name="core-transfer-performance"/>
    <w:p>
      <w:pPr>
        <w:pStyle w:val="Heading2"/>
      </w:pPr>
      <w:r>
        <w:t xml:space="preserve">4. Core Transfer Performance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delta_f1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0.0246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0.0428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0.0159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0.0260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0.0332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0.0272</w:t>
            </w:r>
          </w:p>
        </w:tc>
      </w:tr>
    </w:tbl>
    <w:p>
      <w:pPr>
        <w:pStyle w:val="BodyText"/>
      </w:pPr>
      <w:r>
        <w:t xml:space="preserve">Interpretation: Houston as source shows negative ΔF1 (domain-shift stress), while NOLA/Seattle sources show positive or near-neutral transfer outcomes.</w:t>
      </w:r>
    </w:p>
    <w:bookmarkStart w:id="27" w:name="transfer-uncertainty-bootstrap-95-ci"/>
    <w:p>
      <w:pPr>
        <w:pStyle w:val="Heading3"/>
      </w:pPr>
      <w:r>
        <w:t xml:space="preserve">4.1 Transfer Uncertainty (bootstrap 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source_f1_ci95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target_f1_ci95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ci_method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[0.8349, 0.8855]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[0.7605, 0.8212]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[0.6954, 0.7771]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[0.8296, 0.8869]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[0.7548, 0.8502]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[0.8244, 0.8794]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Note: transfer CIs are bootstrap estimates from source/target prediction CSVs.</w:t>
      </w:r>
    </w:p>
    <w:p>
      <w:pPr>
        <w:numPr>
          <w:ilvl w:val="0"/>
          <w:numId w:val="1006"/>
        </w:numPr>
        <w:pStyle w:val="Compact"/>
      </w:pPr>
      <w:r>
        <w:t xml:space="preserve">Additional caution (high-uncertainty routes): No high-uncertainty transfer route detected.</w:t>
      </w:r>
    </w:p>
    <w:bookmarkEnd w:id="27"/>
    <w:bookmarkEnd w:id="28"/>
    <w:bookmarkStart w:id="29" w:name="ablation-tabular-vs-raster-cnn"/>
    <w:p>
      <w:pPr>
        <w:pStyle w:val="Heading2"/>
      </w:pPr>
      <w:r>
        <w:t xml:space="preserve">5. Ablation: tabular vs raster-CNN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tabular_f1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raster_cnn_f1</w:t>
            </w:r>
          </w:p>
        </w:tc>
        <w:tc>
          <w:p>
            <w:pPr>
              <w:pStyle w:val="Compact"/>
              <w:jc w:val="left"/>
            </w:pPr>
            <w:r>
              <w:t xml:space="preserve">delta_f1_tabular_minus_cnn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tabular_ece</w:t>
            </w:r>
          </w:p>
        </w:tc>
        <w:tc>
          <w:p>
            <w:pPr>
              <w:pStyle w:val="Compact"/>
              <w:jc w:val="left"/>
            </w:pPr>
            <w:r>
              <w:t xml:space="preserve">raster_cnn_ece</w:t>
            </w:r>
          </w:p>
        </w:tc>
        <w:tc>
          <w:p>
            <w:pPr>
              <w:pStyle w:val="Compact"/>
              <w:jc w:val="left"/>
            </w:pPr>
            <w:r>
              <w:t xml:space="preserve">delta_ece_tabular_minus_cnn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cnn_focal_temp</w:t>
            </w:r>
          </w:p>
        </w:tc>
        <w:tc>
          <w:p>
            <w:pPr>
              <w:pStyle w:val="Compact"/>
              <w:jc w:val="left"/>
            </w:pPr>
            <w:r>
              <w:t xml:space="preserve">0.8315</w:t>
            </w:r>
          </w:p>
        </w:tc>
        <w:tc>
          <w:p>
            <w:pPr>
              <w:pStyle w:val="Compact"/>
              <w:jc w:val="left"/>
            </w:pPr>
            <w:r>
              <w:t xml:space="preserve">-0.0029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0.1458</w:t>
            </w:r>
          </w:p>
        </w:tc>
        <w:tc>
          <w:p>
            <w:pPr>
              <w:pStyle w:val="Compact"/>
              <w:jc w:val="left"/>
            </w:pPr>
            <w:r>
              <w:t xml:space="preserve">-0.1229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0.4432</w:t>
            </w:r>
          </w:p>
        </w:tc>
        <w:tc>
          <w:p>
            <w:pPr>
              <w:pStyle w:val="Compact"/>
              <w:jc w:val="left"/>
            </w:pPr>
            <w:r>
              <w:t xml:space="preserve">+0.1583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0.1019</w:t>
            </w:r>
          </w:p>
        </w:tc>
        <w:tc>
          <w:p>
            <w:pPr>
              <w:pStyle w:val="Compact"/>
              <w:jc w:val="left"/>
            </w:pPr>
            <w:r>
              <w:t xml:space="preserve">-0.0783</w:t>
            </w:r>
          </w:p>
        </w:tc>
        <w:tc>
          <w:p>
            <w:pPr>
              <w:pStyle w:val="Compact"/>
              <w:jc w:val="left"/>
            </w:pPr>
            <w:r>
              <w:t xml:space="preserve">tabular dominates both discrimination and 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0.8214</w:t>
            </w:r>
          </w:p>
        </w:tc>
        <w:tc>
          <w:p>
            <w:pPr>
              <w:pStyle w:val="Compact"/>
              <w:jc w:val="left"/>
            </w:pPr>
            <w:r>
              <w:t xml:space="preserve">cnn_focal</w:t>
            </w:r>
          </w:p>
        </w:tc>
        <w:tc>
          <w:p>
            <w:pPr>
              <w:pStyle w:val="Compact"/>
              <w:jc w:val="left"/>
            </w:pPr>
            <w:r>
              <w:t xml:space="preserve">0.8364</w:t>
            </w:r>
          </w:p>
        </w:tc>
        <w:tc>
          <w:p>
            <w:pPr>
              <w:pStyle w:val="Compact"/>
              <w:jc w:val="left"/>
            </w:pPr>
            <w:r>
              <w:t xml:space="preserve">-0.0149</w:t>
            </w:r>
          </w:p>
        </w:tc>
        <w:tc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p>
            <w:pPr>
              <w:pStyle w:val="Compact"/>
              <w:jc w:val="left"/>
            </w:pPr>
            <w:r>
              <w:t xml:space="preserve">0.2791</w:t>
            </w:r>
          </w:p>
        </w:tc>
        <w:tc>
          <w:p>
            <w:pPr>
              <w:pStyle w:val="Compact"/>
              <w:jc w:val="left"/>
            </w:pPr>
            <w:r>
              <w:t xml:space="preserve">-0.2310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</w:tbl>
    <w:p>
      <w:pPr>
        <w:pStyle w:val="BodyText"/>
      </w:pPr>
      <w:r>
        <w:t xml:space="preserve">Summary interpretation:</w:t>
      </w:r>
      <w:r>
        <w:t xml:space="preserve"> </w:t>
      </w:r>
      <w:r>
        <w:t xml:space="preserve">- houston: ΔF1(tabular-cnn)=-0.0029 (raster-CNN is higher), ΔECE(tabular-cnn)=-0.1229 (tabular shows better calibration).</w:t>
      </w:r>
      <w:r>
        <w:t xml:space="preserve"> </w:t>
      </w:r>
      <w:r>
        <w:t xml:space="preserve">- nola: ΔF1(tabular-cnn)=+0.1583 (tabular is higher), ΔECE(tabular-cnn)=-0.0783 (tabular shows better calibration).</w:t>
      </w:r>
      <w:r>
        <w:t xml:space="preserve"> </w:t>
      </w:r>
      <w:r>
        <w:t xml:space="preserve">- seattle: ΔF1(tabular-cnn)=-0.0149 (raster-CNN is higher), ΔECE(tabular-cnn)=-0.2310 (tabular shows better calibration).</w:t>
      </w:r>
    </w:p>
    <w:bookmarkEnd w:id="29"/>
    <w:bookmarkStart w:id="33" w:name="figure-set"/>
    <w:p>
      <w:pPr>
        <w:pStyle w:val="Heading2"/>
      </w:pPr>
      <w:r>
        <w:t xml:space="preserve">6. Figure Set</w:t>
      </w:r>
    </w:p>
    <w:p>
      <w:pPr>
        <w:numPr>
          <w:ilvl w:val="0"/>
          <w:numId w:val="1007"/>
        </w:numPr>
        <w:pStyle w:val="Compact"/>
      </w:pPr>
      <w:r>
        <w:t xml:space="preserve">Figure 1:</w:t>
      </w:r>
      <w:r>
        <w:t xml:space="preserve"> </w:t>
      </w:r>
      <w:r>
        <w:drawing>
          <wp:inline>
            <wp:extent cx="5334000" cy="2830285"/>
            <wp:effectExtent b="0" l="0" r="0" t="0"/>
            <wp:docPr descr="model-family" title="" id="1" name="Picture"/>
            <a:graphic>
              <a:graphicData uri="http://schemas.openxmlformats.org/drawingml/2006/picture">
                <pic:pic>
                  <pic:nvPicPr>
                    <pic:cNvPr descr="figure_1_model_family_compariso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2:</w:t>
      </w:r>
      <w:r>
        <w:t xml:space="preserve"> </w:t>
      </w:r>
      <w:r>
        <w:drawing>
          <wp:inline>
            <wp:extent cx="5334000" cy="3789947"/>
            <wp:effectExtent b="0" l="0" r="0" t="0"/>
            <wp:docPr descr="transfer-heatmap" title="" id="1" name="Picture"/>
            <a:graphic>
              <a:graphicData uri="http://schemas.openxmlformats.org/drawingml/2006/picture">
                <pic:pic>
                  <pic:nvPicPr>
                    <pic:cNvPr descr="figure_2_transfer_delta_f1_heatmap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3:</w:t>
      </w:r>
      <w:r>
        <w:t xml:space="preserve"> </w:t>
      </w:r>
      <w:r>
        <w:drawing>
          <wp:inline>
            <wp:extent cx="5334000" cy="1710905"/>
            <wp:effectExtent b="0" l="0" r="0" t="0"/>
            <wp:docPr descr="pipeline" title="" id="1" name="Picture"/>
            <a:graphic>
              <a:graphicData uri="http://schemas.openxmlformats.org/drawingml/2006/picture">
                <pic:pic>
                  <pic:nvPicPr>
                    <pic:cNvPr descr="figure_3_pipeline_overview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terminology-mapping-koreng"/>
    <w:p>
      <w:pPr>
        <w:pStyle w:val="Heading2"/>
      </w:pPr>
      <w:r>
        <w:t xml:space="preserve">7. Terminology Mapping (KOR/ENG)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korean_term</w:t>
            </w:r>
          </w:p>
        </w:tc>
        <w:tc>
          <w:p>
            <w:pPr>
              <w:pStyle w:val="Compact"/>
              <w:jc w:val="left"/>
            </w:pPr>
            <w:r>
              <w:t xml:space="preserve">english_term</w:t>
            </w:r>
          </w:p>
        </w:tc>
        <w:tc>
          <w:p>
            <w:pPr>
              <w:pStyle w:val="Compact"/>
              <w:jc w:val="left"/>
            </w:pPr>
            <w:r>
              <w:t xml:space="preserve">usage_note_ko</w:t>
            </w:r>
          </w:p>
        </w:tc>
        <w:tc>
          <w:p>
            <w:pPr>
              <w:pStyle w:val="Compact"/>
              <w:jc w:val="left"/>
            </w:pPr>
            <w:r>
              <w:t xml:space="preserve">usage_note_en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Risk Heatmap</w:t>
            </w:r>
          </w:p>
        </w:tc>
        <w:tc>
          <w:p>
            <w:pPr>
              <w:pStyle w:val="Compact"/>
              <w:jc w:val="left"/>
            </w:pPr>
            <w:r>
              <w:t xml:space="preserve">충돌위험 히트맵</w:t>
            </w:r>
          </w:p>
        </w:tc>
        <w:tc>
          <w:p>
            <w:pPr>
              <w:pStyle w:val="Compact"/>
              <w:jc w:val="left"/>
            </w:pPr>
            <w:r>
              <w:t xml:space="preserve">collision-risk heatmap</w:t>
            </w:r>
          </w:p>
        </w:tc>
        <w:tc>
          <w:p>
            <w:pPr>
              <w:pStyle w:val="Compact"/>
              <w:jc w:val="left"/>
            </w:pPr>
            <w:r>
              <w:t xml:space="preserve">공간 격자에서 상대 위험도를 색상 강도로 표현한 지도</w:t>
            </w:r>
          </w:p>
        </w:tc>
        <w:tc>
          <w:p>
            <w:pPr>
              <w:pStyle w:val="Compact"/>
              <w:jc w:val="left"/>
            </w:pPr>
            <w:r>
              <w:t xml:space="preserve">A map that encodes relative risk intensity over spatial grids.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안전도 등고선</w:t>
            </w:r>
          </w:p>
        </w:tc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동일 위험 임계값을 연결한 곡선; 의사결정 경계로 사용</w:t>
            </w:r>
          </w:p>
        </w:tc>
        <w:tc>
          <w:p>
            <w:pPr>
              <w:pStyle w:val="Compact"/>
              <w:jc w:val="left"/>
            </w:pPr>
            <w:r>
              <w:t xml:space="preserve">A curve connecting equal-risk thresholds for decision boundaries.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교차 해역 전이</w:t>
            </w:r>
          </w:p>
        </w:tc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source 해역 학습모델을 target 해역에 적용한 일반화 성능 평가</w:t>
            </w:r>
          </w:p>
        </w:tc>
        <w:tc>
          <w:p>
            <w:pPr>
              <w:pStyle w:val="Compact"/>
              <w:jc w:val="left"/>
            </w:pPr>
            <w:r>
              <w:t xml:space="preserve">Generalization test applying a source-region-trained model to a target region.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도메인 시프트</w:t>
            </w:r>
          </w:p>
        </w:tc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학습/적용 해역 분포 차이로 성능이 변하는 현상</w:t>
            </w:r>
          </w:p>
        </w:tc>
        <w:tc>
          <w:p>
            <w:pPr>
              <w:pStyle w:val="Compact"/>
              <w:jc w:val="left"/>
            </w:pPr>
            <w:r>
              <w:t xml:space="preserve">Performance drift caused by source-target distribution mismatch.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p>
            <w:pPr>
              <w:pStyle w:val="Compact"/>
              <w:jc w:val="left"/>
            </w:pPr>
            <w:r>
              <w:t xml:space="preserve">기대 보정 오차</w:t>
            </w:r>
          </w:p>
        </w:tc>
        <w:tc>
          <w:p>
            <w:pPr>
              <w:pStyle w:val="Compact"/>
              <w:jc w:val="left"/>
            </w:pPr>
            <w:r>
              <w:t xml:space="preserve">expected calibration error (ECE)</w:t>
            </w:r>
          </w:p>
        </w:tc>
        <w:tc>
          <w:p>
            <w:pPr>
              <w:pStyle w:val="Compact"/>
              <w:jc w:val="left"/>
            </w:pPr>
            <w:r>
              <w:t xml:space="preserve">예측 확률과 실제 빈도의 불일치 정도; 낮을수록 바람직</w:t>
            </w:r>
          </w:p>
        </w:tc>
        <w:tc>
          <w:p>
            <w:pPr>
              <w:pStyle w:val="Compact"/>
              <w:jc w:val="left"/>
            </w:pPr>
            <w:r>
              <w:t xml:space="preserve">Mismatch between predicted confidence and empirical frequency; lower is better.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임계값 거버넌스</w:t>
            </w:r>
          </w:p>
        </w:tc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운영 임계값 변경 시 근거/승인/추적 규칙</w:t>
            </w:r>
          </w:p>
        </w:tc>
        <w:tc>
          <w:p>
            <w:pPr>
              <w:pStyle w:val="Compact"/>
              <w:jc w:val="left"/>
            </w:pPr>
            <w:r>
              <w:t xml:space="preserve">Policy for rationale, approval, and traceability of threshold changes.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자선(own ship)</w:t>
            </w:r>
          </w:p>
        </w:tc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분석 기준 선박. 최초 등장 시 자선(own ship)으로 병기</w:t>
            </w:r>
          </w:p>
        </w:tc>
        <w:tc>
          <w:p>
            <w:pPr>
              <w:pStyle w:val="Compact"/>
              <w:jc w:val="left"/>
            </w:pPr>
            <w:r>
              <w:t xml:space="preserve">Reference vessel in analysis; write as 자선(own ship) on first Korean mention.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규칙 기반 기준선</w:t>
            </w:r>
          </w:p>
        </w:tc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모델 성능 비교를 위한 비학습 규칙 기반 참조선</w:t>
            </w:r>
          </w:p>
        </w:tc>
        <w:tc>
          <w:p>
            <w:pPr>
              <w:pStyle w:val="Compact"/>
              <w:jc w:val="left"/>
            </w:pPr>
            <w:r>
              <w:t xml:space="preserve">Non-learning reference baseline for model-comparison benchmarking.</w:t>
            </w:r>
          </w:p>
        </w:tc>
      </w:tr>
    </w:tbl>
    <w:p>
      <w:pPr>
        <w:pStyle w:val="BodyText"/>
      </w:pPr>
      <w:r>
        <w:t xml:space="preserve">Detailed terminology guidance is provided in</w:t>
      </w:r>
      <w:r>
        <w:t xml:space="preserve"> </w:t>
      </w:r>
      <w:r>
        <w:rPr>
          <w:rStyle w:val="VerbatimChar"/>
        </w:rPr>
        <w:t xml:space="preserve">terminology_mapping_v0.2_2026-04-09.md</w:t>
      </w:r>
      <w:r>
        <w:t xml:space="preserve">.</w:t>
      </w:r>
    </w:p>
    <w:bookmarkEnd w:id="34"/>
    <w:bookmarkStart w:id="35" w:name="bilingual-figure-captions"/>
    <w:p>
      <w:pPr>
        <w:pStyle w:val="Heading2"/>
      </w:pPr>
      <w:r>
        <w:t xml:space="preserve">8. Bilingual Figure Captions</w:t>
      </w:r>
    </w:p>
    <w:p>
      <w:pPr>
        <w:numPr>
          <w:ilvl w:val="0"/>
          <w:numId w:val="1008"/>
        </w:numPr>
        <w:pStyle w:val="Compact"/>
      </w:pPr>
      <w:r>
        <w:t xml:space="preserve">KOR/ENG caption set:</w:t>
      </w:r>
      <w:r>
        <w:t xml:space="preserve"> </w:t>
      </w:r>
      <w:r>
        <w:rPr>
          <w:rStyle w:val="VerbatimChar"/>
        </w:rPr>
        <w:t xml:space="preserve">figure_captions_bilingual_v0.2_2026-04-09.md</w:t>
      </w:r>
    </w:p>
    <w:bookmarkEnd w:id="35"/>
    <w:bookmarkStart w:id="36" w:name="scenario-visualization-evidence"/>
    <w:p>
      <w:pPr>
        <w:pStyle w:val="Heading2"/>
      </w:pPr>
      <w:r>
        <w:t xml:space="preserve">9. Scenario Visualization Evidence</w:t>
      </w:r>
    </w:p>
    <w:p>
      <w:pPr>
        <w:numPr>
          <w:ilvl w:val="0"/>
          <w:numId w:val="1009"/>
        </w:numPr>
        <w:pStyle w:val="Compact"/>
      </w:pPr>
      <w:r>
        <w:t xml:space="preserve">Houston scenario:</w:t>
      </w:r>
      <w:r>
        <w:t xml:space="preserve"> </w:t>
      </w:r>
      <w:r>
        <w:rPr>
          <w:rStyle w:val="VerbatimChar"/>
        </w:rPr>
        <w:t xml:space="preserve">../../results/2026-04-04-expanded-10seed/houston_report_figure.svg</w:t>
      </w:r>
    </w:p>
    <w:p>
      <w:pPr>
        <w:numPr>
          <w:ilvl w:val="0"/>
          <w:numId w:val="1009"/>
        </w:numPr>
        <w:pStyle w:val="Compact"/>
      </w:pPr>
      <w:r>
        <w:t xml:space="preserve">NOLA scenario:</w:t>
      </w:r>
      <w:r>
        <w:t xml:space="preserve"> </w:t>
      </w:r>
      <w:r>
        <w:rPr>
          <w:rStyle w:val="VerbatimChar"/>
        </w:rPr>
        <w:t xml:space="preserve">../../results/2026-04-04-expanded-10seed/nola_report_figure.svg</w:t>
      </w:r>
    </w:p>
    <w:p>
      <w:pPr>
        <w:numPr>
          <w:ilvl w:val="0"/>
          <w:numId w:val="1009"/>
        </w:numPr>
        <w:pStyle w:val="Compact"/>
      </w:pPr>
      <w:r>
        <w:t xml:space="preserve">Seattle scenario:</w:t>
      </w:r>
      <w:r>
        <w:t xml:space="preserve"> </w:t>
      </w:r>
      <w:r>
        <w:rPr>
          <w:rStyle w:val="VerbatimChar"/>
        </w:rPr>
        <w:t xml:space="preserve">../../results/2026-04-04-expanded-10seed/seattle_report_figure.svg</w:t>
      </w:r>
    </w:p>
    <w:bookmarkEnd w:id="36"/>
    <w:bookmarkStart w:id="37" w:name="submission-format-note"/>
    <w:p>
      <w:pPr>
        <w:pStyle w:val="Heading2"/>
      </w:pPr>
      <w:r>
        <w:t xml:space="preserve">10. Submission Format Note</w:t>
      </w:r>
    </w:p>
    <w:p>
      <w:pPr>
        <w:numPr>
          <w:ilvl w:val="0"/>
          <w:numId w:val="1010"/>
        </w:numPr>
        <w:pStyle w:val="Compact"/>
      </w:pPr>
      <w:r>
        <w:t xml:space="preserve">At this stage, authoring in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is practical and reproducible.</w:t>
      </w:r>
    </w:p>
    <w:p>
      <w:pPr>
        <w:numPr>
          <w:ilvl w:val="0"/>
          <w:numId w:val="1010"/>
        </w:numPr>
        <w:pStyle w:val="Compact"/>
      </w:pPr>
      <w:r>
        <w:t xml:space="preserve">For venue submission, convert to the target template (Word/LaTeX) while keeping</w:t>
      </w:r>
      <w:r>
        <w:t xml:space="preserve"> </w:t>
      </w:r>
      <w:r>
        <w:rPr>
          <w:rStyle w:val="VerbatimChar"/>
        </w:rPr>
        <w:t xml:space="preserve">docs/manuscript</w:t>
      </w:r>
      <w:r>
        <w:t xml:space="preserve"> </w:t>
      </w:r>
      <w:r>
        <w:t xml:space="preserve">as the single source of truth.</w:t>
      </w:r>
    </w:p>
    <w:bookmarkEnd w:id="37"/>
    <w:bookmarkStart w:id="38" w:name="submission-readiness-artifacts"/>
    <w:p>
      <w:pPr>
        <w:pStyle w:val="Heading2"/>
      </w:pPr>
      <w:r>
        <w:t xml:space="preserve">11. Submission-Readiness Artifacts</w:t>
      </w:r>
    </w:p>
    <w:p>
      <w:pPr>
        <w:numPr>
          <w:ilvl w:val="0"/>
          <w:numId w:val="1011"/>
        </w:numPr>
        <w:pStyle w:val="Compact"/>
      </w:pPr>
      <w:r>
        <w:t xml:space="preserve">LaTeX venue template draft:</w:t>
      </w:r>
      <w:r>
        <w:t xml:space="preserve"> </w:t>
      </w:r>
      <w:r>
        <w:rPr>
          <w:rStyle w:val="VerbatimChar"/>
        </w:rPr>
        <w:t xml:space="preserve">manuscript_submission_template_v0.2_2026-04-09.tex</w:t>
      </w:r>
    </w:p>
    <w:p>
      <w:pPr>
        <w:numPr>
          <w:ilvl w:val="0"/>
          <w:numId w:val="1011"/>
        </w:numPr>
        <w:pStyle w:val="Compact"/>
      </w:pPr>
      <w:r>
        <w:t xml:space="preserve">Consistency audit report:</w:t>
      </w:r>
      <w:r>
        <w:t xml:space="preserve"> </w:t>
      </w:r>
      <w:r>
        <w:rPr>
          <w:rStyle w:val="VerbatimChar"/>
        </w:rPr>
        <w:t xml:space="preserve">manuscript_consistency_report_v0.2_2026-04-09.md</w:t>
      </w:r>
    </w:p>
    <w:p>
      <w:pPr>
        <w:numPr>
          <w:ilvl w:val="0"/>
          <w:numId w:val="1011"/>
        </w:numPr>
        <w:pStyle w:val="Compact"/>
      </w:pPr>
      <w:r>
        <w:t xml:space="preserve">Automated consistency status: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(5/5)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svg" /><Relationship Type="http://schemas.openxmlformats.org/officeDocument/2006/relationships/image" Id="rId31" Target="media/rId31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2026-04-09T11:54:41Z</dcterms:created>
  <dcterms:modified xsi:type="dcterms:W3CDTF">2026-04-09T11:54:41Z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