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№4</w:t>
      </w:r>
    </w:p>
    <w:p>
      <w:pPr>
        <w:pStyle w:val="Subtitle"/>
      </w:pPr>
      <w:r>
        <w:t xml:space="preserve">Дисциплина: Архитектура компьютеров</w:t>
      </w:r>
    </w:p>
    <w:p>
      <w:pPr>
        <w:pStyle w:val="Author"/>
      </w:pPr>
      <w:r>
        <w:t xml:space="preserve">Малинина Анастасия 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1.Создание программы Hello world!</w:t>
      </w:r>
      <w:r>
        <w:t xml:space="preserve"> </w:t>
      </w:r>
      <w:r>
        <w:t xml:space="preserve">2.Работа с транслятором NASM</w:t>
      </w:r>
      <w:r>
        <w:t xml:space="preserve"> </w:t>
      </w:r>
      <w:r>
        <w:t xml:space="preserve">3.Работа с расширенным синтаксисом командной строки NASM</w:t>
      </w:r>
      <w:r>
        <w:t xml:space="preserve"> </w:t>
      </w:r>
      <w:r>
        <w:t xml:space="preserve">4.Работа с компоновщиком LD</w:t>
      </w:r>
      <w:r>
        <w:t xml:space="preserve"> </w:t>
      </w:r>
      <w:r>
        <w:t xml:space="preserve">5.Запуск исполняемого файла</w:t>
      </w:r>
      <w:r>
        <w:t xml:space="preserve"> </w:t>
      </w:r>
      <w:r>
        <w:t xml:space="preserve">6.Выполнение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</w:p>
    <w:p>
      <w:pPr>
        <w:numPr>
          <w:ilvl w:val="0"/>
          <w:numId w:val="1001"/>
        </w:numPr>
      </w:pPr>
      <w:r>
        <w:t xml:space="preserve">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</w:p>
    <w:p>
      <w:pPr>
        <w:numPr>
          <w:ilvl w:val="0"/>
          <w:numId w:val="1001"/>
        </w:numPr>
      </w:pPr>
      <w:r>
        <w:t xml:space="preserve">устройство управления (УУ) — обеспечивает управление и контроль всех устройств компьютера;</w:t>
      </w:r>
    </w:p>
    <w:p>
      <w:pPr>
        <w:numPr>
          <w:ilvl w:val="0"/>
          <w:numId w:val="1001"/>
        </w:numPr>
      </w:pPr>
      <w:r>
        <w:t xml:space="preserve">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</w:p>
    <w:p>
      <w:pPr>
        <w:pStyle w:val="Compact"/>
        <w:numPr>
          <w:ilvl w:val="0"/>
          <w:numId w:val="1002"/>
        </w:numPr>
      </w:pPr>
      <w:r>
        <w:t xml:space="preserve">RAX, RCX, RDX, RBX, RSI, RDI — 64-битные</w:t>
      </w:r>
    </w:p>
    <w:p>
      <w:pPr>
        <w:pStyle w:val="Compact"/>
        <w:numPr>
          <w:ilvl w:val="0"/>
          <w:numId w:val="1002"/>
        </w:numPr>
      </w:pPr>
      <w:r>
        <w:t xml:space="preserve">EAX, ECX, EDX, EBX, ESI, EDI — 32-битные</w:t>
      </w:r>
    </w:p>
    <w:p>
      <w:pPr>
        <w:pStyle w:val="Compact"/>
        <w:numPr>
          <w:ilvl w:val="0"/>
          <w:numId w:val="1002"/>
        </w:numPr>
      </w:pPr>
      <w:r>
        <w:t xml:space="preserve">AX, CX, DX, BX, SI, DI — 16-битные</w:t>
      </w:r>
    </w:p>
    <w:p>
      <w:pPr>
        <w:pStyle w:val="Compact"/>
        <w:numPr>
          <w:ilvl w:val="0"/>
          <w:numId w:val="1002"/>
        </w:numPr>
      </w:pPr>
      <w:r>
        <w:t xml:space="preserve">AH, AL, CH, CL, DH, DL, BH, BL — 8-битные</w:t>
      </w:r>
    </w:p>
    <w:p>
      <w:pPr>
        <w:pStyle w:val="FirstParagraph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</w:t>
      </w:r>
    </w:p>
    <w:p>
      <w:pPr>
        <w:numPr>
          <w:ilvl w:val="0"/>
          <w:numId w:val="1003"/>
        </w:numPr>
      </w:pPr>
      <w:r>
        <w:t xml:space="preserve">устройства внешней памяти, которые предназначены для долговременного хранения больших объёмов данных.</w:t>
      </w:r>
    </w:p>
    <w:p>
      <w:pPr>
        <w:numPr>
          <w:ilvl w:val="0"/>
          <w:numId w:val="1003"/>
        </w:numPr>
      </w:pPr>
      <w:r>
        <w:t xml:space="preserve">устройства ввода-вывода, которые обеспечивают взаимодействие ЦП с внешней средой.</w:t>
      </w:r>
    </w:p>
    <w:p>
      <w:pPr>
        <w:pStyle w:val="FirstParagraph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</w:p>
    <w:p>
      <w:pPr>
        <w:numPr>
          <w:ilvl w:val="0"/>
          <w:numId w:val="1004"/>
        </w:numPr>
      </w:pPr>
      <w:r>
        <w:t xml:space="preserve">формирование адреса в памяти очередной команды;</w:t>
      </w:r>
    </w:p>
    <w:p>
      <w:pPr>
        <w:numPr>
          <w:ilvl w:val="0"/>
          <w:numId w:val="1004"/>
        </w:numPr>
      </w:pPr>
      <w:r>
        <w:t xml:space="preserve">считывание кода команды из памяти и её дешифрация;</w:t>
      </w:r>
    </w:p>
    <w:p>
      <w:pPr>
        <w:numPr>
          <w:ilvl w:val="0"/>
          <w:numId w:val="1004"/>
        </w:numPr>
      </w:pPr>
      <w:r>
        <w:t xml:space="preserve">выполнение команды;</w:t>
      </w:r>
    </w:p>
    <w:p>
      <w:pPr>
        <w:numPr>
          <w:ilvl w:val="0"/>
          <w:numId w:val="1004"/>
        </w:numPr>
      </w:pPr>
      <w:r>
        <w:t xml:space="preserve">переход к следующей команде.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5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NASM:(рис. 1).</w:t>
      </w:r>
    </w:p>
    <w:bookmarkStart w:id="26" w:name="fig:001"/>
    <w:p>
      <w:pPr>
        <w:pStyle w:val="CaptionedFigure"/>
      </w:pPr>
      <w:r>
        <w:drawing>
          <wp:inline>
            <wp:extent cx="3733800" cy="175210"/>
            <wp:effectExtent b="0" l="0" r="0" t="0"/>
            <wp:docPr descr="Рис. 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6"/>
    <w:p>
      <w:pPr>
        <w:pStyle w:val="BodyText"/>
      </w:pPr>
      <w:r>
        <w:t xml:space="preserve">Перехожу в созданный каталог. Создаю текстовый файл с именем hello.asm и открываю этот файл с помощью любого текстового редактора, например, gedit. (рис. 2).</w:t>
      </w:r>
    </w:p>
    <w:bookmarkStart w:id="30" w:name="fig:002"/>
    <w:p>
      <w:pPr>
        <w:pStyle w:val="CaptionedFigure"/>
      </w:pPr>
      <w:r>
        <w:drawing>
          <wp:inline>
            <wp:extent cx="3733800" cy="554771"/>
            <wp:effectExtent b="0" l="0" r="0" t="0"/>
            <wp:docPr descr="Рис. 2: создание и открытие текстового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и открытие текстового файла</w:t>
      </w:r>
    </w:p>
    <w:bookmarkEnd w:id="30"/>
    <w:p>
      <w:pPr>
        <w:pStyle w:val="BodyText"/>
      </w:pPr>
      <w:r>
        <w:t xml:space="preserve">Ввожу в него следующий текст:(рис. 3).</w:t>
      </w:r>
    </w:p>
    <w:bookmarkStart w:id="34" w:name="fig:003"/>
    <w:p>
      <w:pPr>
        <w:pStyle w:val="CaptionedFigure"/>
      </w:pPr>
      <w:r>
        <w:drawing>
          <wp:inline>
            <wp:extent cx="3733800" cy="2476738"/>
            <wp:effectExtent b="0" l="0" r="0" t="0"/>
            <wp:docPr descr="Рис. 3: ввод текст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текста</w:t>
      </w:r>
    </w:p>
    <w:bookmarkEnd w:id="34"/>
    <w:p>
      <w:pPr>
        <w:pStyle w:val="BodyText"/>
      </w:pPr>
      <w:r>
        <w:t xml:space="preserve">NASM превращает текст программы в объектный код. Например, для компиляции приве-</w:t>
      </w:r>
      <w:r>
        <w:t xml:space="preserve"> </w:t>
      </w:r>
      <w:r>
        <w:t xml:space="preserve">дённого выше текста программы «Hello World» необходимо написать:(рис. 4).</w:t>
      </w:r>
    </w:p>
    <w:bookmarkStart w:id="38" w:name="fig:004"/>
    <w:p>
      <w:pPr>
        <w:pStyle w:val="CaptionedFigure"/>
      </w:pPr>
      <w:r>
        <w:drawing>
          <wp:inline>
            <wp:extent cx="3733800" cy="165834"/>
            <wp:effectExtent b="0" l="0" r="0" t="0"/>
            <wp:docPr descr="Рис. 4: ввод команд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 команды</w:t>
      </w:r>
    </w:p>
    <w:bookmarkEnd w:id="38"/>
    <w:p>
      <w:pPr>
        <w:pStyle w:val="BodyText"/>
      </w:pPr>
      <w:r>
        <w:t xml:space="preserve">С помощью команды ls проверяю, что объектный файл был создан. (рис. 5).</w:t>
      </w:r>
    </w:p>
    <w:bookmarkStart w:id="42" w:name="fig:005"/>
    <w:p>
      <w:pPr>
        <w:pStyle w:val="CaptionedFigure"/>
      </w:pPr>
      <w:r>
        <w:drawing>
          <wp:inline>
            <wp:extent cx="3733800" cy="226916"/>
            <wp:effectExtent b="0" l="0" r="0" t="0"/>
            <wp:docPr descr="Рис. 5: проверк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</w:t>
      </w:r>
    </w:p>
    <w:bookmarkEnd w:id="42"/>
    <w:p>
      <w:pPr>
        <w:pStyle w:val="BodyText"/>
      </w:pPr>
      <w:r>
        <w:t xml:space="preserve">Выполняю следующую команду, которая скомпилирует исходный файл hello.asm в obj.o: (рис. 6).</w:t>
      </w:r>
    </w:p>
    <w:bookmarkStart w:id="46" w:name="fig:006"/>
    <w:p>
      <w:pPr>
        <w:pStyle w:val="CaptionedFigure"/>
      </w:pPr>
      <w:r>
        <w:drawing>
          <wp:inline>
            <wp:extent cx="3733800" cy="307436"/>
            <wp:effectExtent b="0" l="0" r="0" t="0"/>
            <wp:docPr descr="Рис. 6: компиляция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файла</w:t>
      </w:r>
    </w:p>
    <w:bookmarkEnd w:id="46"/>
    <w:p>
      <w:pPr>
        <w:pStyle w:val="BodyText"/>
      </w:pPr>
      <w:r>
        <w:t xml:space="preserve">Чтобы получить исполняемую программу, объектный файл необходимо передать на обработку компоновщику:(рис. 7).</w:t>
      </w:r>
    </w:p>
    <w:bookmarkStart w:id="50" w:name="fig:007"/>
    <w:p>
      <w:pPr>
        <w:pStyle w:val="CaptionedFigure"/>
      </w:pPr>
      <w:r>
        <w:drawing>
          <wp:inline>
            <wp:extent cx="3733800" cy="321968"/>
            <wp:effectExtent b="0" l="0" r="0" t="0"/>
            <wp:docPr descr="Рис. 7: обработк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обработка</w:t>
      </w:r>
    </w:p>
    <w:bookmarkEnd w:id="50"/>
    <w:p>
      <w:pPr>
        <w:pStyle w:val="BodyText"/>
      </w:pPr>
      <w:r>
        <w:t xml:space="preserve">Выполняю следующую команду:(рис. 8).</w:t>
      </w:r>
    </w:p>
    <w:bookmarkStart w:id="54" w:name="fig:008"/>
    <w:p>
      <w:pPr>
        <w:pStyle w:val="CaptionedFigure"/>
      </w:pPr>
      <w:r>
        <w:drawing>
          <wp:inline>
            <wp:extent cx="3733800" cy="321968"/>
            <wp:effectExtent b="0" l="0" r="0" t="0"/>
            <wp:docPr descr="Рис. 8: ввод команд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ввод команды</w:t>
      </w:r>
    </w:p>
    <w:bookmarkEnd w:id="54"/>
    <w:bookmarkEnd w:id="55"/>
    <w:bookmarkStart w:id="60" w:name="запуск-исполняемого-файла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Запуск исполняемого файла.</w:t>
      </w:r>
    </w:p>
    <w:p>
      <w:pPr>
        <w:pStyle w:val="FirstParagraph"/>
      </w:pPr>
      <w:r>
        <w:t xml:space="preserve">Запустить на выполнение созданный исполняемый файл, находящийся в текущем каталоге,</w:t>
      </w:r>
      <w:r>
        <w:t xml:space="preserve"> </w:t>
      </w:r>
      <w:r>
        <w:t xml:space="preserve">можно, набрав в командной строке:(рис. 9).</w:t>
      </w:r>
    </w:p>
    <w:bookmarkStart w:id="59" w:name="fig:009"/>
    <w:p>
      <w:pPr>
        <w:pStyle w:val="CaptionedFigure"/>
      </w:pPr>
      <w:r>
        <w:drawing>
          <wp:inline>
            <wp:extent cx="3733800" cy="217201"/>
            <wp:effectExtent b="0" l="0" r="0" t="0"/>
            <wp:docPr descr="Рис. 9: запуск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файла</w:t>
      </w:r>
    </w:p>
    <w:bookmarkEnd w:id="59"/>
    <w:bookmarkEnd w:id="60"/>
    <w:bookmarkStart w:id="81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каталоге ~/work/arch-pc/lab04 с помощью команды cp создаю копию файла hello.asm с именем lab4.asm :(рис. 10).</w:t>
      </w:r>
    </w:p>
    <w:bookmarkStart w:id="64" w:name="fig:0010"/>
    <w:p>
      <w:pPr>
        <w:pStyle w:val="CaptionedFigure"/>
      </w:pPr>
      <w:r>
        <w:drawing>
          <wp:inline>
            <wp:extent cx="3733800" cy="149765"/>
            <wp:effectExtent b="0" l="0" r="0" t="0"/>
            <wp:docPr descr="Рис. 10: ввод команды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ввод команды</w:t>
      </w:r>
    </w:p>
    <w:bookmarkEnd w:id="64"/>
    <w:p>
      <w:pPr>
        <w:pStyle w:val="BodyText"/>
      </w:pPr>
      <w:r>
        <w:t xml:space="preserve">С помощью текстового редактора вношу изменения в текст программы в файле lab4.asm так, чтобы вместо Hello world! на экран выводилась строка с фио :(рис. 11).</w:t>
      </w:r>
    </w:p>
    <w:bookmarkStart w:id="68" w:name="fig:0011"/>
    <w:p>
      <w:pPr>
        <w:pStyle w:val="CaptionedFigure"/>
      </w:pPr>
      <w:r>
        <w:drawing>
          <wp:inline>
            <wp:extent cx="3733800" cy="106592"/>
            <wp:effectExtent b="0" l="0" r="0" t="0"/>
            <wp:docPr descr="Рис. 11: изменения в программе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изменения в программе</w:t>
      </w:r>
    </w:p>
    <w:bookmarkEnd w:id="68"/>
    <w:p>
      <w:pPr>
        <w:pStyle w:val="BodyText"/>
      </w:pPr>
      <w:r>
        <w:t xml:space="preserve">Оттранслирую полученный текст программы lab4.asm в объектный файл. Выполняю компоновку объектного файла и запускаю получившийся исполняемый файл:(рис. 12).</w:t>
      </w:r>
    </w:p>
    <w:bookmarkStart w:id="72" w:name="fig:0012"/>
    <w:p>
      <w:pPr>
        <w:pStyle w:val="CaptionedFigure"/>
      </w:pPr>
      <w:r>
        <w:drawing>
          <wp:inline>
            <wp:extent cx="3733800" cy="875795"/>
            <wp:effectExtent b="0" l="0" r="0" t="0"/>
            <wp:docPr descr="Рис. 12: запуск файла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файла</w:t>
      </w:r>
    </w:p>
    <w:bookmarkEnd w:id="72"/>
    <w:p>
      <w:pPr>
        <w:pStyle w:val="BodyText"/>
      </w:pPr>
      <w:r>
        <w:t xml:space="preserve">Копируйю файлы hello.asm и lab4.asm в локальный репозиторий в каталог ~/work/study/2023-2024/</w:t>
      </w:r>
      <w:r>
        <w:t xml:space="preserve">“Архитектура компьютера”</w:t>
      </w:r>
      <w:r>
        <w:t xml:space="preserve">/arch-pc/labs/lab04/.:(рис. 13).</w:t>
      </w:r>
    </w:p>
    <w:bookmarkStart w:id="76" w:name="fig:0013"/>
    <w:p>
      <w:pPr>
        <w:pStyle w:val="CaptionedFigure"/>
      </w:pPr>
      <w:r>
        <w:drawing>
          <wp:inline>
            <wp:extent cx="3733800" cy="173534"/>
            <wp:effectExtent b="0" l="0" r="0" t="0"/>
            <wp:docPr descr="Рис. 13: копирование файлов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файлов</w:t>
      </w:r>
    </w:p>
    <w:bookmarkEnd w:id="76"/>
    <w:p>
      <w:pPr>
        <w:pStyle w:val="BodyText"/>
      </w:pPr>
      <w:r>
        <w:t xml:space="preserve">Загружаю файлы на Github.:(рис. 14).</w:t>
      </w:r>
    </w:p>
    <w:bookmarkStart w:id="80" w:name="fig:0014"/>
    <w:p>
      <w:pPr>
        <w:pStyle w:val="CaptionedFigure"/>
      </w:pPr>
      <w:r>
        <w:drawing>
          <wp:inline>
            <wp:extent cx="3733800" cy="1460397"/>
            <wp:effectExtent b="0" l="0" r="0" t="0"/>
            <wp:docPr descr="Рис. 14: загрузка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0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загрузка</w:t>
      </w:r>
    </w:p>
    <w:bookmarkEnd w:id="80"/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Малинина Анастасия Игоревна</dc:creator>
  <dc:language>ru-RU</dc:language>
  <cp:keywords/>
  <dcterms:created xsi:type="dcterms:W3CDTF">2024-10-25T12:51:33Z</dcterms:created>
  <dcterms:modified xsi:type="dcterms:W3CDTF">2024-10-25T12:51:33Z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