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png" ContentType="image/png"/>
  <Override PartName="/word/media/rId28.png" ContentType="image/png"/>
  <Override PartName="/word/media/rId16.png" ContentType="image/png"/>
  <Override PartName="/word/media/rId34.png" ContentType="image/png"/>
  <Override PartName="/word/media/rId31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분석-환경-및-데이터"/>
    <w:p>
      <w:pPr>
        <w:pStyle w:val="Heading1"/>
      </w:pPr>
      <w:r>
        <w:t xml:space="preserve">Ⅱ. 분석 환경 및 데이터</w:t>
      </w:r>
    </w:p>
    <w:p>
      <w:r>
        <w:pict>
          <v:rect style="width:0;height:1.5pt" o:hralign="center" o:hrstd="t" o:hr="t"/>
        </w:pict>
      </w:r>
    </w:p>
    <w:bookmarkStart w:id="9" w:name="분석-환경"/>
    <w:p>
      <w:pPr>
        <w:pStyle w:val="Heading2"/>
      </w:pPr>
      <w:r>
        <w:t xml:space="preserve">1. 분석 환경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Python 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라이브러리</w:t>
            </w:r>
          </w:p>
        </w:tc>
        <w:tc>
          <w:tcPr/>
          <w:p>
            <w:pPr>
              <w:pStyle w:val="Compact"/>
            </w:pPr>
            <w:r>
              <w:t xml:space="preserve">XGBoost 1.7.3 · scikit-learn 1.7.2 · SHAP 0.49.1 · pandas · numpy · matplotlib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구조</w:t>
            </w:r>
          </w:p>
        </w:tc>
        <w:tc>
          <w:tcPr/>
          <w:p>
            <w:pPr>
              <w:pStyle w:val="Compact"/>
            </w:pPr>
            <w:r>
              <w:t xml:space="preserve">사업소별 독립 XGBoost MultiOutput 모델 (5개 사업소)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재현성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xgboost==1.7.3</w:t>
            </w:r>
            <w:r>
              <w:t xml:space="preserve"> </w:t>
            </w:r>
            <w:r>
              <w:t xml:space="preserve">버전 고정, 시드 42 고정 → 서버 교체 후에도 동일 결과 보장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데이터-수집-및-전처리"/>
    <w:p>
      <w:pPr>
        <w:pStyle w:val="Heading2"/>
      </w:pPr>
      <w:r>
        <w:t xml:space="preserve">2. 데이터 수집 및 전처리</w:t>
      </w:r>
    </w:p>
    <w:bookmarkStart w:id="10" w:name="데이터-출처"/>
    <w:p>
      <w:pPr>
        <w:pStyle w:val="Heading3"/>
      </w:pPr>
      <w:r>
        <w:t xml:space="preserve">2.1 데이터 출처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904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출처 사이트</w:t>
            </w:r>
          </w:p>
        </w:tc>
        <w:tc>
          <w:tcPr/>
          <w:p>
            <w:pPr>
              <w:pStyle w:val="Compact"/>
            </w:pPr>
            <w:r>
              <w:t xml:space="preserve">URL /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대기오염물질 배출농도(일평균)</w:t>
            </w:r>
          </w:p>
        </w:tc>
        <w:tc>
          <w:tcPr/>
          <w:p>
            <w:pPr>
              <w:pStyle w:val="Compact"/>
            </w:pPr>
            <w:r>
              <w:t xml:space="preserve">한국남동발전 경영공시</w:t>
            </w:r>
          </w:p>
        </w:tc>
        <w:tc>
          <w:tcPr/>
          <w:p>
            <w:pPr>
              <w:pStyle w:val="Compact"/>
            </w:pPr>
            <w:r>
              <w:t xml:space="preserve">koenergy.kr → 환경/안전 → 대기오염물질 배출실적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발전실적(이용률·열효율, 월)</w:t>
            </w:r>
          </w:p>
        </w:tc>
        <w:tc>
          <w:tcPr/>
          <w:p>
            <w:pPr>
              <w:pStyle w:val="Compact"/>
            </w:pPr>
            <w:r>
              <w:t xml:space="preserve">한국남동발전 경영공시</w:t>
            </w:r>
          </w:p>
        </w:tc>
        <w:tc>
          <w:tcPr/>
          <w:p>
            <w:pPr>
              <w:pStyle w:val="Compact"/>
            </w:pPr>
            <w:r>
              <w:t xml:space="preserve">koenergy.kr → 경영정보 → 발전실적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연료소비실적(월)</w:t>
            </w:r>
          </w:p>
        </w:tc>
        <w:tc>
          <w:tcPr/>
          <w:p>
            <w:pPr>
              <w:pStyle w:val="Compact"/>
            </w:pPr>
            <w:r>
              <w:t xml:space="preserve">한국남동발전 경영공시</w:t>
            </w:r>
          </w:p>
        </w:tc>
        <w:tc>
          <w:tcPr/>
          <w:p>
            <w:pPr>
              <w:pStyle w:val="Compact"/>
            </w:pPr>
            <w:r>
              <w:t xml:space="preserve">koenergy.kr → 경영정보 → 연료사용실적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기상정보(일평균)</w:t>
            </w:r>
          </w:p>
        </w:tc>
        <w:tc>
          <w:tcPr/>
          <w:p>
            <w:pPr>
              <w:pStyle w:val="Compact"/>
            </w:pPr>
            <w:r>
              <w:t xml:space="preserve">한국남동발전 경영공시</w:t>
            </w:r>
          </w:p>
        </w:tc>
        <w:tc>
          <w:tcPr/>
          <w:p>
            <w:pPr>
              <w:pStyle w:val="Compact"/>
            </w:pPr>
            <w:r>
              <w:t xml:space="preserve">koenergy.kr → 환경/안전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신재생 발전량(시간)</w:t>
            </w:r>
          </w:p>
        </w:tc>
        <w:tc>
          <w:tcPr/>
          <w:p>
            <w:pPr>
              <w:pStyle w:val="Compact"/>
            </w:pPr>
            <w:r>
              <w:t xml:space="preserve">한국남동발전 경영공시</w:t>
            </w:r>
          </w:p>
        </w:tc>
        <w:tc>
          <w:tcPr/>
          <w:p>
            <w:pPr>
              <w:pStyle w:val="Compact"/>
            </w:pPr>
            <w:r>
              <w:t xml:space="preserve">koenergy.kr → 경영정보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시간별 화력발전량 API</w:t>
            </w:r>
          </w:p>
        </w:tc>
        <w:tc>
          <w:tcPr/>
          <w:p>
            <w:pPr>
              <w:pStyle w:val="Compact"/>
            </w:pPr>
            <w:r>
              <w:t xml:space="preserve">공공데이터포털</w:t>
            </w:r>
          </w:p>
        </w:tc>
        <w:tc>
          <w:tcPr/>
          <w:p>
            <w:pPr>
              <w:pStyle w:val="Compact"/>
            </w:pPr>
            <w:r>
              <w:t xml:space="preserve">data.go.kr (서비스ID: B551893)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기상 보완</w:t>
            </w:r>
          </w:p>
        </w:tc>
        <w:tc>
          <w:tcPr/>
          <w:p>
            <w:pPr>
              <w:pStyle w:val="Compact"/>
            </w:pPr>
            <w:r>
              <w:t xml:space="preserve">Open-Meteo 공개 API</w:t>
            </w:r>
          </w:p>
        </w:tc>
        <w:tc>
          <w:tcPr/>
          <w:p>
            <w:pPr>
              <w:pStyle w:val="Compact"/>
            </w:pPr>
            <w:r>
              <w:t xml:space="preserve">open-meteo.com —</w:t>
            </w:r>
            <w:r>
              <w:t xml:space="preserve"> </w:t>
            </w:r>
            <w:r>
              <w:rPr>
                <w:b/>
                <w:bCs/>
              </w:rPr>
              <w:t xml:space="preserve">JMA Seamless (Japan MSM)</w:t>
            </w:r>
            <w:r>
              <w:t xml:space="preserve"> </w:t>
            </w:r>
            <w:r>
              <w:t xml:space="preserve">모델, 5km 격자, 무료·키 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배출부과금 단가</w:t>
            </w:r>
          </w:p>
        </w:tc>
        <w:tc>
          <w:tcPr/>
          <w:p>
            <w:pPr>
              <w:pStyle w:val="Compact"/>
            </w:pPr>
            <w:r>
              <w:t xml:space="preserve">환경부 법령</w:t>
            </w:r>
          </w:p>
        </w:tc>
        <w:tc>
          <w:tcPr/>
          <w:p>
            <w:pPr>
              <w:pStyle w:val="Compact"/>
            </w:pPr>
            <w:r>
              <w:t xml:space="preserve">「대기환경보전법 시행령」 [별표 4], law.go.kr</w:t>
            </w:r>
          </w:p>
        </w:tc>
      </w:tr>
    </w:tbl>
    <w:bookmarkEnd w:id="10"/>
    <w:bookmarkStart w:id="11" w:name="데이터-수집-흐름"/>
    <w:p>
      <w:pPr>
        <w:pStyle w:val="Heading3"/>
      </w:pPr>
      <w:r>
        <w:t xml:space="preserve">2.2 데이터 수집 흐름</w:t>
      </w:r>
    </w:p>
    <w:p>
      <w:pPr>
        <w:pStyle w:val="SourceCode"/>
      </w:pPr>
      <w:r>
        <w:rPr>
          <w:rStyle w:val="VerbatimChar"/>
        </w:rPr>
        <w:t xml:space="preserve">[koenergy.kr — 한국남동발전 경영공시]</w:t>
      </w:r>
      <w:r>
        <w:br/>
      </w:r>
      <w:r>
        <w:rPr>
          <w:rStyle w:val="VerbatimChar"/>
        </w:rPr>
        <w:t xml:space="preserve">  배출농도(일평균) ─────────────────────────┐</w:t>
      </w:r>
      <w:r>
        <w:br/>
      </w:r>
      <w:r>
        <w:rPr>
          <w:rStyle w:val="VerbatimChar"/>
        </w:rPr>
        <w:t xml:space="preserve">  기상정보(일평균) ─────────────────────────┤</w:t>
      </w:r>
      <w:r>
        <w:br/>
      </w:r>
      <w:r>
        <w:rPr>
          <w:rStyle w:val="VerbatimChar"/>
        </w:rPr>
        <w:t xml:space="preserve">  연료소비실적(월) ──────────────────────────┤</w:t>
      </w:r>
      <w:r>
        <w:br/>
      </w:r>
      <w:r>
        <w:rPr>
          <w:rStyle w:val="VerbatimChar"/>
        </w:rPr>
        <w:t xml:space="preserve">  발전실적(이용률·열효율, 월) ────────────────┤</w:t>
      </w:r>
      <w:r>
        <w:br/>
      </w:r>
      <w:r>
        <w:rPr>
          <w:rStyle w:val="VerbatimChar"/>
        </w:rPr>
        <w:t xml:space="preserve">  신재생 발전량(시간) ─────────────────────── ├──▶ 전처리 파이프라인 ──▶ master_{plant}.csv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[data.go.kr API — 서비스ID: B551893]          │</w:t>
      </w:r>
      <w:r>
        <w:br/>
      </w:r>
      <w:r>
        <w:rPr>
          <w:rStyle w:val="VerbatimChar"/>
        </w:rPr>
        <w:t xml:space="preserve">  삼천포·영흥 일별 발전량 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[open-meteo.com 공개 API]                     │</w:t>
      </w:r>
      <w:r>
        <w:br/>
      </w:r>
      <w:r>
        <w:rPr>
          <w:rStyle w:val="VerbatimChar"/>
        </w:rPr>
        <w:t xml:space="preserve">  기상 보완 (삼천포·영흥·분당·영동·여수) ─────────┘</w:t>
      </w:r>
    </w:p>
    <w:bookmarkEnd w:id="11"/>
    <w:bookmarkStart w:id="12" w:name="전처리-상세"/>
    <w:p>
      <w:pPr>
        <w:pStyle w:val="Heading3"/>
      </w:pPr>
      <w:r>
        <w:t xml:space="preserve">2.2 전처리 상세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처리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배출량 환산</w:t>
            </w:r>
          </w:p>
        </w:tc>
        <w:tc>
          <w:tcPr/>
          <w:p>
            <w:pPr>
              <w:pStyle w:val="Compact"/>
            </w:pPr>
            <w:r>
              <w:t xml:space="preserve">농도×유량→일 배출량(kg/일)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농도 × 유량 × 1440 ÷ 1,000,000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연료소비 월→일</w:t>
            </w:r>
          </w:p>
        </w:tc>
        <w:tc>
          <w:tcPr/>
          <w:p>
            <w:pPr>
              <w:pStyle w:val="Compact"/>
            </w:pPr>
            <w:r>
              <w:t xml:space="preserve">월 소비량을 해당 월 일수로 균등 배분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÷ days_in_month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발전실적 월→일</w:t>
            </w:r>
          </w:p>
        </w:tc>
        <w:tc>
          <w:tcPr/>
          <w:p>
            <w:pPr>
              <w:pStyle w:val="Compact"/>
            </w:pPr>
            <w:r>
              <w:t xml:space="preserve">이용률·열효율을 발전량 기중 가중평균 후 배분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groupby+mean</w:t>
            </w:r>
            <w:r>
              <w:t xml:space="preserve"> </w:t>
            </w:r>
            <w:r>
              <w:t xml:space="preserve">→ 일 단위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신재생 시간→일</w:t>
            </w:r>
          </w:p>
        </w:tc>
        <w:tc>
          <w:tcPr/>
          <w:p>
            <w:pPr>
              <w:pStyle w:val="Compact"/>
            </w:pPr>
            <w:r>
              <w:t xml:space="preserve">시간별 발전량 일 합산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resample('D').sum()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발전량 통합</w:t>
            </w:r>
          </w:p>
        </w:tc>
        <w:tc>
          <w:tcPr/>
          <w:p>
            <w:pPr>
              <w:pStyle w:val="Compact"/>
            </w:pPr>
            <w:r>
              <w:t xml:space="preserve">API 발전량 우선, 결측 시 발전실적으로 보완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api_gen_mwh.fillna(gen_mwh)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기상 보완</w:t>
            </w:r>
          </w:p>
        </w:tc>
        <w:tc>
          <w:tcPr/>
          <w:p>
            <w:pPr>
              <w:pStyle w:val="Compact"/>
            </w:pPr>
            <w:r>
              <w:t xml:space="preserve">공공데이터 기상 우선, 결측 시 Open-Meteo</w:t>
            </w:r>
          </w:p>
        </w:tc>
        <w:tc>
          <w:tcPr/>
          <w:p>
            <w:pPr>
              <w:pStyle w:val="Compact"/>
            </w:pPr>
            <w:r>
              <w:t xml:space="preserve">inner join 후 NaN → Open-Meteo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대기정체지수</w:t>
            </w:r>
          </w:p>
        </w:tc>
        <w:tc>
          <w:tcPr/>
          <w:p>
            <w:pPr>
              <w:pStyle w:val="Compact"/>
            </w:pPr>
            <w:r>
              <w:t xml:space="preserve">습도·역풍지수·고기압 유무 복합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humidity × (1-wind_norm) × pressure_factor</w:t>
            </w:r>
          </w:p>
        </w:tc>
      </w:tr>
    </w:tbl>
    <w:bookmarkEnd w:id="12"/>
    <w:bookmarkStart w:id="13" w:name="파생-피처"/>
    <w:p>
      <w:pPr>
        <w:pStyle w:val="Heading3"/>
      </w:pPr>
      <w:r>
        <w:t xml:space="preserve">2.3 파생 피처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피처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wind_sin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wind_cos</w:t>
            </w:r>
          </w:p>
        </w:tc>
        <w:tc>
          <w:tcPr/>
          <w:p>
            <w:pPr>
              <w:pStyle w:val="Compact"/>
            </w:pPr>
            <w:r>
              <w:t xml:space="preserve">풍향을 360° → sin/cos 변환</w:t>
            </w:r>
          </w:p>
        </w:tc>
        <w:tc>
          <w:tcPr/>
          <w:p>
            <w:pPr>
              <w:pStyle w:val="Compact"/>
            </w:pPr>
            <w:r>
              <w:t xml:space="preserve">풍향의 순환성(cyclic) 보존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stagnation_idx</w:t>
            </w:r>
          </w:p>
        </w:tc>
        <w:tc>
          <w:tcPr/>
          <w:p>
            <w:pPr>
              <w:pStyle w:val="Compact"/>
            </w:pPr>
            <w:r>
              <w:t xml:space="preserve">습도×역풍×기압 복합 지수</w:t>
            </w:r>
          </w:p>
        </w:tc>
        <w:tc>
          <w:tcPr/>
          <w:p>
            <w:pPr>
              <w:pStyle w:val="Compact"/>
            </w:pPr>
            <w:r>
              <w:t xml:space="preserve">오염물질 확산 억제 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gen_mwh_combined</w:t>
            </w:r>
          </w:p>
        </w:tc>
        <w:tc>
          <w:tcPr/>
          <w:p>
            <w:pPr>
              <w:pStyle w:val="Compact"/>
            </w:pPr>
            <w:r>
              <w:t xml:space="preserve">API 발전량 우선, 결측→발전실적</w:t>
            </w:r>
          </w:p>
        </w:tc>
        <w:tc>
          <w:tcPr/>
          <w:p>
            <w:pPr>
              <w:pStyle w:val="Compact"/>
            </w:pPr>
            <w:r>
              <w:t xml:space="preserve">신뢰성 높은 일 발전량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SOx_lag1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NOx_lag1</w:t>
            </w:r>
          </w:p>
        </w:tc>
        <w:tc>
          <w:tcPr/>
          <w:p>
            <w:pPr>
              <w:pStyle w:val="Compact"/>
            </w:pPr>
            <w:r>
              <w:t xml:space="preserve">전일 배출량</w:t>
            </w:r>
          </w:p>
        </w:tc>
        <w:tc>
          <w:tcPr/>
          <w:p>
            <w:pPr>
              <w:pStyle w:val="Compact"/>
            </w:pPr>
            <w:r>
              <w:t xml:space="preserve">배출 시계열 자기상관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SOx_lag7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NOx_lag7</w:t>
            </w:r>
          </w:p>
        </w:tc>
        <w:tc>
          <w:tcPr/>
          <w:p>
            <w:pPr>
              <w:pStyle w:val="Compact"/>
            </w:pPr>
            <w:r>
              <w:t xml:space="preserve">7일 전 배출량</w:t>
            </w:r>
          </w:p>
        </w:tc>
        <w:tc>
          <w:tcPr/>
          <w:p>
            <w:pPr>
              <w:pStyle w:val="Compact"/>
            </w:pPr>
            <w:r>
              <w:t xml:space="preserve">주간 주기성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seasonal_mgmt</w:t>
            </w:r>
          </w:p>
        </w:tc>
        <w:tc>
          <w:tcPr/>
          <w:p>
            <w:pPr>
              <w:pStyle w:val="Compact"/>
            </w:pPr>
            <w:r>
              <w:t xml:space="preserve">12~3월 = 1, 그 외 = 0</w:t>
            </w:r>
          </w:p>
        </w:tc>
        <w:tc>
          <w:tcPr/>
          <w:p>
            <w:pPr>
              <w:pStyle w:val="Compact"/>
            </w:pPr>
            <w:r>
              <w:t xml:space="preserve">계절관리제 기간 구분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year_trend</w:t>
            </w:r>
          </w:p>
        </w:tc>
        <w:tc>
          <w:tcPr/>
          <w:p>
            <w:pPr>
              <w:pStyle w:val="Compact"/>
            </w:pPr>
            <w:r>
              <w:t xml:space="preserve">분석 시작일로부터 경과 일수</w:t>
            </w:r>
          </w:p>
        </w:tc>
        <w:tc>
          <w:tcPr/>
          <w:p>
            <w:pPr>
              <w:pStyle w:val="Compact"/>
            </w:pPr>
            <w:r>
              <w:t xml:space="preserve">설비 개선·배출규제 연도별 트렌드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coal_ratio</w:t>
            </w:r>
          </w:p>
        </w:tc>
        <w:tc>
          <w:tcPr/>
          <w:p>
            <w:pPr>
              <w:pStyle w:val="Compact"/>
            </w:pPr>
            <w:r>
              <w:t xml:space="preserve">유연탄/(유연탄+LNG+유류)</w:t>
            </w:r>
          </w:p>
        </w:tc>
        <w:tc>
          <w:tcPr/>
          <w:p>
            <w:pPr>
              <w:pStyle w:val="Compact"/>
            </w:pPr>
            <w:r>
              <w:t xml:space="preserve">연료 믹스 비율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38" w:name="사업소별-데이터-현황"/>
    <w:p>
      <w:pPr>
        <w:pStyle w:val="Heading2"/>
      </w:pPr>
      <w:r>
        <w:t xml:space="preserve">3. 사업소별 데이터 현황</w:t>
      </w:r>
    </w:p>
    <w:bookmarkStart w:id="15" w:name="배출량-기초-통계-학습-데이터-기준"/>
    <w:p>
      <w:pPr>
        <w:pStyle w:val="Heading3"/>
      </w:pPr>
      <w:r>
        <w:t xml:space="preserve">3.1 배출량 기초 통계 (학습 데이터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990"/>
        <w:gridCol w:w="1980"/>
        <w:gridCol w:w="132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사업소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평균 (kg/일)</w:t>
            </w:r>
          </w:p>
        </w:tc>
        <w:tc>
          <w:tcPr/>
          <w:p>
            <w:pPr>
              <w:pStyle w:val="Compact"/>
            </w:pPr>
            <w:r>
              <w:t xml:space="preserve">최솟값</w:t>
            </w:r>
          </w:p>
        </w:tc>
        <w:tc>
          <w:tcPr/>
          <w:p>
            <w:pPr>
              <w:pStyle w:val="Compact"/>
            </w:pPr>
            <w:r>
              <w:t xml:space="preserve">최댓값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7,700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28,500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10,400</w:t>
            </w:r>
          </w:p>
        </w:tc>
        <w:tc>
          <w:tcPr/>
          <w:p>
            <w:pPr>
              <w:pStyle w:val="Compact"/>
            </w:pPr>
            <w:r>
              <w:t xml:space="preserve">3,100</w:t>
            </w:r>
          </w:p>
        </w:tc>
        <w:tc>
          <w:tcPr/>
          <w:p>
            <w:pPr>
              <w:pStyle w:val="Compact"/>
            </w:pPr>
            <w:r>
              <w:t xml:space="preserve">26,000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7,200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1,652,000</w:t>
            </w:r>
          </w:p>
        </w:tc>
        <w:tc>
          <w:tcPr/>
          <w:p>
            <w:pPr>
              <w:pStyle w:val="Compact"/>
            </w:pPr>
            <w:r>
              <w:t xml:space="preserve">EP 이벤트 이상치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13,100</w:t>
            </w:r>
          </w:p>
        </w:tc>
        <w:tc>
          <w:tcPr/>
          <w:p>
            <w:pPr>
              <w:pStyle w:val="Compact"/>
            </w:pPr>
            <w:r>
              <w:t xml:space="preserve">2,800</w:t>
            </w:r>
          </w:p>
        </w:tc>
        <w:tc>
          <w:tcPr/>
          <w:p>
            <w:pPr>
              <w:pStyle w:val="Compact"/>
            </w:pPr>
            <w:r>
              <w:t xml:space="preserve">38,000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12,800</w:t>
            </w:r>
          </w:p>
        </w:tc>
        <w:tc>
          <w:tcPr/>
          <w:p>
            <w:pPr>
              <w:pStyle w:val="Compact"/>
            </w:pPr>
            <w:r>
              <w:t xml:space="preserve">4,100</w:t>
            </w:r>
          </w:p>
        </w:tc>
        <w:tc>
          <w:tcPr/>
          <w:p>
            <w:pPr>
              <w:pStyle w:val="Compact"/>
            </w:pPr>
            <w:r>
              <w:t xml:space="preserve">31,000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2,100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280,000</w:t>
            </w:r>
          </w:p>
        </w:tc>
        <w:tc>
          <w:tcPr/>
          <w:p>
            <w:pPr>
              <w:pStyle w:val="Compact"/>
            </w:pPr>
            <w:r>
              <w:t xml:space="preserve">EP 이벤트 이상치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분당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1,370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4,200</w:t>
            </w:r>
          </w:p>
        </w:tc>
        <w:tc>
          <w:tcPr/>
          <w:p>
            <w:pPr>
              <w:pStyle w:val="Compact"/>
            </w:pPr>
            <w:r>
              <w:t xml:space="preserve">LNG 복합, SOx≈0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영동(400MW)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8,507</w:t>
            </w:r>
          </w:p>
        </w:tc>
        <w:tc>
          <w:tcPr/>
          <w:p>
            <w:pPr>
              <w:pStyle w:val="Compact"/>
            </w:pPr>
            <w:r>
              <w:t xml:space="preserve">국내탄+바이오매스 혼소, SOx 삼천포 대비 1%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영동(400MW)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2,293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15,100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영동(400MW)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3,134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여수(680MW)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22,305</w:t>
            </w:r>
          </w:p>
        </w:tc>
        <w:tc>
          <w:tcPr/>
          <w:p>
            <w:pPr>
              <w:pStyle w:val="Compact"/>
            </w:pPr>
            <w:r>
              <w:t xml:space="preserve">유연탄+중유 혼소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여수(680MW)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2,854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51,402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여수(680MW)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27,089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5"/>
    <w:bookmarkStart w:id="37" w:name="eda-주요-발견"/>
    <w:p>
      <w:pPr>
        <w:pStyle w:val="Heading3"/>
      </w:pPr>
      <w:r>
        <w:t xml:space="preserve">3.2 EDA 주요 발견</w:t>
      </w:r>
    </w:p>
    <w:p>
      <w:pPr>
        <w:pStyle w:val="FirstParagraph"/>
      </w:pPr>
      <w:r>
        <w:rPr>
          <w:b/>
          <w:bCs/>
        </w:rPr>
        <w:t xml:space="preserve">시계열 트렌드</w:t>
      </w:r>
    </w:p>
    <w:p>
      <w:pPr>
        <w:pStyle w:val="Compact"/>
        <w:numPr>
          <w:ilvl w:val="0"/>
          <w:numId w:val="1001"/>
        </w:numPr>
      </w:pPr>
      <w:r>
        <w:t xml:space="preserve">삼천포·영흥 SOx는 2022년 이후 하향 안정화 추세 (연도별 규제 강화 효과)</w:t>
      </w:r>
    </w:p>
    <w:p>
      <w:pPr>
        <w:pStyle w:val="Compact"/>
        <w:numPr>
          <w:ilvl w:val="0"/>
          <w:numId w:val="1001"/>
        </w:numPr>
      </w:pPr>
      <w:r>
        <w:t xml:space="preserve">분당 NOx는 계절 변동폭이 크며 12~3월 피크 (난방 수요 연동)</w:t>
      </w:r>
    </w:p>
    <w:p>
      <w:pPr>
        <w:pStyle w:val="CaptionedFigure"/>
      </w:pPr>
      <w:r>
        <w:drawing>
          <wp:inline>
            <wp:extent cx="5334000" cy="4530702"/>
            <wp:effectExtent b="0" l="0" r="0" t="0"/>
            <wp:docPr descr="그림 2-1. 삼천포 SOx·NOx·먼지·발전량 시계열 (2020~2026)" title="" id="17" name="Picture"/>
            <a:graphic>
              <a:graphicData uri="http://schemas.openxmlformats.org/drawingml/2006/picture">
                <pic:pic>
                  <pic:nvPicPr>
                    <pic:cNvPr descr="eda_삼천포_시계열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2-1. 삼천포 SOx·NOx·먼지·발전량 시계열 (2020~2026)</w:t>
      </w:r>
    </w:p>
    <w:p>
      <w:pPr>
        <w:pStyle w:val="CaptionedFigure"/>
      </w:pPr>
      <w:r>
        <w:drawing>
          <wp:inline>
            <wp:extent cx="5334000" cy="4530702"/>
            <wp:effectExtent b="0" l="0" r="0" t="0"/>
            <wp:docPr descr="그림 2-2. 영흥 SOx·NOx·먼지·발전량 시계열 (2020~2026)" title="" id="20" name="Picture"/>
            <a:graphic>
              <a:graphicData uri="http://schemas.openxmlformats.org/drawingml/2006/picture">
                <pic:pic>
                  <pic:nvPicPr>
                    <pic:cNvPr descr="eda_영흥_시계열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2-2. 영흥 SOx·NOx·먼지·발전량 시계열 (2020~2026)</w:t>
      </w:r>
    </w:p>
    <w:p>
      <w:pPr>
        <w:pStyle w:val="CaptionedFigure"/>
      </w:pPr>
      <w:r>
        <w:drawing>
          <wp:inline>
            <wp:extent cx="5334000" cy="1524365"/>
            <wp:effectExtent b="0" l="0" r="0" t="0"/>
            <wp:docPr descr="그림 2-3. 분당(LNG 복합) NOx·발전량 시계열 (2022~2026)" title="" id="23" name="Picture"/>
            <a:graphic>
              <a:graphicData uri="http://schemas.openxmlformats.org/drawingml/2006/picture">
                <pic:pic>
                  <pic:nvPicPr>
                    <pic:cNvPr descr="eda_분당_시계열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2-3. 분당(LNG 복합) NOx·발전량 시계열 (2022~2026)</w:t>
      </w:r>
    </w:p>
    <w:p>
      <w:pPr>
        <w:pStyle w:val="BodyText"/>
      </w:pPr>
      <w:r>
        <w:rPr>
          <w:b/>
          <w:bCs/>
        </w:rPr>
        <w:t xml:space="preserve">대기정체와 배출 관계</w:t>
      </w:r>
    </w:p>
    <w:p>
      <w:pPr>
        <w:pStyle w:val="Compact"/>
        <w:numPr>
          <w:ilvl w:val="0"/>
          <w:numId w:val="1002"/>
        </w:numPr>
      </w:pPr>
      <w:r>
        <w:t xml:space="preserve">대기정체지수 상위 25% 구간에서 삼천포 NOx 중위값 +12~15% 상승</w:t>
      </w:r>
    </w:p>
    <w:p>
      <w:pPr>
        <w:pStyle w:val="Compact"/>
        <w:numPr>
          <w:ilvl w:val="0"/>
          <w:numId w:val="1002"/>
        </w:numPr>
      </w:pPr>
      <w:r>
        <w:t xml:space="preserve">영흥 먼지는 대기정체지수 상관계수 r=0.38로 가장 높은 민감도 기록</w:t>
      </w:r>
    </w:p>
    <w:p>
      <w:pPr>
        <w:pStyle w:val="CaptionedFigure"/>
      </w:pPr>
      <w:r>
        <w:drawing>
          <wp:inline>
            <wp:extent cx="5334000" cy="2301905"/>
            <wp:effectExtent b="0" l="0" r="0" t="0"/>
            <wp:docPr descr="그림 2-4. 대기정체지수 분위별 SOx·NOx·먼지 배출 분포 (삼천포·영흥 비교)" title="" id="26" name="Picture"/>
            <a:graphic>
              <a:graphicData uri="http://schemas.openxmlformats.org/drawingml/2006/picture">
                <pic:pic>
                  <pic:nvPicPr>
                    <pic:cNvPr descr="eda_대기정체분석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2-4. 대기정체지수 분위별 SOx·NOx·먼지 배출 분포 (삼천포·영흥 비교)</w:t>
      </w:r>
    </w:p>
    <w:p>
      <w:pPr>
        <w:pStyle w:val="BodyText"/>
      </w:pPr>
      <w:r>
        <w:rPr>
          <w:b/>
          <w:bCs/>
        </w:rPr>
        <w:t xml:space="preserve">연료·발전량 피처</w:t>
      </w:r>
    </w:p>
    <w:p>
      <w:pPr>
        <w:pStyle w:val="Compact"/>
        <w:numPr>
          <w:ilvl w:val="0"/>
          <w:numId w:val="1003"/>
        </w:numPr>
      </w:pPr>
      <w:r>
        <w:t xml:space="preserve">발전량(gen_mwh_combined)과 SOx·NOx 간 Pearson r = 0.6~0.8 (강한 양의 상관)</w:t>
      </w:r>
    </w:p>
    <w:p>
      <w:pPr>
        <w:pStyle w:val="Compact"/>
        <w:numPr>
          <w:ilvl w:val="0"/>
          <w:numId w:val="1003"/>
        </w:numPr>
      </w:pPr>
      <w:r>
        <w:t xml:space="preserve">유연탄 투입량(유연탄)은 석탄 사업소 SOx와 r = 0.75~0.85</w:t>
      </w:r>
    </w:p>
    <w:p>
      <w:pPr>
        <w:pStyle w:val="CaptionedFigure"/>
      </w:pPr>
      <w:r>
        <w:drawing>
          <wp:inline>
            <wp:extent cx="5334000" cy="4107076"/>
            <wp:effectExtent b="0" l="0" r="0" t="0"/>
            <wp:docPr descr="그림 2-5. 삼천포 피처 상관관계 히트맵 — 발전량·연료가 배출에 가장 강한 영향" title="" id="29" name="Picture"/>
            <a:graphic>
              <a:graphicData uri="http://schemas.openxmlformats.org/drawingml/2006/picture">
                <pic:pic>
                  <pic:nvPicPr>
                    <pic:cNvPr descr="eda_삼천포_상관관계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7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2-5. 삼천포 피처 상관관계 히트맵 — 발전량·연료가 배출에 가장 강한 영향</w:t>
      </w:r>
    </w:p>
    <w:p>
      <w:pPr>
        <w:pStyle w:val="CaptionedFigure"/>
      </w:pPr>
      <w:r>
        <w:drawing>
          <wp:inline>
            <wp:extent cx="5334000" cy="4107076"/>
            <wp:effectExtent b="0" l="0" r="0" t="0"/>
            <wp:docPr descr="그림 2-6. 영흥 피처 상관관계 히트맵" title="" id="32" name="Picture"/>
            <a:graphic>
              <a:graphicData uri="http://schemas.openxmlformats.org/drawingml/2006/picture">
                <pic:pic>
                  <pic:nvPicPr>
                    <pic:cNvPr descr="eda_영흥_상관관계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7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2-6. 영흥 피처 상관관계 히트맵</w:t>
      </w:r>
    </w:p>
    <w:p>
      <w:pPr>
        <w:pStyle w:val="CaptionedFigure"/>
      </w:pPr>
      <w:r>
        <w:drawing>
          <wp:inline>
            <wp:extent cx="5334000" cy="1485341"/>
            <wp:effectExtent b="0" l="0" r="0" t="0"/>
            <wp:docPr descr="그림 2-7. 삼천포 유연탄 소비량 vs SOx·NOx 배출량 산점도" title="" id="35" name="Picture"/>
            <a:graphic>
              <a:graphicData uri="http://schemas.openxmlformats.org/drawingml/2006/picture">
                <pic:pic>
                  <pic:nvPicPr>
                    <pic:cNvPr descr="eda_삼천포_연료배출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2-7. 삼천포 유연탄 소비량 vs SOx·NOx 배출량 산점도</w:t>
      </w:r>
    </w:p>
    <w:p>
      <w:pPr>
        <w:pStyle w:val="BodyText"/>
      </w:pPr>
      <w:r>
        <w:rPr>
          <w:b/>
          <w:bCs/>
        </w:rPr>
        <w:t xml:space="preserve">먼지 이상치 구조</w:t>
      </w:r>
    </w:p>
    <w:p>
      <w:pPr>
        <w:pStyle w:val="Compact"/>
        <w:numPr>
          <w:ilvl w:val="0"/>
          <w:numId w:val="1004"/>
        </w:numPr>
      </w:pPr>
      <w:r>
        <w:t xml:space="preserve">전체 먼지 분포는 정상 발전 구간(~2,000 kg/일)과 EP 이벤트 구간(&gt;50,000 kg/일)으로 이중 분포</w:t>
      </w:r>
    </w:p>
    <w:p>
      <w:pPr>
        <w:pStyle w:val="Compact"/>
        <w:numPr>
          <w:ilvl w:val="0"/>
          <w:numId w:val="1004"/>
        </w:numPr>
      </w:pPr>
      <w:r>
        <w:t xml:space="preserve">EP 이벤트 발생 시 먼지 단독 급증, SOx·발전량은 정상 유지 → 시스템 오류 또는 설비 점검으로 판단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시계열-분할-전략"/>
    <w:p>
      <w:pPr>
        <w:pStyle w:val="Heading2"/>
      </w:pPr>
      <w:r>
        <w:t xml:space="preserve">4. 시계열 분할 전략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기간(삼천포 기준)</w:t>
            </w:r>
          </w:p>
        </w:tc>
        <w:tc>
          <w:tcPr/>
          <w:p>
            <w:pPr>
              <w:pStyle w:val="Compact"/>
            </w:pPr>
            <w:r>
              <w:t xml:space="preserve">행수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학습(train)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2020.07.16 ~ 2024.05.31</w:t>
            </w:r>
          </w:p>
        </w:tc>
        <w:tc>
          <w:tcPr/>
          <w:p>
            <w:pPr>
              <w:pStyle w:val="Compact"/>
            </w:pPr>
            <w:r>
              <w:t xml:space="preserve">1,415행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검증(val)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2024.06.01 ~ 2024.12.31</w:t>
            </w:r>
          </w:p>
        </w:tc>
        <w:tc>
          <w:tcPr/>
          <w:p>
            <w:pPr>
              <w:pStyle w:val="Compact"/>
            </w:pPr>
            <w:r>
              <w:t xml:space="preserve">214행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테스트(test)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2025.01.01 ~ 2026.05.09</w:t>
            </w:r>
          </w:p>
        </w:tc>
        <w:tc>
          <w:tcPr/>
          <w:p>
            <w:pPr>
              <w:pStyle w:val="Compact"/>
            </w:pPr>
            <w:r>
              <w:t xml:space="preserve">494행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시간 순서를 유지한</w:t>
      </w:r>
      <w:r>
        <w:t xml:space="preserve"> </w:t>
      </w:r>
      <w:r>
        <w:rPr>
          <w:b/>
          <w:bCs/>
        </w:rPr>
        <w:t xml:space="preserve">포지셔널 분할</w:t>
      </w:r>
      <w:r>
        <w:t xml:space="preserve"> </w:t>
      </w:r>
      <w:r>
        <w:t xml:space="preserve">(미래 데이터 누출 방지)</w:t>
      </w:r>
    </w:p>
    <w:p>
      <w:pPr>
        <w:pStyle w:val="Compact"/>
        <w:numPr>
          <w:ilvl w:val="0"/>
          <w:numId w:val="1005"/>
        </w:numPr>
      </w:pPr>
      <w:r>
        <w:t xml:space="preserve">테스트셋은 학습에 전혀 사용하지 않은 미래 구간 (2025년 이후)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16" Target="media/rId16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2026-05-17T07:39:05Z</dcterms:created>
  <dcterms:modified xsi:type="dcterms:W3CDTF">2026-05-17T07:39:05Z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