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38.png" ContentType="image/png"/>
  <Override PartName="/word/media/rId41.png" ContentType="image/png"/>
  <Override PartName="/word/media/rId19.png" ContentType="image/png"/>
  <Override PartName="/word/media/rId13.png" ContentType="image/png"/>
  <Override PartName="/word/media/rId16.png" ContentType="image/png"/>
  <Override PartName="/word/media/rId25.png" ContentType="image/png"/>
  <Override PartName="/word/media/rId28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분석-방법-및-모델링"/>
    <w:p>
      <w:pPr>
        <w:pStyle w:val="Heading1"/>
      </w:pPr>
      <w:r>
        <w:t xml:space="preserve">Ⅲ. 분석 방법 및 모델링</w:t>
      </w:r>
    </w:p>
    <w:p>
      <w:r>
        <w:pict>
          <v:rect style="width:0;height:1.5pt" o:hralign="center" o:hrstd="t" o:hr="t"/>
        </w:pict>
      </w:r>
    </w:p>
    <w:bookmarkStart w:id="12" w:name="모델-구조"/>
    <w:p>
      <w:pPr>
        <w:pStyle w:val="Heading2"/>
      </w:pPr>
      <w:r>
        <w:t xml:space="preserve">1. 모델 구조</w:t>
      </w:r>
    </w:p>
    <w:bookmarkStart w:id="9" w:name="전체-파이프라인"/>
    <w:p>
      <w:pPr>
        <w:pStyle w:val="Heading3"/>
      </w:pPr>
      <w:r>
        <w:t xml:space="preserve">1.1 전체 파이프라인</w:t>
      </w:r>
    </w:p>
    <w:p>
      <w:pPr>
        <w:pStyle w:val="SourceCode"/>
      </w:pPr>
      <w:r>
        <w:rPr>
          <w:rStyle w:val="VerbatimChar"/>
        </w:rPr>
        <w:t xml:space="preserve">[입력 피처]</w:t>
      </w:r>
      <w:r>
        <w:br/>
      </w:r>
      <w:r>
        <w:rPr>
          <w:rStyle w:val="VerbatimChar"/>
        </w:rPr>
        <w:t xml:space="preserve">  기상 피처(10개): temp_mean, humidity_mean, wind_sin, wind_cos,</w:t>
      </w:r>
      <w:r>
        <w:br/>
      </w:r>
      <w:r>
        <w:rPr>
          <w:rStyle w:val="VerbatimChar"/>
        </w:rPr>
        <w:t xml:space="preserve">                  wind_speed_mean, wind_speed_max, precipitation,</w:t>
      </w:r>
      <w:r>
        <w:br/>
      </w:r>
      <w:r>
        <w:rPr>
          <w:rStyle w:val="VerbatimChar"/>
        </w:rPr>
        <w:t xml:space="preserve">                  pressure_mean, solar_radiation, stagnation_idx</w:t>
      </w:r>
      <w:r>
        <w:br/>
      </w:r>
      <w:r>
        <w:rPr>
          <w:rStyle w:val="VerbatimChar"/>
        </w:rPr>
        <w:t xml:space="preserve">  발전 피처(3개): gen_mwh_combined, utilization, heat_efficiency</w:t>
      </w:r>
      <w:r>
        <w:br/>
      </w:r>
      <w:r>
        <w:rPr>
          <w:rStyle w:val="VerbatimChar"/>
        </w:rPr>
        <w:t xml:space="preserve">  연료 피처(1개): 유연탄 (석탄사업소만)</w:t>
      </w:r>
      <w:r>
        <w:br/>
      </w:r>
      <w:r>
        <w:rPr>
          <w:rStyle w:val="VerbatimChar"/>
        </w:rPr>
        <w:t xml:space="preserve">  시계열 피처(5개): SOx_lag1, SOx_lag7, NOx_lag1, NOx_lag7, 먼지_lag7</w:t>
      </w:r>
      <w:r>
        <w:br/>
      </w:r>
      <w:r>
        <w:rPr>
          <w:rStyle w:val="VerbatimChar"/>
        </w:rPr>
        <w:t xml:space="preserve">  시간 피처(2개): year_trend, seasonal_mgmt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[XGBoost MultiOutputRegressor]</w:t>
      </w:r>
      <w:r>
        <w:br/>
      </w:r>
      <w:r>
        <w:rPr>
          <w:rStyle w:val="VerbatimChar"/>
        </w:rPr>
        <w:t xml:space="preserve">   └─ 사업소별 독립 모델 (5개)</w:t>
      </w:r>
      <w:r>
        <w:br/>
      </w:r>
      <w:r>
        <w:rPr>
          <w:rStyle w:val="VerbatimChar"/>
        </w:rPr>
        <w:t xml:space="preserve">   └─ 분당: SOx/먼지 제외, NOx 단독 예측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[출력 타겟]</w:t>
      </w:r>
      <w:r>
        <w:br/>
      </w:r>
      <w:r>
        <w:rPr>
          <w:rStyle w:val="VerbatimChar"/>
        </w:rPr>
        <w:t xml:space="preserve">  SOx (kg/일) · NOx (kg/일) · 먼지 (kg/일)</w:t>
      </w:r>
      <w:r>
        <w:br/>
      </w:r>
      <w:r>
        <w:rPr>
          <w:rStyle w:val="VerbatimChar"/>
        </w:rPr>
        <w:t xml:space="preserve">  [분당: NOx만]</w:t>
      </w:r>
    </w:p>
    <w:bookmarkEnd w:id="9"/>
    <w:bookmarkStart w:id="10" w:name="xgboost-주요-하이퍼파라미터"/>
    <w:p>
      <w:pPr>
        <w:pStyle w:val="Heading3"/>
      </w:pPr>
      <w:r>
        <w:t xml:space="preserve">1.2 XGBoost 주요 하이퍼파라미터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n_estimators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부스팅 라운드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max_depth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트리 깊이 상한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learning_rate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학습률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subsample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행 샘플링 비율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colsample_bytree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열 샘플링 비율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random_state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재현성 고정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xgboost 버전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1.7.3</w:t>
            </w:r>
          </w:p>
        </w:tc>
        <w:tc>
          <w:tcPr/>
          <w:p>
            <w:pPr>
              <w:pStyle w:val="Compact"/>
            </w:pPr>
            <w:r>
              <w:t xml:space="preserve">크로스 서버 재현성 보장</w:t>
            </w:r>
          </w:p>
        </w:tc>
      </w:tr>
    </w:tbl>
    <w:bookmarkEnd w:id="10"/>
    <w:bookmarkStart w:id="11" w:name="사업소별-피처-차이"/>
    <w:p>
      <w:pPr>
        <w:pStyle w:val="Heading3"/>
      </w:pPr>
      <w:r>
        <w:t xml:space="preserve">1.3 사업소별 피처 차이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사업소</w:t>
            </w:r>
          </w:p>
        </w:tc>
        <w:tc>
          <w:tcPr/>
          <w:p>
            <w:pPr>
              <w:pStyle w:val="Compact"/>
            </w:pPr>
            <w:r>
              <w:t xml:space="preserve">유연탄 피처</w:t>
            </w:r>
          </w:p>
        </w:tc>
        <w:tc>
          <w:tcPr/>
          <w:p>
            <w:pPr>
              <w:pStyle w:val="Compact"/>
            </w:pPr>
            <w:r>
              <w:t xml:space="preserve">coal_ratio</w:t>
            </w:r>
          </w:p>
        </w:tc>
        <w:tc>
          <w:tcPr/>
          <w:p>
            <w:pPr>
              <w:pStyle w:val="Compact"/>
            </w:pPr>
            <w:r>
              <w:t xml:space="preserve">대상 타겟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삼천포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SOx, NOx, 먼지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영흥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SOx, NOx, 먼지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분당</w:t>
            </w:r>
          </w:p>
        </w:tc>
        <w:tc>
          <w:tcPr/>
          <w:p>
            <w:pPr>
              <w:pStyle w:val="Compact"/>
            </w:pPr>
            <w:r>
              <w:t xml:space="preserve">✗ (LNG)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NOx 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영동</w:t>
            </w:r>
          </w:p>
        </w:tc>
        <w:tc>
          <w:tcPr/>
          <w:p>
            <w:pPr>
              <w:pStyle w:val="Compact"/>
            </w:pPr>
            <w:r>
              <w:t xml:space="preserve">✗ (바이오매스 혼소, coal_ratio≈0)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SOx, NOx, 먼지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여수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SOx, NOx, 먼지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24" w:name="모델-성능-테스트셋"/>
    <w:p>
      <w:pPr>
        <w:pStyle w:val="Heading2"/>
      </w:pPr>
      <w:r>
        <w:t xml:space="preserve">2. 모델 성능 (테스트셋)</w:t>
      </w:r>
    </w:p>
    <w:bookmarkStart w:id="22" w:name="성능-수치-전체"/>
    <w:p>
      <w:pPr>
        <w:pStyle w:val="Heading3"/>
      </w:pPr>
      <w:r>
        <w:t xml:space="preserve">2.1 성능 수치 전체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819"/>
        <w:gridCol w:w="682"/>
        <w:gridCol w:w="1638"/>
        <w:gridCol w:w="1502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사업소</w:t>
            </w:r>
          </w:p>
        </w:tc>
        <w:tc>
          <w:tcPr/>
          <w:p>
            <w:pPr>
              <w:pStyle w:val="Compact"/>
            </w:pPr>
            <w:r>
              <w:t xml:space="preserve">타겟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RMSE (kg/일)</w:t>
            </w:r>
          </w:p>
        </w:tc>
        <w:tc>
          <w:tcPr/>
          <w:p>
            <w:pPr>
              <w:pStyle w:val="Compact"/>
            </w:pPr>
            <w:r>
              <w:t xml:space="preserve">MAE (kg/일)</w:t>
            </w:r>
          </w:p>
        </w:tc>
        <w:tc>
          <w:tcPr/>
          <w:p>
            <w:pPr>
              <w:pStyle w:val="Compact"/>
            </w:pPr>
            <w:r>
              <w:t xml:space="preserve">상대오차(RMSE/평균)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삼천포</w:t>
            </w:r>
          </w:p>
        </w:tc>
        <w:tc>
          <w:tcPr/>
          <w:p>
            <w:pPr>
              <w:pStyle w:val="Compact"/>
            </w:pPr>
            <w:r>
              <w:t xml:space="preserve">SOx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0.733</w:t>
            </w:r>
          </w:p>
        </w:tc>
        <w:tc>
          <w:tcPr/>
          <w:p>
            <w:pPr>
              <w:pStyle w:val="Compact"/>
            </w:pPr>
            <w:r>
              <w:t xml:space="preserve">1,731</w:t>
            </w:r>
          </w:p>
        </w:tc>
        <w:tc>
          <w:tcPr/>
          <w:p>
            <w:pPr>
              <w:pStyle w:val="Compact"/>
            </w:pPr>
            <w:r>
              <w:t xml:space="preserve">1,151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삼천포</w:t>
            </w:r>
          </w:p>
        </w:tc>
        <w:tc>
          <w:tcPr/>
          <w:p>
            <w:pPr>
              <w:pStyle w:val="Compact"/>
            </w:pPr>
            <w:r>
              <w:t xml:space="preserve">NOx</w:t>
            </w:r>
          </w:p>
        </w:tc>
        <w:tc>
          <w:tcPr/>
          <w:p>
            <w:pPr>
              <w:pStyle w:val="Compact"/>
            </w:pPr>
            <w:r>
              <w:t xml:space="preserve">0.396</w:t>
            </w:r>
          </w:p>
        </w:tc>
        <w:tc>
          <w:tcPr/>
          <w:p>
            <w:pPr>
              <w:pStyle w:val="Compact"/>
            </w:pPr>
            <w:r>
              <w:t xml:space="preserve">3,830</w:t>
            </w:r>
          </w:p>
        </w:tc>
        <w:tc>
          <w:tcPr/>
          <w:p>
            <w:pPr>
              <w:pStyle w:val="Compact"/>
            </w:pPr>
            <w:r>
              <w:t xml:space="preserve">2,534</w:t>
            </w:r>
          </w:p>
        </w:tc>
        <w:tc>
          <w:tcPr/>
          <w:p>
            <w:pPr>
              <w:pStyle w:val="Compact"/>
            </w:pPr>
            <w:r>
              <w:t xml:space="preserve">37%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삼천포</w:t>
            </w:r>
          </w:p>
        </w:tc>
        <w:tc>
          <w:tcPr/>
          <w:p>
            <w:pPr>
              <w:pStyle w:val="Compact"/>
            </w:pPr>
            <w:r>
              <w:t xml:space="preserve">먼지</w:t>
            </w:r>
          </w:p>
        </w:tc>
        <w:tc>
          <w:tcPr/>
          <w:p>
            <w:pPr>
              <w:pStyle w:val="Compact"/>
            </w:pPr>
            <w:r>
              <w:t xml:space="preserve">-0.035</w:t>
            </w:r>
          </w:p>
        </w:tc>
        <w:tc>
          <w:tcPr/>
          <w:p>
            <w:pPr>
              <w:pStyle w:val="Compact"/>
            </w:pPr>
            <w:r>
              <w:t xml:space="preserve">38,548</w:t>
            </w:r>
          </w:p>
        </w:tc>
        <w:tc>
          <w:tcPr/>
          <w:p>
            <w:pPr>
              <w:pStyle w:val="Compact"/>
            </w:pPr>
            <w:r>
              <w:t xml:space="preserve">9,760</w:t>
            </w:r>
          </w:p>
        </w:tc>
        <w:tc>
          <w:tcPr/>
          <w:p>
            <w:pPr>
              <w:pStyle w:val="Compact"/>
            </w:pPr>
            <w:r>
              <w:t xml:space="preserve">535% ※EP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영흥</w:t>
            </w:r>
          </w:p>
        </w:tc>
        <w:tc>
          <w:tcPr/>
          <w:p>
            <w:pPr>
              <w:pStyle w:val="Compact"/>
            </w:pPr>
            <w:r>
              <w:t xml:space="preserve">SOx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0.692</w:t>
            </w:r>
          </w:p>
        </w:tc>
        <w:tc>
          <w:tcPr/>
          <w:p>
            <w:pPr>
              <w:pStyle w:val="Compact"/>
            </w:pPr>
            <w:r>
              <w:t xml:space="preserve">1,427</w:t>
            </w:r>
          </w:p>
        </w:tc>
        <w:tc>
          <w:tcPr/>
          <w:p>
            <w:pPr>
              <w:pStyle w:val="Compact"/>
            </w:pPr>
            <w:r>
              <w:t xml:space="preserve">1,164</w:t>
            </w:r>
          </w:p>
        </w:tc>
        <w:tc>
          <w:tcPr/>
          <w:p>
            <w:pPr>
              <w:pStyle w:val="Compact"/>
            </w:pPr>
            <w:r>
              <w:t xml:space="preserve">11%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영흥</w:t>
            </w:r>
          </w:p>
        </w:tc>
        <w:tc>
          <w:tcPr/>
          <w:p>
            <w:pPr>
              <w:pStyle w:val="Compact"/>
            </w:pPr>
            <w:r>
              <w:t xml:space="preserve">NOx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0.545</w:t>
            </w:r>
          </w:p>
        </w:tc>
        <w:tc>
          <w:tcPr/>
          <w:p>
            <w:pPr>
              <w:pStyle w:val="Compact"/>
            </w:pPr>
            <w:r>
              <w:t xml:space="preserve">1,622</w:t>
            </w:r>
          </w:p>
        </w:tc>
        <w:tc>
          <w:tcPr/>
          <w:p>
            <w:pPr>
              <w:pStyle w:val="Compact"/>
            </w:pPr>
            <w:r>
              <w:t xml:space="preserve">1,026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영흥</w:t>
            </w:r>
          </w:p>
        </w:tc>
        <w:tc>
          <w:tcPr/>
          <w:p>
            <w:pPr>
              <w:pStyle w:val="Compact"/>
            </w:pPr>
            <w:r>
              <w:t xml:space="preserve">먼지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</w:p>
        </w:tc>
        <w:tc>
          <w:tcPr/>
          <w:p>
            <w:pPr>
              <w:pStyle w:val="Compact"/>
            </w:pPr>
            <w:r>
              <w:t xml:space="preserve">8,427</w:t>
            </w:r>
          </w:p>
        </w:tc>
        <w:tc>
          <w:tcPr/>
          <w:p>
            <w:pPr>
              <w:pStyle w:val="Compact"/>
            </w:pPr>
            <w:r>
              <w:t xml:space="preserve">2,768</w:t>
            </w:r>
          </w:p>
        </w:tc>
        <w:tc>
          <w:tcPr/>
          <w:p>
            <w:pPr>
              <w:pStyle w:val="Compact"/>
            </w:pPr>
            <w:r>
              <w:t xml:space="preserve">401% ※EP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분당</w:t>
            </w:r>
          </w:p>
        </w:tc>
        <w:tc>
          <w:tcPr/>
          <w:p>
            <w:pPr>
              <w:pStyle w:val="Compact"/>
            </w:pPr>
            <w:r>
              <w:t xml:space="preserve">NOx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0.921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  <w:tc>
          <w:tcPr/>
          <w:p>
            <w:pPr>
              <w:pStyle w:val="Compact"/>
            </w:pPr>
            <w:r>
              <w:t xml:space="preserve">233</w:t>
            </w:r>
          </w:p>
        </w:tc>
        <w:tc>
          <w:tcPr/>
          <w:p>
            <w:pPr>
              <w:pStyle w:val="Compact"/>
            </w:pPr>
            <w:r>
              <w:t xml:space="preserve">26%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영동</w:t>
            </w:r>
          </w:p>
        </w:tc>
        <w:tc>
          <w:tcPr/>
          <w:p>
            <w:pPr>
              <w:pStyle w:val="Compact"/>
            </w:pPr>
            <w:r>
              <w:t xml:space="preserve">SOx</w:t>
            </w:r>
          </w:p>
        </w:tc>
        <w:tc>
          <w:tcPr/>
          <w:p>
            <w:pPr>
              <w:pStyle w:val="Compact"/>
            </w:pPr>
            <w:r>
              <w:t xml:space="preserve">0.147</w:t>
            </w:r>
          </w:p>
        </w:tc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160%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영동</w:t>
            </w:r>
          </w:p>
        </w:tc>
        <w:tc>
          <w:tcPr/>
          <w:p>
            <w:pPr>
              <w:pStyle w:val="Compact"/>
            </w:pPr>
            <w:r>
              <w:t xml:space="preserve">NOx</w:t>
            </w:r>
          </w:p>
        </w:tc>
        <w:tc>
          <w:tcPr/>
          <w:p>
            <w:pPr>
              <w:pStyle w:val="Compact"/>
            </w:pPr>
            <w:r>
              <w:t xml:space="preserve">0.415</w:t>
            </w:r>
          </w:p>
        </w:tc>
        <w:tc>
          <w:tcPr/>
          <w:p>
            <w:pPr>
              <w:pStyle w:val="Compact"/>
            </w:pPr>
            <w:r>
              <w:t xml:space="preserve">718</w:t>
            </w:r>
          </w:p>
        </w:tc>
        <w:tc>
          <w:tcPr/>
          <w:p>
            <w:pPr>
              <w:pStyle w:val="Compact"/>
            </w:pPr>
            <w:r>
              <w:t xml:space="preserve">485</w:t>
            </w:r>
          </w:p>
        </w:tc>
        <w:tc>
          <w:tcPr/>
          <w:p>
            <w:pPr>
              <w:pStyle w:val="Compact"/>
            </w:pPr>
            <w:r>
              <w:t xml:space="preserve">31%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영동</w:t>
            </w:r>
          </w:p>
        </w:tc>
        <w:tc>
          <w:tcPr/>
          <w:p>
            <w:pPr>
              <w:pStyle w:val="Compact"/>
            </w:pPr>
            <w:r>
              <w:t xml:space="preserve">먼지</w:t>
            </w:r>
          </w:p>
        </w:tc>
        <w:tc>
          <w:tcPr/>
          <w:p>
            <w:pPr>
              <w:pStyle w:val="Compact"/>
            </w:pPr>
            <w:r>
              <w:t xml:space="preserve">0.098</w:t>
            </w:r>
          </w:p>
        </w:tc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57%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여수</w:t>
            </w:r>
          </w:p>
        </w:tc>
        <w:tc>
          <w:tcPr/>
          <w:p>
            <w:pPr>
              <w:pStyle w:val="Compact"/>
            </w:pPr>
            <w:r>
              <w:t xml:space="preserve">SOx</w:t>
            </w:r>
          </w:p>
        </w:tc>
        <w:tc>
          <w:tcPr/>
          <w:p>
            <w:pPr>
              <w:pStyle w:val="Compact"/>
            </w:pPr>
            <w:r>
              <w:t xml:space="preserve">0.468</w:t>
            </w:r>
          </w:p>
        </w:tc>
        <w:tc>
          <w:tcPr/>
          <w:p>
            <w:pPr>
              <w:pStyle w:val="Compact"/>
            </w:pPr>
            <w:r>
              <w:t xml:space="preserve">534</w:t>
            </w:r>
          </w:p>
        </w:tc>
        <w:tc>
          <w:tcPr/>
          <w:p>
            <w:pPr>
              <w:pStyle w:val="Compact"/>
            </w:pPr>
            <w:r>
              <w:t xml:space="preserve">329</w:t>
            </w:r>
          </w:p>
        </w:tc>
        <w:tc>
          <w:tcPr/>
          <w:p>
            <w:pPr>
              <w:pStyle w:val="Compact"/>
            </w:pPr>
            <w:r>
              <w:t xml:space="preserve">107%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여수</w:t>
            </w:r>
          </w:p>
        </w:tc>
        <w:tc>
          <w:tcPr/>
          <w:p>
            <w:pPr>
              <w:pStyle w:val="Compact"/>
            </w:pPr>
            <w:r>
              <w:t xml:space="preserve">NOx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0.753</w:t>
            </w:r>
          </w:p>
        </w:tc>
        <w:tc>
          <w:tcPr/>
          <w:p>
            <w:pPr>
              <w:pStyle w:val="Compact"/>
            </w:pPr>
            <w:r>
              <w:t xml:space="preserve">364</w:t>
            </w:r>
          </w:p>
        </w:tc>
        <w:tc>
          <w:tcPr/>
          <w:p>
            <w:pPr>
              <w:pStyle w:val="Compact"/>
            </w:pPr>
            <w:r>
              <w:t xml:space="preserve">221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여수</w:t>
            </w:r>
          </w:p>
        </w:tc>
        <w:tc>
          <w:tcPr/>
          <w:p>
            <w:pPr>
              <w:pStyle w:val="Compact"/>
            </w:pPr>
            <w:r>
              <w:t xml:space="preserve">먼지</w:t>
            </w:r>
          </w:p>
        </w:tc>
        <w:tc>
          <w:tcPr/>
          <w:p>
            <w:pPr>
              <w:pStyle w:val="Compact"/>
            </w:pPr>
            <w:r>
              <w:t xml:space="preserve">0.136</w:t>
            </w:r>
          </w:p>
        </w:tc>
        <w:tc>
          <w:tcPr/>
          <w:p>
            <w:pPr>
              <w:pStyle w:val="Compact"/>
            </w:pPr>
            <w:r>
              <w:t xml:space="preserve">1,305</w:t>
            </w:r>
          </w:p>
        </w:tc>
        <w:tc>
          <w:tcPr/>
          <w:p>
            <w:pPr>
              <w:pStyle w:val="Compact"/>
            </w:pPr>
            <w:r>
              <w:t xml:space="preserve">499</w:t>
            </w:r>
          </w:p>
        </w:tc>
        <w:tc>
          <w:tcPr/>
          <w:p>
            <w:pPr>
              <w:pStyle w:val="Compact"/>
            </w:pPr>
            <w:r>
              <w:t xml:space="preserve">269%</w:t>
            </w:r>
          </w:p>
        </w:tc>
      </w:tr>
    </w:tbl>
    <w:p>
      <w:pPr>
        <w:pStyle w:val="BlockText"/>
      </w:pPr>
      <w:r>
        <w:t xml:space="preserve">※EP: 전기집진기 이벤트로 인한 이상치가 RMSE를 비정상적으로 키움 — R² 및 상대오차 모두 신뢰 불가</w:t>
      </w:r>
    </w:p>
    <w:p>
      <w:pPr>
        <w:pStyle w:val="CaptionedFigure"/>
      </w:pPr>
      <w:r>
        <w:drawing>
          <wp:inline>
            <wp:extent cx="5334000" cy="1860307"/>
            <wp:effectExtent b="0" l="0" r="0" t="0"/>
            <wp:docPr descr="그림 3-1. 삼천포 SOx·NOx·먼지 예측 vs 실측 산점도 (테스트셋)" title="" id="14" name="Picture"/>
            <a:graphic>
              <a:graphicData uri="http://schemas.openxmlformats.org/drawingml/2006/picture">
                <pic:pic>
                  <pic:nvPicPr>
                    <pic:cNvPr descr="model_삼천포_예측vs실측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0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3-1. 삼천포 SOx·NOx·먼지 예측 vs 실측 산점도 (테스트셋)</w:t>
      </w:r>
    </w:p>
    <w:p>
      <w:pPr>
        <w:pStyle w:val="CaptionedFigure"/>
      </w:pPr>
      <w:r>
        <w:drawing>
          <wp:inline>
            <wp:extent cx="5334000" cy="1858636"/>
            <wp:effectExtent b="0" l="0" r="0" t="0"/>
            <wp:docPr descr="그림 3-2. 영흥 SOx·NOx·먼지 예측 vs 실측 산점도 (테스트셋)" title="" id="17" name="Picture"/>
            <a:graphic>
              <a:graphicData uri="http://schemas.openxmlformats.org/drawingml/2006/picture">
                <pic:pic>
                  <pic:nvPicPr>
                    <pic:cNvPr descr="model_영흥_예측vs실측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8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3-2. 영흥 SOx·NOx·먼지 예측 vs 실측 산점도 (테스트셋)</w:t>
      </w:r>
    </w:p>
    <w:p>
      <w:pPr>
        <w:pStyle w:val="CaptionedFigure"/>
      </w:pPr>
      <w:r>
        <w:drawing>
          <wp:inline>
            <wp:extent cx="3944112" cy="4535424"/>
            <wp:effectExtent b="0" l="0" r="0" t="0"/>
            <wp:docPr descr="그림 3-3. 분당 NOx 예측 vs 실측 산점도 — R²=0.921 달성" title="" id="20" name="Picture"/>
            <a:graphic>
              <a:graphicData uri="http://schemas.openxmlformats.org/drawingml/2006/picture">
                <pic:pic>
                  <pic:nvPicPr>
                    <pic:cNvPr descr="model_분당_예측vs실측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112" cy="4535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3-3. 분당 NOx 예측 vs 실측 산점도 — R²=0.921 달성</w:t>
      </w:r>
    </w:p>
    <w:bookmarkEnd w:id="22"/>
    <w:bookmarkStart w:id="23" w:name="성능-해석"/>
    <w:p>
      <w:pPr>
        <w:pStyle w:val="Heading3"/>
      </w:pPr>
      <w:r>
        <w:t xml:space="preserve">2.2 성능 해석</w:t>
      </w:r>
    </w:p>
    <w:p>
      <w:pPr>
        <w:pStyle w:val="FirstParagraph"/>
      </w:pPr>
      <w:r>
        <w:rPr>
          <w:b/>
          <w:bCs/>
        </w:rPr>
        <w:t xml:space="preserve">SOx (삼천포·영흥)</w:t>
      </w:r>
      <w:r>
        <w:t xml:space="preserve"> </w:t>
      </w:r>
      <w:r>
        <w:t xml:space="preserve">- R²=0.69~0.73, 상대오차 11~22% → 실용 수준</w:t>
      </w:r>
      <w:r>
        <w:t xml:space="preserve"> </w:t>
      </w:r>
      <w:r>
        <w:t xml:space="preserve">- 발전량·유연탄 투입량과 강한 상관, lag 피처가 시계열 연속성 포착</w:t>
      </w:r>
    </w:p>
    <w:p>
      <w:pPr>
        <w:pStyle w:val="BodyText"/>
      </w:pPr>
      <w:r>
        <w:rPr>
          <w:b/>
          <w:bCs/>
        </w:rPr>
        <w:t xml:space="preserve">NOx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분당 R²=0.921, 상대오차 26%</w:t>
      </w:r>
      <w:r>
        <w:t xml:space="preserve">: LNG 연소 NOx는 발전량·기온 피처만으로 거의 설명 가능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영흥 R²=0.545이지만 상대오차 13%</w:t>
      </w:r>
      <w:r>
        <w:t xml:space="preserve">: R²만 보면 낮아 보이나 실제 오차는 평균의 13% 수준 → 감발 효과 추정에 충분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삼천포 NOx 상대오차 37%</w:t>
      </w:r>
      <w:r>
        <w:t xml:space="preserve">: 연소 온도·공기비·SCR 운전 등 미확보 변수 영향, 방향성 판단 용도로 활용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여수 NOx R²=0.753, 상대오차 13%</w:t>
      </w:r>
      <w:r>
        <w:t xml:space="preserve">: 양호</w:t>
      </w:r>
    </w:p>
    <w:p>
      <w:pPr>
        <w:pStyle w:val="BodyText"/>
      </w:pPr>
      <w:r>
        <w:rPr>
          <w:b/>
          <w:bCs/>
        </w:rPr>
        <w:t xml:space="preserve">영동·여수 SOx</w:t>
      </w:r>
      <w:r>
        <w:t xml:space="preserve"> </w:t>
      </w:r>
      <w:r>
        <w:t xml:space="preserve">- 영동 SOx: 평균 64 kg/일에 RMSE 103 kg/일 → 오차가 실제값보다 큼, 실용 불가</w:t>
      </w:r>
      <w:r>
        <w:t xml:space="preserve"> </w:t>
      </w:r>
      <w:r>
        <w:t xml:space="preserve">- 여수 SOx: 상대오차 107%, 정책 활용 시 주의 필요</w:t>
      </w:r>
    </w:p>
    <w:p>
      <w:pPr>
        <w:pStyle w:val="BodyText"/>
      </w:pPr>
      <w:r>
        <w:rPr>
          <w:b/>
          <w:bCs/>
        </w:rPr>
        <w:t xml:space="preserve">먼지 (R²&lt;0, 상대오차 400~535%)</w:t>
      </w:r>
      <w:r>
        <w:t xml:space="preserve"> </w:t>
      </w:r>
      <w:r>
        <w:t xml:space="preserve">- 삼천포·영흥 먼지 R²가 음수인 근본 원인:</w:t>
      </w:r>
      <w:r>
        <w:t xml:space="preserve"> </w:t>
      </w:r>
      <w:r>
        <w:rPr>
          <w:b/>
          <w:bCs/>
        </w:rPr>
        <w:t xml:space="preserve">전기집진기(EP) 가동 중단 이벤트</w:t>
      </w:r>
      <w:r>
        <w:t xml:space="preserve"> </w:t>
      </w:r>
      <w:r>
        <w:t xml:space="preserve">- EP 이벤트 발생 시 먼지 하루 만에 중위값의</w:t>
      </w:r>
      <w:r>
        <w:t xml:space="preserve"> </w:t>
      </w:r>
      <w:r>
        <w:rPr>
          <w:b/>
          <w:bCs/>
        </w:rPr>
        <w:t xml:space="preserve">39~224배</w:t>
      </w:r>
      <w:r>
        <w:t xml:space="preserve"> </w:t>
      </w:r>
      <w:r>
        <w:t xml:space="preserve">폭증</w:t>
      </w:r>
      <w:r>
        <w:t xml:space="preserve"> </w:t>
      </w:r>
      <w:r>
        <w:t xml:space="preserve">- SOx·발전량은 정상 유지 → 피처로 이벤트 예측 불가, EP 운전 상태 데이터 미확보가 구조적 한계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모델 한계로 명시하되, SOx·NOx 예측을 통한 최적화에 집중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7" w:name="shap-피처-중요도"/>
    <w:p>
      <w:pPr>
        <w:pStyle w:val="Heading2"/>
      </w:pPr>
      <w:r>
        <w:t xml:space="preserve">3. SHAP 피처 중요도</w:t>
      </w:r>
    </w:p>
    <w:bookmarkStart w:id="31" w:name="삼천포-nox"/>
    <w:p>
      <w:pPr>
        <w:pStyle w:val="Heading3"/>
      </w:pPr>
      <w:r>
        <w:t xml:space="preserve">3.1 삼천포 NOx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532"/>
        <w:gridCol w:w="2810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순위</w:t>
            </w:r>
          </w:p>
        </w:tc>
        <w:tc>
          <w:tcPr/>
          <w:p>
            <w:pPr>
              <w:pStyle w:val="Compact"/>
            </w:pPr>
            <w:r>
              <w:t xml:space="preserve">피처</w:t>
            </w:r>
          </w:p>
        </w:tc>
        <w:tc>
          <w:tcPr/>
          <w:p>
            <w:pPr>
              <w:pStyle w:val="Compact"/>
            </w:pPr>
            <w:r>
              <w:t xml:space="preserve">피처 정의</w:t>
            </w:r>
          </w:p>
        </w:tc>
        <w:tc>
          <w:tcPr/>
          <w:p>
            <w:pPr>
              <w:pStyle w:val="Compact"/>
            </w:pPr>
            <w:r>
              <w:t xml:space="preserve">방향성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gen_mwh_combined</w:t>
            </w:r>
          </w:p>
        </w:tc>
        <w:tc>
          <w:tcPr/>
          <w:p>
            <w:pPr>
              <w:pStyle w:val="Compact"/>
            </w:pPr>
            <w:r>
              <w:t xml:space="preserve">일 발전량(MWh) — API 실측 우선, 결측 시 발전실적으로 보완</w:t>
            </w:r>
          </w:p>
        </w:tc>
        <w:tc>
          <w:tcPr/>
          <w:p>
            <w:pPr>
              <w:pStyle w:val="Compact"/>
            </w:pPr>
            <w:r>
              <w:t xml:space="preserve">+ (발전량 증가 → 연료 투입 증가 → NOx 증가)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NOx_lag1</w:t>
            </w:r>
          </w:p>
        </w:tc>
        <w:tc>
          <w:tcPr/>
          <w:p>
            <w:pPr>
              <w:pStyle w:val="Compact"/>
            </w:pPr>
            <w:r>
              <w:t xml:space="preserve">전일(t-1) NOx 배출량(kg/일)</w:t>
            </w:r>
          </w:p>
        </w:tc>
        <w:tc>
          <w:tcPr/>
          <w:p>
            <w:pPr>
              <w:pStyle w:val="Compact"/>
            </w:pPr>
            <w:r>
              <w:t xml:space="preserve">+ (전일 배출 높으면 당일도 유사 운전 조건 지속)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year_trend</w:t>
            </w:r>
          </w:p>
        </w:tc>
        <w:tc>
          <w:tcPr/>
          <w:p>
            <w:pPr>
              <w:pStyle w:val="Compact"/>
            </w:pPr>
            <w:r>
              <w:t xml:space="preserve">분석 시작일로부터 경과 일수 (장기 트렌드 반영)</w:t>
            </w:r>
          </w:p>
        </w:tc>
        <w:tc>
          <w:tcPr/>
          <w:p>
            <w:pPr>
              <w:pStyle w:val="Compact"/>
            </w:pPr>
            <w:r>
              <w:t xml:space="preserve">− (연도 증가 → 설비 개선·규제 강화로 NOx 감소)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utilization</w:t>
            </w:r>
          </w:p>
        </w:tc>
        <w:tc>
          <w:tcPr/>
          <w:p>
            <w:pPr>
              <w:pStyle w:val="Compact"/>
            </w:pPr>
            <w:r>
              <w:t xml:space="preserve">발전 설비 이용률(%) — 발전량 ÷ 설비용량</w:t>
            </w:r>
          </w:p>
        </w:tc>
        <w:tc>
          <w:tcPr/>
          <w:p>
            <w:pPr>
              <w:pStyle w:val="Compact"/>
            </w:pPr>
            <w:r>
              <w:t xml:space="preserve">+ (이용률 상승 → 고부하 연소 → NOx 증가)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temp_mean</w:t>
            </w:r>
          </w:p>
        </w:tc>
        <w:tc>
          <w:tcPr/>
          <w:p>
            <w:pPr>
              <w:pStyle w:val="Compact"/>
            </w:pPr>
            <w:r>
              <w:t xml:space="preserve">일 평균 기온(℃)</w:t>
            </w:r>
          </w:p>
        </w:tc>
        <w:tc>
          <w:tcPr/>
          <w:p>
            <w:pPr>
              <w:pStyle w:val="Compact"/>
            </w:pPr>
            <w:r>
              <w:t xml:space="preserve">비선형 (고온 시 열NOx 생성 증가, 저온 시 연소 효율 변화)</w:t>
            </w:r>
          </w:p>
        </w:tc>
      </w:tr>
    </w:tbl>
    <w:p>
      <w:pPr>
        <w:pStyle w:val="CaptionedFigure"/>
      </w:pPr>
      <w:r>
        <w:drawing>
          <wp:inline>
            <wp:extent cx="5334000" cy="3950970"/>
            <wp:effectExtent b="0" l="0" r="0" t="0"/>
            <wp:docPr descr="그림 3-4. 삼천포 NOx SHAP 피처 중요도 — 발전량·lag·year_trend 상위 지배" title="" id="26" name="Picture"/>
            <a:graphic>
              <a:graphicData uri="http://schemas.openxmlformats.org/drawingml/2006/picture">
                <pic:pic>
                  <pic:nvPicPr>
                    <pic:cNvPr descr="shap_삼천포_NOx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0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3-4. 삼천포 NOx SHAP 피처 중요도 — 발전량·lag·year_trend 상위 지배</w:t>
      </w:r>
    </w:p>
    <w:p>
      <w:pPr>
        <w:pStyle w:val="CaptionedFigure"/>
      </w:pPr>
      <w:r>
        <w:drawing>
          <wp:inline>
            <wp:extent cx="5334000" cy="3950970"/>
            <wp:effectExtent b="0" l="0" r="0" t="0"/>
            <wp:docPr descr="그림 3-5. 삼천포 SOx SHAP 피처 중요도" title="" id="29" name="Picture"/>
            <a:graphic>
              <a:graphicData uri="http://schemas.openxmlformats.org/drawingml/2006/picture">
                <pic:pic>
                  <pic:nvPicPr>
                    <pic:cNvPr descr="shap_삼천포_SOx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0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3-5. 삼천포 SOx SHAP 피처 중요도</w:t>
      </w:r>
    </w:p>
    <w:bookmarkEnd w:id="31"/>
    <w:bookmarkStart w:id="35" w:name="영흥-nox"/>
    <w:p>
      <w:pPr>
        <w:pStyle w:val="Heading3"/>
      </w:pPr>
      <w:r>
        <w:t xml:space="preserve">3.2 영흥 NOx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532"/>
        <w:gridCol w:w="2810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순위</w:t>
            </w:r>
          </w:p>
        </w:tc>
        <w:tc>
          <w:tcPr/>
          <w:p>
            <w:pPr>
              <w:pStyle w:val="Compact"/>
            </w:pPr>
            <w:r>
              <w:t xml:space="preserve">피처</w:t>
            </w:r>
          </w:p>
        </w:tc>
        <w:tc>
          <w:tcPr/>
          <w:p>
            <w:pPr>
              <w:pStyle w:val="Compact"/>
            </w:pPr>
            <w:r>
              <w:t xml:space="preserve">피처 정의</w:t>
            </w:r>
          </w:p>
        </w:tc>
        <w:tc>
          <w:tcPr/>
          <w:p>
            <w:pPr>
              <w:pStyle w:val="Compact"/>
            </w:pPr>
            <w:r>
              <w:t xml:space="preserve">방향성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gen_mwh_combined</w:t>
            </w:r>
          </w:p>
        </w:tc>
        <w:tc>
          <w:tcPr/>
          <w:p>
            <w:pPr>
              <w:pStyle w:val="Compact"/>
            </w:pPr>
            <w:r>
              <w:t xml:space="preserve">일 발전량(MWh)</w:t>
            </w:r>
          </w:p>
        </w:tc>
        <w:tc>
          <w:tcPr/>
          <w:p>
            <w:pPr>
              <w:pStyle w:val="Compact"/>
            </w:pPr>
            <w:r>
              <w:t xml:space="preserve">+ (삼천포와 동일 메커니즘)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NOx_lag1</w:t>
            </w:r>
          </w:p>
        </w:tc>
        <w:tc>
          <w:tcPr/>
          <w:p>
            <w:pPr>
              <w:pStyle w:val="Compact"/>
            </w:pPr>
            <w:r>
              <w:t xml:space="preserve">전일 NOx 배출량(kg/일)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year_trend</w:t>
            </w:r>
          </w:p>
        </w:tc>
        <w:tc>
          <w:tcPr/>
          <w:p>
            <w:pPr>
              <w:pStyle w:val="Compact"/>
            </w:pPr>
            <w:r>
              <w:t xml:space="preserve">분석 시작일로부터 경과 일수</w:t>
            </w:r>
          </w:p>
        </w:tc>
        <w:tc>
          <w:tcPr/>
          <w:p>
            <w:pPr>
              <w:pStyle w:val="Compact"/>
            </w:pPr>
            <w:r>
              <w:t xml:space="preserve">−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유연탄</w:t>
            </w:r>
          </w:p>
        </w:tc>
        <w:tc>
          <w:tcPr/>
          <w:p>
            <w:pPr>
              <w:pStyle w:val="Compact"/>
            </w:pPr>
            <w:r>
              <w:t xml:space="preserve">월 유연탄 소비량(톤)을 일 균등 배분한 값</w:t>
            </w:r>
          </w:p>
        </w:tc>
        <w:tc>
          <w:tcPr/>
          <w:p>
            <w:pPr>
              <w:pStyle w:val="Compact"/>
            </w:pPr>
            <w:r>
              <w:t xml:space="preserve">+ (석탄 투입량 증가 → 고온 연소 → NOx 증가)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utilization</w:t>
            </w:r>
          </w:p>
        </w:tc>
        <w:tc>
          <w:tcPr/>
          <w:p>
            <w:pPr>
              <w:pStyle w:val="Compact"/>
            </w:pPr>
            <w:r>
              <w:t xml:space="preserve">발전 설비 이용률(%)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영흥은 설비용량(5,080 MW)이 크고 유연탄 절대 투입량이 많아</w:t>
      </w:r>
      <w:r>
        <w:t xml:space="preserve"> </w:t>
      </w:r>
      <w:r>
        <w:rPr>
          <w:rStyle w:val="VerbatimChar"/>
        </w:rPr>
        <w:t xml:space="preserve">유연탄</w:t>
      </w:r>
      <w:r>
        <w:t xml:space="preserve"> </w:t>
      </w:r>
      <w:r>
        <w:t xml:space="preserve">피처 중요도가 삼천포보다 높게 나타남</w:t>
      </w:r>
    </w:p>
    <w:p>
      <w:pPr>
        <w:pStyle w:val="CaptionedFigure"/>
      </w:pPr>
      <w:r>
        <w:drawing>
          <wp:inline>
            <wp:extent cx="5334000" cy="3950970"/>
            <wp:effectExtent b="0" l="0" r="0" t="0"/>
            <wp:docPr descr="그림 3-6. 영흥 NOx SHAP 피처 중요도" title="" id="33" name="Picture"/>
            <a:graphic>
              <a:graphicData uri="http://schemas.openxmlformats.org/drawingml/2006/picture">
                <pic:pic>
                  <pic:nvPicPr>
                    <pic:cNvPr descr="shap_영흥_NOx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0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3-6. 영흥 NOx SHAP 피처 중요도</w:t>
      </w:r>
    </w:p>
    <w:bookmarkEnd w:id="35"/>
    <w:bookmarkStart w:id="36" w:name="분당-nox-r²0.921"/>
    <w:p>
      <w:pPr>
        <w:pStyle w:val="Heading3"/>
      </w:pPr>
      <w:r>
        <w:t xml:space="preserve">3.3 분당 NOx (R²=0.921)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532"/>
        <w:gridCol w:w="2810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순위</w:t>
            </w:r>
          </w:p>
        </w:tc>
        <w:tc>
          <w:tcPr/>
          <w:p>
            <w:pPr>
              <w:pStyle w:val="Compact"/>
            </w:pPr>
            <w:r>
              <w:t xml:space="preserve">피처</w:t>
            </w:r>
          </w:p>
        </w:tc>
        <w:tc>
          <w:tcPr/>
          <w:p>
            <w:pPr>
              <w:pStyle w:val="Compact"/>
            </w:pPr>
            <w:r>
              <w:t xml:space="preserve">피처 정의</w:t>
            </w:r>
          </w:p>
        </w:tc>
        <w:tc>
          <w:tcPr/>
          <w:p>
            <w:pPr>
              <w:pStyle w:val="Compact"/>
            </w:pPr>
            <w:r>
              <w:t xml:space="preserve">방향성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gen_mwh_combined</w:t>
            </w:r>
          </w:p>
        </w:tc>
        <w:tc>
          <w:tcPr/>
          <w:p>
            <w:pPr>
              <w:pStyle w:val="Compact"/>
            </w:pPr>
            <w:r>
              <w:t xml:space="preserve">일 발전량(MWh)</w:t>
            </w:r>
          </w:p>
        </w:tc>
        <w:tc>
          <w:tcPr/>
          <w:p>
            <w:pPr>
              <w:pStyle w:val="Compact"/>
            </w:pPr>
            <w:r>
              <w:t xml:space="preserve">+ (LNG 발전량이 NOx 배출량을 거의 1:1로 결정)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temp_mean</w:t>
            </w:r>
          </w:p>
        </w:tc>
        <w:tc>
          <w:tcPr/>
          <w:p>
            <w:pPr>
              <w:pStyle w:val="Compact"/>
            </w:pPr>
            <w:r>
              <w:t xml:space="preserve">일 평균 기온(℃)</w:t>
            </w:r>
          </w:p>
        </w:tc>
        <w:tc>
          <w:tcPr/>
          <w:p>
            <w:pPr>
              <w:pStyle w:val="Compact"/>
            </w:pPr>
            <w:r>
              <w:t xml:space="preserve">+ (고온 → 연소 공기 내 열NOx 생성 증가)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seasonal_mgmt</w:t>
            </w:r>
          </w:p>
        </w:tc>
        <w:tc>
          <w:tcPr/>
          <w:p>
            <w:pPr>
              <w:pStyle w:val="Compact"/>
            </w:pPr>
            <w:r>
              <w:t xml:space="preserve">계절관리제 기간 여부 (12~3월=1, 그 외=0)</w:t>
            </w:r>
          </w:p>
        </w:tc>
        <w:tc>
          <w:tcPr/>
          <w:p>
            <w:pPr>
              <w:pStyle w:val="Compact"/>
            </w:pPr>
            <w:r>
              <w:t xml:space="preserve">− (계절관리제 기간 이용률 상한으로 발전량 제한)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lag 피처 중요도 낮음: LNG 연소 NOx는 전일 배출과의 자기상관이 석탄 대비 약함 — 당일 발전량으로 거의 설명 가능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0" w:name="먼지-모델-한계-ep-이벤트-상세"/>
    <w:p>
      <w:pPr>
        <w:pStyle w:val="Heading2"/>
      </w:pPr>
      <w:r>
        <w:t xml:space="preserve">4. 먼지 모델 한계 — EP 이벤트 상세</w:t>
      </w:r>
    </w:p>
    <w:bookmarkStart w:id="47" w:name="전기집진기ep란"/>
    <w:p>
      <w:pPr>
        <w:pStyle w:val="Heading3"/>
      </w:pPr>
      <w:r>
        <w:t xml:space="preserve">4.1 전기집진기(EP)란?</w:t>
      </w:r>
    </w:p>
    <w:p>
      <w:pPr>
        <w:pStyle w:val="FirstParagraph"/>
      </w:pPr>
      <w:r>
        <w:rPr>
          <w:b/>
          <w:bCs/>
        </w:rPr>
        <w:t xml:space="preserve">전기집진기(Electrostatic Precipitator, EP)</w:t>
      </w:r>
      <w:r>
        <w:t xml:space="preserve">는 석탄 연소 후 발생하는 먼지(비산재)를 고압 전기장으로 포집하는 방지 설비다. 발전소에서 배출되는 먼지의 99% 이상을 제거하며, 정상 운전 시 먼지 배출을 수십~수백 kg/일 수준으로 억제한다.</w:t>
      </w:r>
    </w:p>
    <w:p>
      <w:pPr>
        <w:pStyle w:val="BodyText"/>
      </w:pPr>
      <w:r>
        <w:rPr>
          <w:b/>
          <w:bCs/>
        </w:rPr>
        <w:t xml:space="preserve">EP 이벤트</w:t>
      </w:r>
      <w:r>
        <w:t xml:space="preserve">란 EP의 전원 차단·절연 불량·극판 단락 등 설비 장애로 EP가 일시적으로 기능을 상실하는 상황을 말한다. 이 경우 연소 가스 내 먼지가 여과 없이 연돌로 방출되어 하루 만에 수만~수백만 kg의 먼지가 배출된다.</w:t>
      </w:r>
    </w:p>
    <w:p>
      <w:pPr>
        <w:pStyle w:val="SourceCode"/>
      </w:pPr>
      <w:r>
        <w:rPr>
          <w:rStyle w:val="VerbatimChar"/>
        </w:rPr>
        <w:t xml:space="preserve">정상 운전 기간          EP 이벤트 발생</w:t>
      </w:r>
      <w:r>
        <w:br/>
      </w:r>
      <w:r>
        <w:rPr>
          <w:rStyle w:val="VerbatimChar"/>
        </w:rPr>
        <w:t xml:space="preserve">먼지  ~2,000 kg/일  →  최대 1,650,000 kg/일 (삼천포, 정상 대비 약 224배)</w:t>
      </w:r>
      <w:r>
        <w:br/>
      </w:r>
      <w:r>
        <w:rPr>
          <w:rStyle w:val="VerbatimChar"/>
        </w:rPr>
        <w:t xml:space="preserve">SOx   정상            →  정상 (EP는 먼지 전용 — SOx 영향 없음)</w:t>
      </w:r>
      <w:r>
        <w:br/>
      </w:r>
      <w:r>
        <w:rPr>
          <w:rStyle w:val="VerbatimChar"/>
        </w:rPr>
        <w:t xml:space="preserve">발전량 정상           →  정상 (발전소는 계속 가동 중)</w:t>
      </w:r>
    </w:p>
    <w:p>
      <w:pPr>
        <w:pStyle w:val="CaptionedFigure"/>
      </w:pPr>
      <w:r>
        <w:drawing>
          <wp:inline>
            <wp:extent cx="5334000" cy="4618327"/>
            <wp:effectExtent b="0" l="0" r="0" t="0"/>
            <wp:docPr descr="그림 3-7. 먼지 배출 전체 시계열 — EP 이벤트 발생 시점의 급등 패턴" title="" id="39" name="Picture"/>
            <a:graphic>
              <a:graphicData uri="http://schemas.openxmlformats.org/drawingml/2006/picture">
                <pic:pic>
                  <pic:nvPicPr>
                    <pic:cNvPr descr="dust_한계_시계열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8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3-7. 먼지 배출 전체 시계열 — EP 이벤트 발생 시점의 급등 패턴</w:t>
      </w:r>
    </w:p>
    <w:p>
      <w:pPr>
        <w:pStyle w:val="CaptionedFigure"/>
      </w:pPr>
      <w:r>
        <w:drawing>
          <wp:inline>
            <wp:extent cx="5334000" cy="2972535"/>
            <wp:effectExtent b="0" l="0" r="0" t="0"/>
            <wp:docPr descr="그림 3-8. EP 이벤트 전후 SOx vs 먼지 비교 — SOx 정상·먼지 단독 폭증 확인" title="" id="42" name="Picture"/>
            <a:graphic>
              <a:graphicData uri="http://schemas.openxmlformats.org/drawingml/2006/picture">
                <pic:pic>
                  <pic:nvPicPr>
                    <pic:cNvPr descr="dust_한계_클로즈업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3-8. EP 이벤트 전후 SOx vs 먼지 비교 — SOx 정상·먼지 단독 폭증 확인</w:t>
      </w:r>
    </w:p>
    <w:p>
      <w:pPr>
        <w:pStyle w:val="CaptionedFigure"/>
      </w:pPr>
      <w:r>
        <w:drawing>
          <wp:inline>
            <wp:extent cx="5334000" cy="1662400"/>
            <wp:effectExtent b="0" l="0" r="0" t="0"/>
            <wp:docPr descr="그림 3-9. 먼지 배출 분포 — 정상 구간과 EP 이벤트 구간의 이중 분포 구조" title="" id="45" name="Picture"/>
            <a:graphic>
              <a:graphicData uri="http://schemas.openxmlformats.org/drawingml/2006/picture">
                <pic:pic>
                  <pic:nvPicPr>
                    <pic:cNvPr descr="dust_한계_분포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3-9. 먼지 배출 분포 — 정상 구간과 EP 이벤트 구간의 이중 분포 구조</w:t>
      </w:r>
    </w:p>
    <w:bookmarkEnd w:id="47"/>
    <w:bookmarkStart w:id="48" w:name="모델이-예측할-수-없는-이유"/>
    <w:p>
      <w:pPr>
        <w:pStyle w:val="Heading3"/>
      </w:pPr>
      <w:r>
        <w:t xml:space="preserve">4.2 모델이 예측할 수 없는 이유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요인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피처와 독립적</w:t>
            </w:r>
          </w:p>
        </w:tc>
        <w:tc>
          <w:tcPr/>
          <w:p>
            <w:pPr>
              <w:pStyle w:val="Compact"/>
            </w:pPr>
            <w:r>
              <w:t xml:space="preserve">EP 장애는 발전량·기상·연료 변수와 무관하게 발생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빈도 낮음</w:t>
            </w:r>
          </w:p>
        </w:tc>
        <w:tc>
          <w:tcPr/>
          <w:p>
            <w:pPr>
              <w:pStyle w:val="Compact"/>
            </w:pPr>
            <w:r>
              <w:t xml:space="preserve">학습 데이터 내 EP 이벤트 비율 &lt; 1% → 모델이 패턴 학습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극단적 스케일</w:t>
            </w:r>
          </w:p>
        </w:tc>
        <w:tc>
          <w:tcPr/>
          <w:p>
            <w:pPr>
              <w:pStyle w:val="Compact"/>
            </w:pPr>
            <w:r>
              <w:t xml:space="preserve">정상값과 이벤트값의 차이가 100~200배 → RMSE·R² 모두 왜곡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운전 상태 데이터 미확보</w:t>
            </w:r>
          </w:p>
        </w:tc>
        <w:tc>
          <w:tcPr/>
          <w:p>
            <w:pPr>
              <w:pStyle w:val="Compact"/>
            </w:pPr>
            <w:r>
              <w:t xml:space="preserve">EP 가동 여부, 전압·전류 등 설비 상태값이 현행 데이터셋에 없음</w:t>
            </w:r>
          </w:p>
        </w:tc>
      </w:tr>
    </w:tbl>
    <w:p>
      <w:pPr>
        <w:pStyle w:val="BodyText"/>
      </w:pPr>
      <w:r>
        <w:rPr>
          <w:b/>
          <w:bCs/>
        </w:rPr>
        <w:t xml:space="preserve">결론</w:t>
      </w:r>
      <w:r>
        <w:t xml:space="preserve">: 먼지 R²&lt;0, 상대오차 400~535%는 모델 알고리즘 문제가 아닌</w:t>
      </w:r>
      <w:r>
        <w:t xml:space="preserve"> </w:t>
      </w:r>
      <w:r>
        <w:rPr>
          <w:b/>
          <w:bCs/>
        </w:rPr>
        <w:t xml:space="preserve">데이터 구조적 한계</w:t>
      </w:r>
      <w:r>
        <w:t xml:space="preserve">다. SOx·NOx 예측 기반 최적화에 집중하고, 먼지 예측은 EP 운전 이력 데이터 확보 후 재도전한다.</w:t>
      </w:r>
    </w:p>
    <w:bookmarkEnd w:id="48"/>
    <w:bookmarkStart w:id="49" w:name="ep-운전-이력-활용-개선-방향"/>
    <w:p>
      <w:pPr>
        <w:pStyle w:val="Heading3"/>
      </w:pPr>
      <w:r>
        <w:t xml:space="preserve">4.3 EP 운전 이력 활용 개선 방향</w:t>
      </w:r>
    </w:p>
    <w:p>
      <w:pPr>
        <w:pStyle w:val="FirstParagraph"/>
      </w:pPr>
      <w:r>
        <w:t xml:space="preserve">EP 운전 이력 데이터가 확보되면 다음 3단계 개선이 가능하다.</w:t>
      </w:r>
    </w:p>
    <w:p>
      <w:pPr>
        <w:pStyle w:val="BodyText"/>
      </w:pPr>
      <w:r>
        <w:rPr>
          <w:b/>
          <w:bCs/>
        </w:rPr>
        <w:t xml:space="preserve">단계 1 — EP 상태 피처 추가 (즉시 효과)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ep_status</w:t>
      </w:r>
      <w:r>
        <w:t xml:space="preserve">: EP 정상(1) / 부분가동(0.5) / 정지(0) 일별 레이블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ep_voltage_mean</w:t>
      </w:r>
      <w:r>
        <w:t xml:space="preserve">: EP 1차 전압 일 평균 (kV) — 전압 강하가 포집 효율 저하의 선행 지표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ep_current_mean</w:t>
      </w:r>
      <w:r>
        <w:t xml:space="preserve">: EP 1차 전류 일 평균 — 전류 이상으로 극판 단락 징후 탐지 가능</w:t>
      </w:r>
    </w:p>
    <w:p>
      <w:pPr>
        <w:pStyle w:val="BodyText"/>
      </w:pPr>
      <w:r>
        <w:rPr>
          <w:b/>
          <w:bCs/>
        </w:rPr>
        <w:t xml:space="preserve">단계 2 — 이상치 구간 분리 모델링</w:t>
      </w:r>
      <w:r>
        <w:t xml:space="preserve"> </w:t>
      </w:r>
      <w:r>
        <w:t xml:space="preserve">- EP 정상 구간 데이터만으로 먼지 회귀 모델 재학습 → 정상 운전 시 R² 대폭 개선 기대</w:t>
      </w:r>
      <w:r>
        <w:t xml:space="preserve"> </w:t>
      </w:r>
      <w:r>
        <w:t xml:space="preserve">- EP 이상 구간은 별도</w:t>
      </w:r>
      <w:r>
        <w:t xml:space="preserve"> </w:t>
      </w:r>
      <w:r>
        <w:rPr>
          <w:b/>
          <w:bCs/>
        </w:rPr>
        <w:t xml:space="preserve">이진 분류기</w:t>
      </w:r>
      <w:r>
        <w:t xml:space="preserve">로 탐지 (정상/이벤트 판별)</w:t>
      </w:r>
      <w:r>
        <w:t xml:space="preserve"> </w:t>
      </w:r>
      <w:r>
        <w:t xml:space="preserve">- 최종 예측: 분류기가</w:t>
      </w:r>
      <w:r>
        <w:t xml:space="preserve"> </w:t>
      </w:r>
      <w:r>
        <w:t xml:space="preserve">“이벤트”</w:t>
      </w:r>
      <w:r>
        <w:t xml:space="preserve"> </w:t>
      </w:r>
      <w:r>
        <w:t xml:space="preserve">판정 시 별도 이벤트 배출 추정값 사용</w:t>
      </w:r>
    </w:p>
    <w:p>
      <w:pPr>
        <w:pStyle w:val="BodyText"/>
      </w:pPr>
      <w:r>
        <w:rPr>
          <w:b/>
          <w:bCs/>
        </w:rPr>
        <w:t xml:space="preserve">단계 3 — 예측 기반 선제 대응</w:t>
      </w:r>
      <w:r>
        <w:t xml:space="preserve"> </w:t>
      </w:r>
      <w:r>
        <w:t xml:space="preserve">- EP 전압·전류 트렌드 이상 감지 → 점검 일정 사전 조정</w:t>
      </w:r>
      <w:r>
        <w:t xml:space="preserve"> </w:t>
      </w:r>
      <w:r>
        <w:t xml:space="preserve">- EP 장애 예보일에는 감발 대신 정비 우선 지시 → 배출 방지 근본 해결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19" Target="media/rId19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2026-05-17T07:39:05Z</dcterms:created>
  <dcterms:modified xsi:type="dcterms:W3CDTF">2026-05-17T07:39:05Z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