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33.png" ContentType="image/png"/>
  <Override PartName="/word/media/rId24.png" ContentType="image/png"/>
  <Override PartName="/word/media/rId37.png" ContentType="image/png"/>
  <Override PartName="/word/media/rId28.png" ContentType="image/png"/>
  <Override PartName="/word/media/rId15.png" ContentType="image/png"/>
  <Override PartName="/word/media/rId9.png" ContentType="image/png"/>
  <Override PartName="/word/media/rId18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인사이트-및-해결책"/>
    <w:p>
      <w:pPr>
        <w:pStyle w:val="Heading1"/>
      </w:pPr>
      <w:r>
        <w:t xml:space="preserve">Ⅳ. 인사이트 및 해결책</w:t>
      </w:r>
    </w:p>
    <w:p>
      <w:r>
        <w:pict>
          <v:rect style="width:0;height:1.5pt" o:hralign="center" o:hrstd="t" o:hr="t"/>
        </w:pict>
      </w:r>
    </w:p>
    <w:bookmarkStart w:id="23" w:name="기상-조건별-배출-감도-분석"/>
    <w:p>
      <w:pPr>
        <w:pStyle w:val="Heading2"/>
      </w:pPr>
      <w:r>
        <w:t xml:space="preserve">1. 기상 조건별 배출 감도 분석</w:t>
      </w:r>
    </w:p>
    <w:p>
      <w:pPr>
        <w:pStyle w:val="FirstParagraph"/>
      </w:pPr>
      <w:r>
        <w:t xml:space="preserve">기상 변수(기온, 풍속, 대기정체지수)를 단독으로 변화시키고 나머지 변수를 학습 데이터 중위값으로 고정하여, 배출량 변화폭을 정량화하였다.</w:t>
      </w:r>
    </w:p>
    <w:bookmarkStart w:id="21" w:name="기상-감도-수치-요약"/>
    <w:p>
      <w:pPr>
        <w:pStyle w:val="Heading3"/>
      </w:pPr>
      <w:r>
        <w:t xml:space="preserve">1.1 기상 감도 수치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사업소</w:t>
            </w:r>
          </w:p>
        </w:tc>
        <w:tc>
          <w:tcPr/>
          <w:p>
            <w:pPr>
              <w:pStyle w:val="Compact"/>
            </w:pPr>
            <w:r>
              <w:t xml:space="preserve">기상 변수</w:t>
            </w:r>
          </w:p>
        </w:tc>
        <w:tc>
          <w:tcPr/>
          <w:p>
            <w:pPr>
              <w:pStyle w:val="Compact"/>
            </w:pPr>
            <w:r>
              <w:t xml:space="preserve">타겟</w:t>
            </w:r>
          </w:p>
        </w:tc>
        <w:tc>
          <w:tcPr/>
          <w:p>
            <w:pPr>
              <w:pStyle w:val="Compact"/>
            </w:pPr>
            <w:r>
              <w:t xml:space="preserve">변동폭(kg/일)</w:t>
            </w:r>
          </w:p>
        </w:tc>
        <w:tc>
          <w:tcPr/>
          <w:p>
            <w:pPr>
              <w:pStyle w:val="Compact"/>
            </w:pPr>
            <w:r>
              <w:t xml:space="preserve">변동폭(%)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기온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1,578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대기정체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대기정체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삼천포</w:t>
            </w:r>
          </w:p>
        </w:tc>
        <w:tc>
          <w:tcPr/>
          <w:p>
            <w:pPr>
              <w:pStyle w:val="Compact"/>
            </w:pPr>
            <w:r>
              <w:t xml:space="preserve">풍속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풍속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대기정체</w:t>
            </w:r>
          </w:p>
        </w:tc>
        <w:tc>
          <w:tcPr/>
          <w:p>
            <w:pPr>
              <w:pStyle w:val="Compact"/>
            </w:pPr>
            <w:r>
              <w:t xml:space="preserve">먼지</w:t>
            </w:r>
          </w:p>
        </w:tc>
        <w:tc>
          <w:tcPr/>
          <w:p>
            <w:pPr>
              <w:pStyle w:val="Compac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영흥</w:t>
            </w:r>
          </w:p>
        </w:tc>
        <w:tc>
          <w:tcPr/>
          <w:p>
            <w:pPr>
              <w:pStyle w:val="Compact"/>
            </w:pPr>
            <w:r>
              <w:t xml:space="preserve">기온</w:t>
            </w:r>
          </w:p>
        </w:tc>
        <w:tc>
          <w:tcPr/>
          <w:p>
            <w:pPr>
              <w:pStyle w:val="Compact"/>
            </w:pPr>
            <w: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524</w:t>
            </w:r>
          </w:p>
        </w:tc>
        <w:tc>
          <w:tcPr/>
          <w:p>
            <w:pPr>
              <w:pStyle w:val="Compact"/>
            </w:pPr>
            <w:r>
              <w:t xml:space="preserve">4.0%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분당</w:t>
            </w:r>
          </w:p>
        </w:tc>
        <w:tc>
          <w:tcPr/>
          <w:p>
            <w:pPr>
              <w:pStyle w:val="Compact"/>
            </w:pPr>
            <w:r>
              <w:t xml:space="preserve">대기정체</w:t>
            </w:r>
          </w:p>
        </w:tc>
        <w:tc>
          <w:tcPr/>
          <w:p>
            <w:pPr>
              <w:pStyle w:val="Compact"/>
            </w:pPr>
            <w:r>
              <w:t xml:space="preserve">NOx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</w:tr>
    </w:tbl>
    <w:p>
      <w:pPr>
        <w:pStyle w:val="CaptionedFigure"/>
      </w:pPr>
      <w:r>
        <w:drawing>
          <wp:inline>
            <wp:extent cx="5334000" cy="4226628"/>
            <wp:effectExtent b="0" l="0" r="0" t="0"/>
            <wp:docPr descr="그림 4-1. 삼천포 기온·풍속·대기정체지수 변화에 따른 SOx·NOx·먼지 감도 곡선" title="" id="10" name="Picture"/>
            <a:graphic>
              <a:graphicData uri="http://schemas.openxmlformats.org/drawingml/2006/picture">
                <pic:pic>
                  <pic:nvPicPr>
                    <pic:cNvPr descr="weather_삼천포_감도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4-1. 삼천포 기온·풍속·대기정체지수 변화에 따른 SOx·NOx·먼지 감도 곡선</w:t>
      </w:r>
    </w:p>
    <w:p>
      <w:pPr>
        <w:pStyle w:val="CaptionedFigure"/>
      </w:pPr>
      <w:r>
        <w:drawing>
          <wp:inline>
            <wp:extent cx="5334000" cy="4226628"/>
            <wp:effectExtent b="0" l="0" r="0" t="0"/>
            <wp:docPr descr="그림 4-2. 영흥 기상 감도 곡선 — 풍속·대기정체 변화 시 먼지 민감도 두드러짐" title="" id="13" name="Picture"/>
            <a:graphic>
              <a:graphicData uri="http://schemas.openxmlformats.org/drawingml/2006/picture">
                <pic:pic>
                  <pic:nvPicPr>
                    <pic:cNvPr descr="weather_영흥_감도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4-2. 영흥 기상 감도 곡선 — 풍속·대기정체 변화 시 먼지 민감도 두드러짐</w:t>
      </w:r>
    </w:p>
    <w:p>
      <w:pPr>
        <w:pStyle w:val="CaptionedFigure"/>
      </w:pPr>
      <w:r>
        <w:drawing>
          <wp:inline>
            <wp:extent cx="5334000" cy="3919165"/>
            <wp:effectExtent b="0" l="0" r="0" t="0"/>
            <wp:docPr descr="그림 4-3. 삼천포 기온×풍속 → NOx 예측 2D 히트맵 — 고온·저풍속 교차 구간이 배출 위험지대" title="" id="16" name="Picture"/>
            <a:graphic>
              <a:graphicData uri="http://schemas.openxmlformats.org/drawingml/2006/picture">
                <pic:pic>
                  <pic:nvPicPr>
                    <pic:cNvPr descr="weather_삼천포_2d히트맵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4-3. 삼천포 기온×풍속 → NOx 예측 2D 히트맵 — 고온·저풍속 교차 구간이 배출 위험지대</w:t>
      </w:r>
    </w:p>
    <w:p>
      <w:pPr>
        <w:pStyle w:val="CaptionedFigure"/>
      </w:pPr>
      <w:r>
        <w:drawing>
          <wp:inline>
            <wp:extent cx="5334000" cy="3861651"/>
            <wp:effectExtent b="0" l="0" r="0" t="0"/>
            <wp:docPr descr="그림 4-4. 영흥 기온×풍속 → NOx 예측 2D 히트맵" title="" id="19" name="Picture"/>
            <a:graphic>
              <a:graphicData uri="http://schemas.openxmlformats.org/drawingml/2006/picture">
                <pic:pic>
                  <pic:nvPicPr>
                    <pic:cNvPr descr="weather_영흥_2d히트맵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1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4-4. 영흥 기온×풍속 → NOx 예측 2D 히트맵</w:t>
      </w:r>
    </w:p>
    <w:bookmarkEnd w:id="21"/>
    <w:bookmarkStart w:id="22" w:name="주요-발견"/>
    <w:p>
      <w:pPr>
        <w:pStyle w:val="Heading3"/>
      </w:pPr>
      <w:r>
        <w:t xml:space="preserve">1.2 주요 발견</w:t>
      </w:r>
    </w:p>
    <w:p>
      <w:pPr>
        <w:pStyle w:val="FirstParagraph"/>
      </w:pPr>
      <w:r>
        <w:rPr>
          <w:b/>
          <w:bCs/>
        </w:rPr>
        <w:t xml:space="preserve">삼천포 NOx의 기상 감도 = 0%</w:t>
      </w:r>
    </w:p>
    <w:p>
      <w:pPr>
        <w:pStyle w:val="BodyText"/>
      </w:pPr>
      <w:r>
        <w:t xml:space="preserve">XGBoost 트리 모델은 데이터에서 유의미한 분기점이 없으면 해당 변수에 대해 예측값이 변하지 않는다. 삼천포 NOx가 풍속·대기정체에 0%를 보이는 것은 학습 데이터 내에서 이 변수들의 분기점이 형성되지 않았음을 의미한다.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해석</w:t>
      </w:r>
      <w:r>
        <w:t xml:space="preserve">: 삼천포 NOx는 발전량·lag 피처가 지배적이며, 기상 조건보다 운전 스케줄 변화가 감축에 더 직접적으로 작용함을 시사한다.</w:t>
      </w:r>
    </w:p>
    <w:p>
      <w:pPr>
        <w:pStyle w:val="BodyText"/>
      </w:pPr>
      <w:r>
        <w:rPr>
          <w:b/>
          <w:bCs/>
        </w:rPr>
        <w:t xml:space="preserve">영흥 먼지의 풍속·대기정체 민감도 (10~13%)</w:t>
      </w:r>
    </w:p>
    <w:p>
      <w:pPr>
        <w:pStyle w:val="Compact"/>
        <w:numPr>
          <w:ilvl w:val="0"/>
          <w:numId w:val="1001"/>
        </w:numPr>
      </w:pPr>
      <w:r>
        <w:t xml:space="preserve">영흥은 해안 입지로 풍속 변화가 상대적으로 크고, 먼지 확산에 직접 영향</w:t>
      </w:r>
    </w:p>
    <w:p>
      <w:pPr>
        <w:pStyle w:val="Compact"/>
        <w:numPr>
          <w:ilvl w:val="0"/>
          <w:numId w:val="1001"/>
        </w:numPr>
      </w:pPr>
      <w:r>
        <w:t xml:space="preserve">대기정체 강화 시 먼지 10.5% 증가 → 대기정체 예보 연계 먼지 감발 기준 수립 근거</w:t>
      </w:r>
    </w:p>
    <w:p>
      <w:pPr>
        <w:pStyle w:val="FirstParagraph"/>
      </w:pPr>
      <w:r>
        <w:rPr>
          <w:b/>
          <w:bCs/>
        </w:rPr>
        <w:t xml:space="preserve">삼천포 먼지의 기온 감도 (20.4%)</w:t>
      </w:r>
    </w:p>
    <w:p>
      <w:pPr>
        <w:pStyle w:val="Compact"/>
        <w:numPr>
          <w:ilvl w:val="0"/>
          <w:numId w:val="1002"/>
        </w:numPr>
      </w:pPr>
      <w:r>
        <w:t xml:space="preserve">고온 시 먼지 폭증 패턴 → EP 이벤트와 기온의 상관관계 반영 가능성</w:t>
      </w:r>
    </w:p>
    <w:p>
      <w:pPr>
        <w:pStyle w:val="Compact"/>
        <w:numPr>
          <w:ilvl w:val="0"/>
          <w:numId w:val="1002"/>
        </w:numPr>
      </w:pPr>
      <w:r>
        <w:t xml:space="preserve">EP 사고 발생이 여름철에 집중될 경우 기온이 프록시 역할을 하게 됨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이용률-정책-감발-시나리오-분석"/>
    <w:p>
      <w:pPr>
        <w:pStyle w:val="Heading2"/>
      </w:pPr>
      <w:r>
        <w:t xml:space="preserve">2. 이용률 정책 감발 시나리오 분석</w:t>
      </w:r>
    </w:p>
    <w:p>
      <w:pPr>
        <w:pStyle w:val="BlockText"/>
      </w:pPr>
      <w:r>
        <w:rPr>
          <w:b/>
          <w:bCs/>
        </w:rPr>
        <w:t xml:space="preserve">분석 설계 주의사항</w:t>
      </w:r>
      <w:r>
        <w:t xml:space="preserve">: 단일 사업소 이용률 분석은 총 전력 수요 제약 없이 해당 사업소 배출량만 최소화하는 구조다. 석탄 발전은 발전량↑→연료↑→배출↑의 단조 증가 관계이므로, 수요 제약이 없으면 답은 항상</w:t>
      </w:r>
      <w:r>
        <w:t xml:space="preserve"> </w:t>
      </w:r>
      <w:r>
        <w:t xml:space="preserve">“실현 가능한 최저 이용률”</w:t>
      </w:r>
      <w:r>
        <w:t xml:space="preserve">로 수렴한다. 이는 최적화가 아닌</w:t>
      </w:r>
      <w:r>
        <w:t xml:space="preserve"> </w:t>
      </w:r>
      <w:r>
        <w:rPr>
          <w:b/>
          <w:bCs/>
        </w:rPr>
        <w:t xml:space="preserve">하한 제약의 귀결</w:t>
      </w:r>
      <w:r>
        <w:t xml:space="preserve">이다.</w:t>
      </w:r>
    </w:p>
    <w:p>
      <w:pPr>
        <w:pStyle w:val="BlockText"/>
      </w:pPr>
      <w:r>
        <w:t xml:space="preserve">따라서 이 절의 분석 목적은</w:t>
      </w:r>
      <w:r>
        <w:t xml:space="preserve"> </w:t>
      </w:r>
      <w:r>
        <w:t xml:space="preserve">“최적 이용률 탐색”</w:t>
      </w:r>
      <w:r>
        <w:t xml:space="preserve">이 아니라,</w:t>
      </w:r>
      <w:r>
        <w:t xml:space="preserve"> </w:t>
      </w:r>
      <w:r>
        <w:rPr>
          <w:b/>
          <w:bCs/>
        </w:rPr>
        <w:t xml:space="preserve">정책적으로 이용률을 제한할 경우 기상 시나리오별 배출 감축 효과를 정량화</w:t>
      </w:r>
      <w:r>
        <w:t xml:space="preserve">하는 것이다. 수요를 유지하면서 사업소 간 배분을 조정하는 실제 운영 최적화는 §4 시스템(연료 믹스) 최적화에서 다룬다.</w:t>
      </w:r>
    </w:p>
    <w:bookmarkStart w:id="27" w:name="삼천포-정책-감발-시나리오"/>
    <w:p>
      <w:pPr>
        <w:pStyle w:val="Heading3"/>
      </w:pPr>
      <w:r>
        <w:t xml:space="preserve">2.1 삼천포 — 정책 감발 시나리오</w:t>
      </w:r>
    </w:p>
    <w:p>
      <w:pPr>
        <w:pStyle w:val="FirstParagraph"/>
      </w:pPr>
      <w:r>
        <w:rPr>
          <w:b/>
          <w:bCs/>
        </w:rPr>
        <w:t xml:space="preserve">설정</w:t>
      </w:r>
      <w:r>
        <w:t xml:space="preserve">: 이용률 70%→50% 정책 제한 시 배출 감축 효과 (이용률 30~80% 그리드 서치로 단조 감소 확인)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이용률</w:t>
            </w:r>
          </w:p>
        </w:tc>
        <w:tc>
          <w:tcPr/>
          <w:p>
            <w:pPr>
              <w:pStyle w:val="Compact"/>
            </w:pPr>
            <w:r>
              <w:t xml:space="preserve">정책 감발 이용률</w:t>
            </w:r>
          </w:p>
        </w:tc>
        <w:tc>
          <w:tcPr/>
          <w:p>
            <w:pPr>
              <w:pStyle w:val="Compact"/>
            </w:pPr>
            <w:r>
              <w:t xml:space="preserve">감발량(MWh/일)</w:t>
            </w:r>
          </w:p>
        </w:tc>
        <w:tc>
          <w:tcPr/>
          <w:p>
            <w:pPr>
              <w:pStyle w:val="Compact"/>
            </w:pPr>
            <w:r>
              <w:t xml:space="preserve">NOx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8,122 MWh/일</w:t>
            </w:r>
          </w:p>
        </w:tc>
        <w:tc>
          <w:tcPr/>
          <w:p>
            <w:pPr>
              <w:pStyle w:val="Compact"/>
            </w:pPr>
            <w:r>
              <w:t xml:space="preserve">15~19%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그리드 서치 결과 이용률 감소에 따라 배출이 단조 감소 →</w:t>
      </w:r>
      <w:r>
        <w:t xml:space="preserve"> </w:t>
      </w:r>
      <w:r>
        <w:rPr>
          <w:b/>
          <w:bCs/>
        </w:rPr>
        <w:t xml:space="preserve">감발 자체의 효과가 일정함을 확인</w:t>
      </w:r>
    </w:p>
    <w:p>
      <w:pPr>
        <w:pStyle w:val="Compact"/>
        <w:numPr>
          <w:ilvl w:val="0"/>
          <w:numId w:val="1003"/>
        </w:numPr>
      </w:pPr>
      <w:r>
        <w:t xml:space="preserve">기상 시나리오별 NOx 감축 편차(15~19%)는 동일 이용률에서도 기상 조건에 따라 배출 규모가 달라지기 때문</w:t>
      </w:r>
    </w:p>
    <w:p>
      <w:pPr>
        <w:pStyle w:val="CaptionedFigure"/>
      </w:pPr>
      <w:r>
        <w:drawing>
          <wp:inline>
            <wp:extent cx="5334000" cy="1478024"/>
            <wp:effectExtent b="0" l="0" r="0" t="0"/>
            <wp:docPr descr="그림 4-5. 삼천포 이용률 그리드 서치 — 이용률별 NOx·SOx·먼지 배출량 변화" title="" id="25" name="Picture"/>
            <a:graphic>
              <a:graphicData uri="http://schemas.openxmlformats.org/drawingml/2006/picture">
                <pic:pic>
                  <pic:nvPicPr>
                    <pic:cNvPr descr="opt_삼천포_이용률최적화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4-5. 삼천포 이용률 그리드 서치 — 이용률별 NOx·SOx·먼지 배출량 변화</w:t>
      </w:r>
    </w:p>
    <w:bookmarkEnd w:id="27"/>
    <w:bookmarkStart w:id="31" w:name="영흥-정책-감발-시나리오"/>
    <w:p>
      <w:pPr>
        <w:pStyle w:val="Heading3"/>
      </w:pPr>
      <w:r>
        <w:t xml:space="preserve">2.2 영흥 — 정책 감발 시나리오</w:t>
      </w:r>
    </w:p>
    <w:p>
      <w:pPr>
        <w:pStyle w:val="FirstParagraph"/>
      </w:pPr>
      <w:r>
        <w:rPr>
          <w:b/>
          <w:bCs/>
        </w:rPr>
        <w:t xml:space="preserve">설정</w:t>
      </w:r>
      <w:r>
        <w:t xml:space="preserve">: 이용률 83%→65% 정책 제한 시 배출 감축 효과 (하한 65%는 실데이터 1st percentile 59.5% 기반)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현재 이용률</w:t>
            </w:r>
          </w:p>
        </w:tc>
        <w:tc>
          <w:tcPr/>
          <w:p>
            <w:pPr>
              <w:pStyle w:val="Compact"/>
            </w:pPr>
            <w:r>
              <w:t xml:space="preserve">정책 감발 이용률</w:t>
            </w:r>
          </w:p>
        </w:tc>
        <w:tc>
          <w:tcPr/>
          <w:p>
            <w:pPr>
              <w:pStyle w:val="Compact"/>
            </w:pPr>
            <w:r>
              <w:t xml:space="preserve">감발량(MWh/일)</w:t>
            </w:r>
          </w:p>
        </w:tc>
        <w:tc>
          <w:tcPr/>
          <w:p>
            <w:pPr>
              <w:pStyle w:val="Compact"/>
            </w:pPr>
            <w:r>
              <w:t xml:space="preserve">NOx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16,330 MWh/일</w:t>
            </w:r>
          </w:p>
        </w:tc>
        <w:tc>
          <w:tcPr/>
          <w:p>
            <w:pPr>
              <w:pStyle w:val="Compact"/>
            </w:pPr>
            <w:r>
              <w:t xml:space="preserve">23~26%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하한 65%는 실데이터에서 관측된 최저 수준(1st percentile 59.5%)을 반영한 현실적 제한값</w:t>
      </w:r>
    </w:p>
    <w:p>
      <w:pPr>
        <w:pStyle w:val="Compact"/>
        <w:numPr>
          <w:ilvl w:val="0"/>
          <w:numId w:val="1004"/>
        </w:numPr>
      </w:pPr>
      <w:r>
        <w:t xml:space="preserve">원 그리드 서치의 최저점(45%)은 2,121일 중 1회도 관측되지 않은 비현실적 범위로 제외</w:t>
      </w:r>
    </w:p>
    <w:p>
      <w:pPr>
        <w:pStyle w:val="CaptionedFigure"/>
      </w:pPr>
      <w:r>
        <w:drawing>
          <wp:inline>
            <wp:extent cx="5334000" cy="1478024"/>
            <wp:effectExtent b="0" l="0" r="0" t="0"/>
            <wp:docPr descr="그림 4-6. 영흥 이용률 그리드 서치 — 현실적 범위(65~94%) 내 감발 효과 확인" title="" id="29" name="Picture"/>
            <a:graphic>
              <a:graphicData uri="http://schemas.openxmlformats.org/drawingml/2006/picture">
                <pic:pic>
                  <pic:nvPicPr>
                    <pic:cNvPr descr="opt_영흥_이용률최적화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4-6. 영흥 이용률 그리드 서치 — 현실적 범위(65~94%) 내 감발 효과 확인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시나리오별-정책-감발-효과"/>
    <w:p>
      <w:pPr>
        <w:pStyle w:val="Heading2"/>
      </w:pPr>
      <w:r>
        <w:t xml:space="preserve">3. 시나리오별 정책 감발 효과</w:t>
      </w:r>
    </w:p>
    <w:p>
      <w:pPr>
        <w:pStyle w:val="FirstParagraph"/>
      </w:pPr>
      <w:r>
        <w:t xml:space="preserve">기상 시나리오별로</w:t>
      </w:r>
      <w:r>
        <w:t xml:space="preserve"> </w:t>
      </w:r>
      <w:r>
        <w:rPr>
          <w:b/>
          <w:bCs/>
        </w:rPr>
        <w:t xml:space="preserve">정책 감발(삼천포 70%→50%, 영흥 83%→65%)</w:t>
      </w:r>
      <w:r>
        <w:t xml:space="preserve"> </w:t>
      </w:r>
      <w:r>
        <w:t xml:space="preserve">적용 시 배출 감축률을 정량화하였다.</w:t>
      </w:r>
    </w:p>
    <w:bookmarkStart w:id="36" w:name="삼천포-8개-시나리오"/>
    <w:p>
      <w:pPr>
        <w:pStyle w:val="Heading3"/>
      </w:pPr>
      <w:r>
        <w:t xml:space="preserve">3.1 삼천포 8개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SOx 감축</w:t>
            </w:r>
          </w:p>
        </w:tc>
        <w:tc>
          <w:tcPr/>
          <w:p>
            <w:pPr>
              <w:pStyle w:val="Compact"/>
            </w:pPr>
            <w:r>
              <w:t xml:space="preserve">NOx 감축</w:t>
            </w:r>
          </w:p>
        </w:tc>
        <w:tc>
          <w:tcPr/>
          <w:p>
            <w:pPr>
              <w:pStyle w:val="Compact"/>
            </w:pPr>
            <w:r>
              <w:t xml:space="preserve">먼지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여름대기정체</w:t>
            </w:r>
          </w:p>
        </w:tc>
        <w:tc>
          <w:tcPr/>
          <w:p>
            <w:pPr>
              <w:pStyle w:val="Compact"/>
            </w:pPr>
            <w:r>
              <w:t xml:space="preserve">12.7%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17.4%</w:t>
            </w:r>
          </w:p>
        </w:tc>
        <w:tc>
          <w:tcPr/>
          <w:p>
            <w:pPr>
              <w:pStyle w:val="Compact"/>
            </w:pPr>
            <w:r>
              <w:t xml:space="preserve">42.7%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겨울저온</w:t>
            </w:r>
          </w:p>
        </w:tc>
        <w:tc>
          <w:tcPr/>
          <w:p>
            <w:pPr>
              <w:pStyle w:val="Compact"/>
            </w:pPr>
            <w:r>
              <w:t xml:space="preserve">14.0%</w:t>
            </w:r>
          </w:p>
        </w:tc>
        <w:tc>
          <w:tcPr/>
          <w:p>
            <w:pPr>
              <w:pStyle w:val="Compact"/>
            </w:pPr>
            <w:r>
              <w:t xml:space="preserve">17.2%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태양광피크</w:t>
            </w:r>
          </w:p>
        </w:tc>
        <w:tc>
          <w:tcPr/>
          <w:p>
            <w:pPr>
              <w:pStyle w:val="Compact"/>
            </w:pPr>
            <w:r>
              <w:t xml:space="preserve">14.1%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18.8%</w:t>
            </w:r>
          </w:p>
        </w:tc>
        <w:tc>
          <w:tcPr/>
          <w:p>
            <w:pPr>
              <w:pStyle w:val="Compact"/>
            </w:pPr>
            <w:r>
              <w:t xml:space="preserve">43.0%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강풍</w:t>
            </w:r>
          </w:p>
        </w:tc>
        <w:tc>
          <w:tcPr/>
          <w:p>
            <w:pPr>
              <w:pStyle w:val="Compact"/>
            </w:pPr>
            <w:r>
              <w:t xml:space="preserve">13.8%</w:t>
            </w:r>
          </w:p>
        </w:tc>
        <w:tc>
          <w:tcPr/>
          <w:p>
            <w:pPr>
              <w:pStyle w:val="Compact"/>
            </w:pPr>
            <w:r>
              <w:t xml:space="preserve">15.1%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봄황사</w:t>
            </w:r>
          </w:p>
        </w:tc>
        <w:tc>
          <w:tcPr/>
          <w:p>
            <w:pPr>
              <w:pStyle w:val="Compact"/>
            </w:pPr>
            <w:r>
              <w:t xml:space="preserve">13.6%</w:t>
            </w:r>
          </w:p>
        </w:tc>
        <w:tc>
          <w:tcPr/>
          <w:p>
            <w:pPr>
              <w:pStyle w:val="Compact"/>
            </w:pPr>
            <w:r>
              <w:t xml:space="preserve">16.9%</w:t>
            </w:r>
          </w:p>
        </w:tc>
        <w:tc>
          <w:tcPr/>
          <w:p>
            <w:pPr>
              <w:pStyle w:val="Compact"/>
            </w:pPr>
            <w:r>
              <w:t xml:space="preserve">42.7%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겨울대기정체</w:t>
            </w:r>
          </w:p>
        </w:tc>
        <w:tc>
          <w:tcPr/>
          <w:p>
            <w:pPr>
              <w:pStyle w:val="Compact"/>
            </w:pPr>
            <w:r>
              <w:t xml:space="preserve">14.3%</w:t>
            </w:r>
          </w:p>
        </w:tc>
        <w:tc>
          <w:tcPr/>
          <w:p>
            <w:pPr>
              <w:pStyle w:val="Compact"/>
            </w:pPr>
            <w:r>
              <w:t xml:space="preserve">16.8%</w:t>
            </w:r>
          </w:p>
        </w:tc>
        <w:tc>
          <w:tcPr/>
          <w:p>
            <w:pPr>
              <w:pStyle w:val="Compact"/>
            </w:pPr>
            <w:r>
              <w:t xml:space="preserve">41.1%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봄신재생</w:t>
            </w:r>
          </w:p>
        </w:tc>
        <w:tc>
          <w:tcPr/>
          <w:p>
            <w:pPr>
              <w:pStyle w:val="Compact"/>
            </w:pPr>
            <w:r>
              <w:t xml:space="preserve">14.2%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여름피크</w:t>
            </w:r>
          </w:p>
        </w:tc>
        <w:tc>
          <w:tcPr/>
          <w:p>
            <w:pPr>
              <w:pStyle w:val="Compact"/>
            </w:pPr>
            <w:r>
              <w:t xml:space="preserve">13.3%</w:t>
            </w:r>
          </w:p>
        </w:tc>
        <w:tc>
          <w:tcPr/>
          <w:p>
            <w:pPr>
              <w:pStyle w:val="Compact"/>
            </w:pPr>
            <w:r>
              <w:t xml:space="preserve">18.6%</w:t>
            </w:r>
          </w:p>
        </w:tc>
        <w:tc>
          <w:tcPr/>
          <w:p>
            <w:pPr>
              <w:pStyle w:val="Compact"/>
            </w:pPr>
            <w:r>
              <w:t xml:space="preserve">42.7%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전 시나리오 NOx</w:t>
      </w:r>
      <w:r>
        <w:t xml:space="preserve"> </w:t>
      </w:r>
      <w:r>
        <w:rPr>
          <w:b/>
          <w:bCs/>
        </w:rPr>
        <w:t xml:space="preserve">15% 이상</w:t>
      </w:r>
      <w:r>
        <w:t xml:space="preserve"> </w:t>
      </w:r>
      <w:r>
        <w:t xml:space="preserve">달성 → 핵심 가설</w:t>
      </w:r>
      <w:r>
        <w:t xml:space="preserve"> </w:t>
      </w:r>
      <w:r>
        <w:t xml:space="preserve">“NOx 15%+ 감축”</w:t>
      </w:r>
      <w:r>
        <w:t xml:space="preserve"> </w:t>
      </w:r>
      <w:r>
        <w:t xml:space="preserve">정책 시나리오로 검증</w:t>
      </w:r>
    </w:p>
    <w:p>
      <w:pPr>
        <w:pStyle w:val="Compact"/>
        <w:numPr>
          <w:ilvl w:val="0"/>
          <w:numId w:val="1005"/>
        </w:numPr>
      </w:pPr>
      <w:r>
        <w:t xml:space="preserve">강풍(D)·봄신재생(G) 시나리오 먼지 50%+ 감축 (신재생 발전 여력이 있을 때 감발 실현 가능성 높음)</w:t>
      </w:r>
    </w:p>
    <w:p>
      <w:pPr>
        <w:pStyle w:val="CaptionedFigure"/>
      </w:pPr>
      <w:r>
        <w:drawing>
          <wp:inline>
            <wp:extent cx="5334000" cy="2320491"/>
            <wp:effectExtent b="0" l="0" r="0" t="0"/>
            <wp:docPr descr="그림 4-7. 삼천포 8개 시나리오별 감축률(좌) 및 현재·정책 감발 이용률 비교(우)" title="" id="34" name="Picture"/>
            <a:graphic>
              <a:graphicData uri="http://schemas.openxmlformats.org/drawingml/2006/picture">
                <pic:pic>
                  <pic:nvPicPr>
                    <pic:cNvPr descr="opt_삼천포_시나리오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4-7. 삼천포 8개 시나리오별 감축률(좌) 및 현재·정책 감발 이용률 비교(우)</w:t>
      </w:r>
    </w:p>
    <w:bookmarkEnd w:id="36"/>
    <w:bookmarkStart w:id="40" w:name="영흥-8개-시나리오"/>
    <w:p>
      <w:pPr>
        <w:pStyle w:val="Heading3"/>
      </w:pPr>
      <w:r>
        <w:t xml:space="preserve">3.2 영흥 8개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SOx 감축</w:t>
            </w:r>
          </w:p>
        </w:tc>
        <w:tc>
          <w:tcPr/>
          <w:p>
            <w:pPr>
              <w:pStyle w:val="Compact"/>
            </w:pPr>
            <w:r>
              <w:t xml:space="preserve">NOx 감축</w:t>
            </w:r>
          </w:p>
        </w:tc>
        <w:tc>
          <w:tcPr/>
          <w:p>
            <w:pPr>
              <w:pStyle w:val="Compact"/>
            </w:pPr>
            <w:r>
              <w:t xml:space="preserve">먼지 감축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여름대기정체</w:t>
            </w:r>
          </w:p>
        </w:tc>
        <w:tc>
          <w:tcPr/>
          <w:p>
            <w:pPr>
              <w:pStyle w:val="Compact"/>
            </w:pPr>
            <w:r>
              <w:t xml:space="preserve">10.9%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겨울저온</w:t>
            </w:r>
          </w:p>
        </w:tc>
        <w:tc>
          <w:tcPr/>
          <w:p>
            <w:pPr>
              <w:pStyle w:val="Compact"/>
            </w:pPr>
            <w:r>
              <w:t xml:space="preserve">10.7%</w:t>
            </w:r>
          </w:p>
        </w:tc>
        <w:tc>
          <w:tcPr/>
          <w:p>
            <w:pPr>
              <w:pStyle w:val="Compact"/>
            </w:pPr>
            <w:r>
              <w:t xml:space="preserve">23.5%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태양광피크</w:t>
            </w:r>
          </w:p>
        </w:tc>
        <w:tc>
          <w:tcPr/>
          <w:p>
            <w:pPr>
              <w:pStyle w:val="Compact"/>
            </w:pPr>
            <w:r>
              <w:t xml:space="preserve">10.6%</w:t>
            </w:r>
          </w:p>
        </w:tc>
        <w:tc>
          <w:tcPr/>
          <w:p>
            <w:pPr>
              <w:pStyle w:val="Compact"/>
            </w:pPr>
            <w:r>
              <w:t xml:space="preserve">24.3%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강풍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  <w:tc>
          <w:tcPr/>
          <w:p>
            <w:pPr>
              <w:pStyle w:val="Compact"/>
            </w:pPr>
            <w:r>
              <w:t xml:space="preserve">24.0%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봄황사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t xml:space="preserve">25.1%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겨울대기정체</w:t>
            </w:r>
          </w:p>
        </w:tc>
        <w:tc>
          <w:tcPr/>
          <w:p>
            <w:pPr>
              <w:pStyle w:val="Compact"/>
            </w:pPr>
            <w:r>
              <w:t xml:space="preserve">10.6%</w:t>
            </w:r>
          </w:p>
        </w:tc>
        <w:tc>
          <w:tcPr/>
          <w:p>
            <w:pPr>
              <w:pStyle w:val="Compact"/>
            </w:pPr>
            <w:r>
              <w:t xml:space="preserve">23.6%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봄신재생</w:t>
            </w:r>
          </w:p>
        </w:tc>
        <w:tc>
          <w:tcPr/>
          <w:p>
            <w:pPr>
              <w:pStyle w:val="Compact"/>
            </w:pPr>
            <w:r>
              <w:t xml:space="preserve">10.5%</w:t>
            </w:r>
          </w:p>
        </w:tc>
        <w:tc>
          <w:tcPr/>
          <w:p>
            <w:pPr>
              <w:pStyle w:val="Compact"/>
            </w:pPr>
            <w:r>
              <w:t xml:space="preserve">24.1%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여름피크</w:t>
            </w:r>
          </w:p>
        </w:tc>
        <w:tc>
          <w:tcPr/>
          <w:p>
            <w:pPr>
              <w:pStyle w:val="Compact"/>
            </w:pPr>
            <w:r>
              <w:t xml:space="preserve">11.0%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37.4%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영흥 NOx 감축폭 23~26%로 삼천포(15~19%) 대비 높은 이유: 절대 감발량이 더 크고(16,330 vs 8,122 MWh/일), 현재 이용률이 높아 감발 효과가 큼</w:t>
      </w:r>
    </w:p>
    <w:p>
      <w:pPr>
        <w:pStyle w:val="Compact"/>
        <w:numPr>
          <w:ilvl w:val="0"/>
          <w:numId w:val="1006"/>
        </w:numPr>
      </w:pPr>
      <w:r>
        <w:t xml:space="preserve">일부 시나리오 먼지 음수(-18~-20%): 최적 운전 조건에서 기상 변화에 따른 먼지 증가 효과 → 개별 시나리오 특성 반영</w:t>
      </w:r>
    </w:p>
    <w:p>
      <w:pPr>
        <w:pStyle w:val="CaptionedFigure"/>
      </w:pPr>
      <w:r>
        <w:drawing>
          <wp:inline>
            <wp:extent cx="5334000" cy="2320491"/>
            <wp:effectExtent b="0" l="0" r="0" t="0"/>
            <wp:docPr descr="그림 4-8. 영흥 8개 시나리오별 감축률(좌) 및 현재·최적 이용률 비교(우)" title="" id="38" name="Picture"/>
            <a:graphic>
              <a:graphicData uri="http://schemas.openxmlformats.org/drawingml/2006/picture">
                <pic:pic>
                  <pic:nvPicPr>
                    <pic:cNvPr descr="opt_영흥_시나리오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04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4-8. 영흥 8개 시나리오별 감축률(좌) 및 현재·최적 이용률 비교(우)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6" w:name="시스템연료-믹스-최적화"/>
    <w:p>
      <w:pPr>
        <w:pStyle w:val="Heading2"/>
      </w:pPr>
      <w:r>
        <w:t xml:space="preserve">4. 시스템(연료 믹스) 최적화</w:t>
      </w:r>
    </w:p>
    <w:p>
      <w:pPr>
        <w:pStyle w:val="FirstParagraph"/>
      </w:pPr>
      <w:r>
        <w:t xml:space="preserve">5개 사업소(삼천포·영흥·분당·영동·여수) 발전 배분을 함께 최적화하여 시스템 전체 NOx를 최소화하였다.</w:t>
      </w:r>
    </w:p>
    <w:bookmarkStart w:id="42" w:name="시나리오별-최적-믹스-효과"/>
    <w:p>
      <w:pPr>
        <w:pStyle w:val="Heading3"/>
      </w:pPr>
      <w:r>
        <w:t xml:space="preserve">4.1 시나리오별 최적 믹스 효과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6"/>
        <w:gridCol w:w="1084"/>
        <w:gridCol w:w="1844"/>
        <w:gridCol w:w="1735"/>
        <w:gridCol w:w="976"/>
        <w:gridCol w:w="13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수요(MWh)</w:t>
            </w:r>
          </w:p>
        </w:tc>
        <w:tc>
          <w:tcPr/>
          <w:p>
            <w:pPr>
              <w:pStyle w:val="Compact"/>
            </w:pPr>
            <w:r>
              <w:t xml:space="preserve">최적 삼천포 이용률</w:t>
            </w:r>
          </w:p>
        </w:tc>
        <w:tc>
          <w:tcPr/>
          <w:p>
            <w:pPr>
              <w:pStyle w:val="Compact"/>
            </w:pPr>
            <w:r>
              <w:t xml:space="preserve">최적 영흥 이용률</w:t>
            </w:r>
          </w:p>
        </w:tc>
        <w:tc>
          <w:tcPr/>
          <w:p>
            <w:pPr>
              <w:pStyle w:val="Compact"/>
            </w:pPr>
            <w:r>
              <w:t xml:space="preserve">NOx 감축</w:t>
            </w:r>
          </w:p>
        </w:tc>
        <w:tc>
          <w:tcPr/>
          <w:p>
            <w:pPr>
              <w:pStyle w:val="Compact"/>
            </w:pPr>
            <w:r>
              <w:t xml:space="preserve">사회적비용 절감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 정상</w:t>
            </w:r>
          </w:p>
        </w:tc>
        <w:tc>
          <w:tcPr/>
          <w:p>
            <w:pPr>
              <w:pStyle w:val="Compact"/>
            </w:pPr>
            <w:r>
              <w:t xml:space="preserve">106,607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73.3%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15.2%</w:t>
            </w:r>
          </w:p>
        </w:tc>
        <w:tc>
          <w:tcPr/>
          <w:p>
            <w:pPr>
              <w:pStyle w:val="Compact"/>
            </w:pPr>
            <w:r>
              <w:t xml:space="preserve">0.124억원/일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 여름대기정체</w:t>
            </w:r>
          </w:p>
        </w:tc>
        <w:tc>
          <w:tcPr/>
          <w:p>
            <w:pPr>
              <w:pStyle w:val="Compact"/>
            </w:pPr>
            <w:r>
              <w:t xml:space="preserve">136,701</w:t>
            </w:r>
          </w:p>
        </w:tc>
        <w:tc>
          <w:tcPr/>
          <w:p>
            <w:pPr>
              <w:pStyle w:val="Compact"/>
            </w:pPr>
            <w:r>
              <w:t xml:space="preserve">84%</w:t>
            </w:r>
          </w:p>
        </w:tc>
        <w:tc>
          <w:tcPr/>
          <w:p>
            <w:pPr>
              <w:pStyle w:val="Compact"/>
            </w:pPr>
            <w:r>
              <w:t xml:space="preserve">89.9%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0.010억원/일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 봄황사</w:t>
            </w:r>
          </w:p>
        </w:tc>
        <w:tc>
          <w:tcPr/>
          <w:p>
            <w:pPr>
              <w:pStyle w:val="Compact"/>
            </w:pPr>
            <w:r>
              <w:t xml:space="preserve">106,390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  <w:tc>
          <w:tcPr/>
          <w:p>
            <w:pPr>
              <w:pStyle w:val="Compact"/>
            </w:pPr>
            <w:r>
              <w:t xml:space="preserve">69.1%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15.9%</w:t>
            </w:r>
          </w:p>
        </w:tc>
        <w:tc>
          <w:tcPr/>
          <w:p>
            <w:pPr>
              <w:pStyle w:val="Compact"/>
            </w:pPr>
            <w:r>
              <w:t xml:space="preserve">0.130억원/일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 겨울계절관리제</w:t>
            </w:r>
          </w:p>
        </w:tc>
        <w:tc>
          <w:tcPr/>
          <w:p>
            <w:pPr>
              <w:pStyle w:val="Compact"/>
            </w:pPr>
            <w:r>
              <w:t xml:space="preserve">119,421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69.3%</w:t>
            </w:r>
          </w:p>
        </w:tc>
        <w:tc>
          <w:tcPr/>
          <w:p>
            <w:pPr>
              <w:pStyle w:val="Compact"/>
            </w:pPr>
            <w:r>
              <w:t xml:space="preserve">8.3%</w:t>
            </w:r>
          </w:p>
        </w:tc>
        <w:tc>
          <w:tcPr/>
          <w:p>
            <w:pPr>
              <w:pStyle w:val="Compact"/>
            </w:pPr>
            <w:r>
              <w:t xml:space="preserve">0.067억원/일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발견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정상·봄황사 시나리오</w:t>
      </w:r>
      <w:r>
        <w:t xml:space="preserve">: 수요가 적절하고 신재생 발전 여력이 있을 때 NOx 15%+ 감축 가능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여름대기정체 시나리오</w:t>
      </w:r>
      <w:r>
        <w:t xml:space="preserve">: 냉방 수요 급증(137,000 MWh)으로 모든 사업소를 최대 가동해야 해 감축 여력 1.2%에 불과 → 전력 수급 문제가 환경 최적화를 제약하는 현실적 한계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겨울계절관리제</w:t>
      </w:r>
      <w:r>
        <w:t xml:space="preserve">: 80% 상한 제약 하에 8.3% 감축 — 현 규제 효과를 데이터로 확인</w:t>
      </w:r>
    </w:p>
    <w:bookmarkEnd w:id="42"/>
    <w:bookmarkStart w:id="55" w:name="시스템-nox-최적-배분-원칙"/>
    <w:p>
      <w:pPr>
        <w:pStyle w:val="Heading3"/>
      </w:pPr>
      <w:r>
        <w:t xml:space="preserve">4.2 시스템 NOx 최적 배분 원칙</w:t>
      </w:r>
    </w:p>
    <w:p>
      <w:pPr>
        <w:pStyle w:val="SourceCode"/>
      </w:pPr>
      <w:r>
        <w:rPr>
          <w:rStyle w:val="VerbatimChar"/>
        </w:rPr>
        <w:t xml:space="preserve">분당(LNG)을 최대 활용 → 영동·여수를 중간 활용 → 삼천포·영흥은 수요 잔여분</w:t>
      </w:r>
    </w:p>
    <w:p>
      <w:pPr>
        <w:pStyle w:val="FirstParagraph"/>
      </w:pPr>
      <w:r>
        <w:t xml:space="preserve">LNG 발전(분당)은 NOx 사회적 비용이 석탄 대비 낮아, 시스템 최적화 시 우선 투입된다.</w:t>
      </w:r>
    </w:p>
    <w:p>
      <w:pPr>
        <w:pStyle w:val="CaptionedFigure"/>
      </w:pPr>
      <w:r>
        <w:drawing>
          <wp:inline>
            <wp:extent cx="5334000" cy="4250850"/>
            <wp:effectExtent b="0" l="0" r="0" t="0"/>
            <wp:docPr descr="그림 4-9. 삼천포×영흥 이용률 격자별 시스템 NOx 등고선 — 최저 배출 조합 탐색" title="" id="44" name="Picture"/>
            <a:graphic>
              <a:graphicData uri="http://schemas.openxmlformats.org/drawingml/2006/picture">
                <pic:pic>
                  <pic:nvPicPr>
                    <pic:cNvPr descr="fuelmix_01_2d히트맵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4-9. 삼천포×영흥 이용률 격자별 시스템 NOx 등고선 — 최저 배출 조합 탐색</w:t>
      </w:r>
    </w:p>
    <w:p>
      <w:pPr>
        <w:pStyle w:val="CaptionedFigure"/>
      </w:pPr>
      <w:r>
        <w:drawing>
          <wp:inline>
            <wp:extent cx="5334000" cy="1991300"/>
            <wp:effectExtent b="0" l="0" r="0" t="0"/>
            <wp:docPr descr="그림 4-10. 4개 시나리오별 최적 발전 믹스 비율 비교 — 시나리오별 사업소 배분 차이" title="" id="47" name="Picture"/>
            <a:graphic>
              <a:graphicData uri="http://schemas.openxmlformats.org/drawingml/2006/picture">
                <pic:pic>
                  <pic:nvPicPr>
                    <pic:cNvPr descr="fuelmix_02_시나리오비교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4-10. 4개 시나리오별 최적 발전 믹스 비율 비교 — 시나리오별 사업소 배분 차이</w:t>
      </w:r>
    </w:p>
    <w:p>
      <w:pPr>
        <w:pStyle w:val="CaptionedFigure"/>
      </w:pPr>
      <w:r>
        <w:drawing>
          <wp:inline>
            <wp:extent cx="5334000" cy="1771632"/>
            <wp:effectExtent b="0" l="0" r="0" t="0"/>
            <wp:docPr descr="그림 4-11. 현재 운영 vs 최적 배분 NOx 절감 효과 비교" title="" id="50" name="Picture"/>
            <a:graphic>
              <a:graphicData uri="http://schemas.openxmlformats.org/drawingml/2006/picture">
                <pic:pic>
                  <pic:nvPicPr>
                    <pic:cNvPr descr="fuelmix_03_현재vs최적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4-11. 현재 운영 vs 최적 배분 NOx 절감 효과 비교</w:t>
      </w:r>
    </w:p>
    <w:p>
      <w:pPr>
        <w:pStyle w:val="CaptionedFigure"/>
      </w:pPr>
      <w:r>
        <w:drawing>
          <wp:inline>
            <wp:extent cx="5334000" cy="2646070"/>
            <wp:effectExtent b="0" l="0" r="0" t="0"/>
            <wp:docPr descr="그림 4-12. 4개 시나리오별 사업소별 발전 믹스 구성" title="" id="53" name="Picture"/>
            <a:graphic>
              <a:graphicData uri="http://schemas.openxmlformats.org/drawingml/2006/picture">
                <pic:pic>
                  <pic:nvPicPr>
                    <pic:cNvPr descr="fuelmix_04_믹스구성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6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그림 4-12. 4개 시나리오별 사업소별 발전 믹스 구성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33" Target="media/rId33.png" /><Relationship Type="http://schemas.openxmlformats.org/officeDocument/2006/relationships/image" Id="rId24" Target="media/rId24.png" /><Relationship Type="http://schemas.openxmlformats.org/officeDocument/2006/relationships/image" Id="rId37" Target="media/rId37.png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8" Target="media/rId18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2026-05-17T07:39:05Z</dcterms:created>
  <dcterms:modified xsi:type="dcterms:W3CDTF">2026-05-17T07:39:05Z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