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정책-활용-및-기대효과"/>
    <w:p>
      <w:pPr>
        <w:pStyle w:val="Heading1"/>
      </w:pPr>
      <w:r>
        <w:t xml:space="preserve">Ⅴ. 정책 활용 및 기대효과</w:t>
      </w:r>
    </w:p>
    <w:p>
      <w:r>
        <w:pict>
          <v:rect style="width:0;height:1.5pt" o:hralign="center" o:hrstd="t" o:hr="t"/>
        </w:pict>
      </w:r>
    </w:p>
    <w:bookmarkStart w:id="19" w:name="bc-분석"/>
    <w:p>
      <w:pPr>
        <w:pStyle w:val="Heading2"/>
      </w:pPr>
      <w:r>
        <w:t xml:space="preserve">1. B/C 분석</w:t>
      </w:r>
    </w:p>
    <w:bookmarkStart w:id="9" w:name="분석-방법"/>
    <w:p>
      <w:pPr>
        <w:pStyle w:val="Heading3"/>
      </w:pPr>
      <w:r>
        <w:t xml:space="preserve">1.1 분석 방법</w:t>
      </w:r>
    </w:p>
    <w:p>
      <w:pPr>
        <w:pStyle w:val="FirstParagraph"/>
      </w:pPr>
      <w:r>
        <w:rPr>
          <w:b/>
          <w:bCs/>
        </w:rPr>
        <w:t xml:space="preserve">사회적 비용 단가</w:t>
      </w:r>
      <w:r>
        <w:t xml:space="preserve"> </w:t>
      </w:r>
      <w:r>
        <w:t xml:space="preserve">— 「대기환경보전법 시행령」 [별표 4] 기본부과금 산정기준 (2018년 이후 적용):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물질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근거 조문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500원/kg</w:t>
            </w:r>
          </w:p>
        </w:tc>
        <w:tc>
          <w:tcPr/>
          <w:p>
            <w:pPr>
              <w:pStyle w:val="Compact"/>
            </w:pPr>
            <w:r>
              <w:t xml:space="preserve">대기환경보전법 시행령 [별표 4] (law.go.kr)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2,130원/kg</w:t>
            </w:r>
          </w:p>
        </w:tc>
        <w:tc>
          <w:tcPr/>
          <w:p>
            <w:pPr>
              <w:pStyle w:val="Compact"/>
            </w:pPr>
            <w:r>
              <w:t xml:space="preserve">동일 — 2018년 NOx 배출부과금 제도 도입 시 신설 (환경부 보도자료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먼지(PM)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770원/kg</w:t>
            </w:r>
          </w:p>
        </w:tc>
        <w:tc>
          <w:tcPr/>
          <w:p>
            <w:pPr>
              <w:pStyle w:val="Compact"/>
            </w:pPr>
            <w:r>
              <w:t xml:space="preserve">대기환경보전법 시행령 [별표 4]</w:t>
            </w:r>
          </w:p>
        </w:tc>
      </w:tr>
    </w:tbl>
    <w:p>
      <w:pPr>
        <w:pStyle w:val="BlockText"/>
      </w:pPr>
      <w:r>
        <w:t xml:space="preserve">※ NOx 2,130원/kg은 2018년 환경부가 사업장 NOx에 배출부과금 제도를 최초 도입하면서 고시한 단가임</w:t>
      </w:r>
      <w:r>
        <w:br/>
      </w:r>
      <w:r>
        <w:t xml:space="preserve">(출처: 환경부 보도자료</w:t>
      </w:r>
      <w:r>
        <w:t xml:space="preserve"> </w:t>
      </w:r>
      <w:r>
        <w:t xml:space="preserve">“사업장 질소산화물에 대기배출부과금 제도 도입…연간 16만톤 삭감 기대”</w:t>
      </w:r>
      <w:r>
        <w:t xml:space="preserve">, me.go.kr)</w:t>
      </w:r>
      <w:r>
        <w:br/>
      </w:r>
      <w:r>
        <w:t xml:space="preserve">※ 이 단가는 법적 최소 부과 기준이며, 실제 건강 피해 기반 외부비용(KEI 추정)은 이보다 높을 수 있음</w:t>
      </w:r>
    </w:p>
    <w:p>
      <w:pPr>
        <w:pStyle w:val="FirstParagraph"/>
      </w:pPr>
      <w:r>
        <w:rPr>
          <w:b/>
          <w:bCs/>
        </w:rPr>
        <w:t xml:space="preserve">대체 비용 단가</w:t>
      </w:r>
      <w:r>
        <w:t xml:space="preserve"> </w:t>
      </w:r>
      <w:r>
        <w:t xml:space="preserve">— 유연탄·LNG 발전 원가 차이: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유연탄 발전 원가</w:t>
            </w:r>
          </w:p>
        </w:tc>
        <w:tc>
          <w:tcPr/>
          <w:p>
            <w:pPr>
              <w:pStyle w:val="Compact"/>
            </w:pPr>
            <w:r>
              <w:t xml:space="preserve">65,000원/MWh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LNG 발전 원가</w:t>
            </w:r>
          </w:p>
        </w:tc>
        <w:tc>
          <w:tcPr/>
          <w:p>
            <w:pPr>
              <w:pStyle w:val="Compact"/>
            </w:pPr>
            <w:r>
              <w:t xml:space="preserve">120,000원/MWh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대체 비용 차이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55,000원/MWh</w:t>
            </w:r>
          </w:p>
        </w:tc>
      </w:tr>
    </w:tbl>
    <w:p>
      <w:pPr>
        <w:pStyle w:val="BodyText"/>
      </w:pPr>
      <w:r>
        <w:rPr>
          <w:b/>
          <w:bCs/>
        </w:rPr>
        <w:t xml:space="preserve">연간 환산</w:t>
      </w:r>
      <w:r>
        <w:t xml:space="preserve">: 연간 운영일수</w:t>
      </w:r>
      <w:r>
        <w:t xml:space="preserve"> </w:t>
      </w:r>
      <w:r>
        <w:rPr>
          <w:b/>
          <w:bCs/>
        </w:rPr>
        <w:t xml:space="preserve">330일</w:t>
      </w:r>
      <w:r>
        <w:t xml:space="preserve"> </w:t>
      </w:r>
      <w:r>
        <w:t xml:space="preserve">적용 (계획예방정비 약 35일 제외)</w:t>
      </w:r>
    </w:p>
    <w:p>
      <w:pPr>
        <w:pStyle w:val="BodyText"/>
      </w:pPr>
      <w:r>
        <w:rPr>
          <w:b/>
          <w:bCs/>
        </w:rPr>
        <w:t xml:space="preserve">분석 전제</w:t>
      </w:r>
      <w:r>
        <w:t xml:space="preserve">: 삼천포 70%→50%, 영흥 83%→65%는</w:t>
      </w:r>
      <w:r>
        <w:t xml:space="preserve"> </w:t>
      </w:r>
      <w:r>
        <w:rPr>
          <w:b/>
          <w:bCs/>
        </w:rPr>
        <w:t xml:space="preserve">정책 시나리오 설정값</w:t>
      </w:r>
      <w:r>
        <w:t xml:space="preserve">이다. 단일 사업소 배출 최적화는 수요 제약 없이 배출만 최소화하므로 항상 하한값이 선택되는 구조적 특성이 있다. 따라서 이 분석은</w:t>
      </w:r>
      <w:r>
        <w:t xml:space="preserve"> </w:t>
      </w:r>
      <w:r>
        <w:t xml:space="preserve">“해당 이용률로 정책 제한할 경우의 비용·편익”</w:t>
      </w:r>
      <w:r>
        <w:t xml:space="preserve">을 정량화한 것이며, 실제 운영 최적화(수요 제약 포함)는 §4장 시스템 최적화 결과를 따른다.</w:t>
      </w:r>
    </w:p>
    <w:p>
      <w:pPr>
        <w:pStyle w:val="BodyText"/>
      </w:pPr>
      <w:r>
        <w:t xml:space="preserve">환경 편익 = 정책 감발 시 SOx·NOx·먼지 감축량(kg/일) × 각 단가 × 330일</w:t>
      </w:r>
      <w:r>
        <w:br/>
      </w:r>
      <w:r>
        <w:t xml:space="preserve">대체 비용 = 감발량(MWh/일) × 55,000원/MWh × 330일</w:t>
      </w:r>
    </w:p>
    <w:bookmarkEnd w:id="9"/>
    <w:bookmarkStart w:id="13" w:name="삼천포-기상-시나리오별-연간-환경-편익"/>
    <w:p>
      <w:pPr>
        <w:pStyle w:val="Heading3"/>
      </w:pPr>
      <w:r>
        <w:t xml:space="preserve">1.2 삼천포 — 기상 시나리오별 연간 환경 편익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연간 환경 편익</w:t>
            </w:r>
          </w:p>
        </w:tc>
        <w:tc>
          <w:tcPr/>
          <w:p>
            <w:pPr>
              <w:pStyle w:val="Compact"/>
            </w:pPr>
            <w:r>
              <w:t xml:space="preserve">NOx 일 감축량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여름대기정체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22.3억원</w:t>
            </w:r>
          </w:p>
        </w:tc>
        <w:tc>
          <w:tcPr/>
          <w:p>
            <w:pPr>
              <w:pStyle w:val="Compact"/>
            </w:pPr>
            <w:r>
              <w:t xml:space="preserve">1.78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겨울저온</w:t>
            </w:r>
          </w:p>
        </w:tc>
        <w:tc>
          <w:tcPr/>
          <w:p>
            <w:pPr>
              <w:pStyle w:val="Compact"/>
            </w:pPr>
            <w:r>
              <w:t xml:space="preserve">21.8억원</w:t>
            </w:r>
          </w:p>
        </w:tc>
        <w:tc>
          <w:tcPr/>
          <w:p>
            <w:pPr>
              <w:pStyle w:val="Compact"/>
            </w:pPr>
            <w:r>
              <w:t xml:space="preserve">1.78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태양광피크</w:t>
            </w:r>
          </w:p>
        </w:tc>
        <w:tc>
          <w:tcPr/>
          <w:p>
            <w:pPr>
              <w:pStyle w:val="Compact"/>
            </w:pPr>
            <w:r>
              <w:t xml:space="preserve">25.0억원</w:t>
            </w:r>
          </w:p>
        </w:tc>
        <w:tc>
          <w:tcPr/>
          <w:p>
            <w:pPr>
              <w:pStyle w:val="Compact"/>
            </w:pPr>
            <w:r>
              <w:t xml:space="preserve">2.04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강풍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24.9억원</w:t>
            </w:r>
          </w:p>
        </w:tc>
        <w:tc>
          <w:tcPr/>
          <w:p>
            <w:pPr>
              <w:pStyle w:val="Compact"/>
            </w:pPr>
            <w:r>
              <w:t xml:space="preserve">1.53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봄황사</w:t>
            </w:r>
          </w:p>
        </w:tc>
        <w:tc>
          <w:tcPr/>
          <w:p>
            <w:pPr>
              <w:pStyle w:val="Compact"/>
            </w:pPr>
            <w:r>
              <w:t xml:space="preserve">22.1억원</w:t>
            </w:r>
          </w:p>
        </w:tc>
        <w:tc>
          <w:tcPr/>
          <w:p>
            <w:pPr>
              <w:pStyle w:val="Compact"/>
            </w:pPr>
            <w:r>
              <w:t xml:space="preserve">1.73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겨울대기정체</w:t>
            </w:r>
          </w:p>
        </w:tc>
        <w:tc>
          <w:tcPr/>
          <w:p>
            <w:pPr>
              <w:pStyle w:val="Compact"/>
            </w:pPr>
            <w:r>
              <w:t xml:space="preserve">21.5억원</w:t>
            </w:r>
          </w:p>
        </w:tc>
        <w:tc>
          <w:tcPr/>
          <w:p>
            <w:pPr>
              <w:pStyle w:val="Compact"/>
            </w:pPr>
            <w:r>
              <w:t xml:space="preserve">1.73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봄신재생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28.4억원</w:t>
            </w:r>
          </w:p>
        </w:tc>
        <w:tc>
          <w:tcPr/>
          <w:p>
            <w:pPr>
              <w:pStyle w:val="Compact"/>
            </w:pPr>
            <w:r>
              <w:t xml:space="preserve">2.03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여름피크</w:t>
            </w:r>
          </w:p>
        </w:tc>
        <w:tc>
          <w:tcPr/>
          <w:p>
            <w:pPr>
              <w:pStyle w:val="Compact"/>
            </w:pPr>
            <w:r>
              <w:t xml:space="preserve">23.9억원</w:t>
            </w:r>
          </w:p>
        </w:tc>
        <w:tc>
          <w:tcPr/>
          <w:p>
            <w:pPr>
              <w:pStyle w:val="Compact"/>
            </w:pPr>
            <w:r>
              <w:t xml:space="preserve">1.99 ton/일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편익 산정 기준: 감축량(kg/일) × 단가(SOx 500·NOx 2,130·먼지 770원/kg) × 330일</w:t>
      </w:r>
    </w:p>
    <w:p>
      <w:pPr>
        <w:pStyle w:val="Compact"/>
        <w:numPr>
          <w:ilvl w:val="0"/>
          <w:numId w:val="1001"/>
        </w:numPr>
      </w:pPr>
      <w:r>
        <w:t xml:space="preserve">연간 NOx 감축량(G 시나리오): 약</w:t>
      </w:r>
      <w:r>
        <w:t xml:space="preserve"> </w:t>
      </w:r>
      <w:r>
        <w:rPr>
          <w:b/>
          <w:bCs/>
        </w:rPr>
        <w:t xml:space="preserve">668 ton/년</w:t>
      </w:r>
      <w:r>
        <w:t xml:space="preserve"> </w:t>
      </w:r>
      <w:r>
        <w:t xml:space="preserve">(2,025 kg/일 × 330 운영일)</w:t>
      </w:r>
    </w:p>
    <w:p>
      <w:pPr>
        <w:pStyle w:val="CaptionedFigure"/>
      </w:pPr>
      <w:r>
        <w:drawing>
          <wp:inline>
            <wp:extent cx="5334000" cy="2321464"/>
            <wp:effectExtent b="0" l="0" r="0" t="0"/>
            <wp:docPr descr="그림 5-1. 삼천포 B/C 분석 — 시나리오별 편익 vs 비용 비교(로그스케일, 좌) 및 NOx 일 감축량(우)" title="" id="11" name="Picture"/>
            <a:graphic>
              <a:graphicData uri="http://schemas.openxmlformats.org/drawingml/2006/picture">
                <pic:pic>
                  <pic:nvPicPr>
                    <pic:cNvPr descr="bc_삼천포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5-1. 삼천포 B/C 분석 — 시나리오별 편익 vs 비용 비교(로그스케일, 좌) 및 NOx 일 감축량(우)</w:t>
      </w:r>
    </w:p>
    <w:bookmarkEnd w:id="13"/>
    <w:bookmarkStart w:id="17" w:name="영흥-기상-시나리오별-연간-환경-편익"/>
    <w:p>
      <w:pPr>
        <w:pStyle w:val="Heading3"/>
      </w:pPr>
      <w:r>
        <w:t xml:space="preserve">1.3 영흥 — 기상 시나리오별 연간 환경 편익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연간 환경 편익</w:t>
            </w:r>
          </w:p>
        </w:tc>
        <w:tc>
          <w:tcPr/>
          <w:p>
            <w:pPr>
              <w:pStyle w:val="Compact"/>
            </w:pPr>
            <w:r>
              <w:t xml:space="preserve">NOx 일 감축량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여름대기정체</w:t>
            </w:r>
          </w:p>
        </w:tc>
        <w:tc>
          <w:tcPr/>
          <w:p>
            <w:pPr>
              <w:pStyle w:val="Compact"/>
            </w:pPr>
            <w:r>
              <w:t xml:space="preserve">25.2억원</w:t>
            </w:r>
          </w:p>
        </w:tc>
        <w:tc>
          <w:tcPr/>
          <w:p>
            <w:pPr>
              <w:pStyle w:val="Compact"/>
            </w:pPr>
            <w:r>
              <w:t xml:space="preserve">3.26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태양광피크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27.1억원</w:t>
            </w:r>
          </w:p>
        </w:tc>
        <w:tc>
          <w:tcPr/>
          <w:p>
            <w:pPr>
              <w:pStyle w:val="Compact"/>
            </w:pPr>
            <w:r>
              <w:t xml:space="preserve">3.12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봄황사</w:t>
            </w:r>
          </w:p>
        </w:tc>
        <w:tc>
          <w:tcPr/>
          <w:p>
            <w:pPr>
              <w:pStyle w:val="Compact"/>
            </w:pPr>
            <w:r>
              <w:t xml:space="preserve">24.7억원</w:t>
            </w:r>
          </w:p>
        </w:tc>
        <w:tc>
          <w:tcPr/>
          <w:p>
            <w:pPr>
              <w:pStyle w:val="Compact"/>
            </w:pPr>
            <w:r>
              <w:t xml:space="preserve">3.19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봄신재생</w:t>
            </w:r>
          </w:p>
        </w:tc>
        <w:tc>
          <w:tcPr/>
          <w:p>
            <w:pPr>
              <w:pStyle w:val="Compact"/>
            </w:pPr>
            <w:r>
              <w:t xml:space="preserve">26.5억원</w:t>
            </w:r>
          </w:p>
        </w:tc>
        <w:tc>
          <w:tcPr/>
          <w:p>
            <w:pPr>
              <w:pStyle w:val="Compact"/>
            </w:pPr>
            <w:r>
              <w:t xml:space="preserve">3.09 ton/일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여름피크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28.2억원</w:t>
            </w:r>
          </w:p>
        </w:tc>
        <w:tc>
          <w:tcPr/>
          <w:p>
            <w:pPr>
              <w:pStyle w:val="Compact"/>
            </w:pPr>
            <w:r>
              <w:t xml:space="preserve">3.26 ton/일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연간 NOx 감축량(H 시나리오): 약</w:t>
      </w:r>
      <w:r>
        <w:t xml:space="preserve"> </w:t>
      </w:r>
      <w:r>
        <w:rPr>
          <w:b/>
          <w:bCs/>
        </w:rPr>
        <w:t xml:space="preserve">1,077 ton/년</w:t>
      </w:r>
      <w:r>
        <w:t xml:space="preserve"> </w:t>
      </w:r>
      <w:r>
        <w:t xml:space="preserve">(3,262 kg/일 × 330 운영일)</w:t>
      </w:r>
    </w:p>
    <w:p>
      <w:pPr>
        <w:pStyle w:val="CaptionedFigure"/>
      </w:pPr>
      <w:r>
        <w:drawing>
          <wp:inline>
            <wp:extent cx="5334000" cy="2321464"/>
            <wp:effectExtent b="0" l="0" r="0" t="0"/>
            <wp:docPr descr="그림 5-2. 영흥 B/C 분석 — 시나리오별 편익 vs 비용 비교(좌) 및 NOx 일 감축량(우)" title="" id="15" name="Picture"/>
            <a:graphic>
              <a:graphicData uri="http://schemas.openxmlformats.org/drawingml/2006/picture">
                <pic:pic>
                  <pic:nvPicPr>
                    <pic:cNvPr descr="bc_영흥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5-2. 영흥 B/C 분석 — 시나리오별 편익 vs 비용 비교(좌) 및 NOx 일 감축량(우)</w:t>
      </w:r>
    </w:p>
    <w:bookmarkEnd w:id="17"/>
    <w:bookmarkStart w:id="18" w:name="bc-해석"/>
    <w:p>
      <w:pPr>
        <w:pStyle w:val="Heading3"/>
      </w:pPr>
      <w:r>
        <w:t xml:space="preserve">1.4 B/C 해석</w:t>
      </w:r>
    </w:p>
    <w:p>
      <w:pPr>
        <w:pStyle w:val="FirstParagraph"/>
      </w:pPr>
      <w:r>
        <w:rPr>
          <w:b/>
          <w:bCs/>
        </w:rPr>
        <w:t xml:space="preserve">① 전일 기준 (레퍼런스)</w:t>
      </w:r>
    </w:p>
    <w:p>
      <w:pPr>
        <w:pStyle w:val="BodyText"/>
      </w:pPr>
      <w:r>
        <w:t xml:space="preserve">연간 330일 감발을 가정하면 발전 전환 비용(LNG 대체 증분 비용)이 환경 편익을 압도한다: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영흥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 전환 비용</w:t>
            </w:r>
          </w:p>
        </w:tc>
        <w:tc>
          <w:tcPr/>
          <w:p>
            <w:pPr>
              <w:pStyle w:val="Compact"/>
            </w:pPr>
            <w:r>
              <w:t xml:space="preserve">1,474억원/년</w:t>
            </w:r>
          </w:p>
        </w:tc>
        <w:tc>
          <w:tcPr/>
          <w:p>
            <w:pPr>
              <w:pStyle w:val="Compact"/>
            </w:pPr>
            <w:r>
              <w:t xml:space="preserve">2,634억원/년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편익</w:t>
            </w:r>
          </w:p>
        </w:tc>
        <w:tc>
          <w:tcPr/>
          <w:p>
            <w:pPr>
              <w:pStyle w:val="Compact"/>
            </w:pPr>
            <w:r>
              <w:t xml:space="preserve">22~28억원/년</w:t>
            </w:r>
          </w:p>
        </w:tc>
        <w:tc>
          <w:tcPr/>
          <w:p>
            <w:pPr>
              <w:pStyle w:val="Compact"/>
            </w:pPr>
            <w:r>
              <w:t xml:space="preserve">22~28억원/년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t xml:space="preserve">0.015~0.019</w:t>
            </w:r>
          </w:p>
        </w:tc>
        <w:tc>
          <w:tcPr/>
          <w:p>
            <w:pPr>
              <w:pStyle w:val="Compact"/>
            </w:pPr>
            <w:r>
              <w:t xml:space="preserve">0.009~0.011</w:t>
            </w:r>
          </w:p>
        </w:tc>
      </w:tr>
    </w:tbl>
    <w:p>
      <w:pPr>
        <w:pStyle w:val="BlockText"/>
      </w:pPr>
      <w:r>
        <w:t xml:space="preserve">발전 전환 비용 = 감발량 × (LNG 원가 - 석탄 원가) × 330일. LNG 고정 단가 가정으로 실제 SMP 변동은 미반영.</w:t>
      </w:r>
    </w:p>
    <w:p>
      <w:pPr>
        <w:pStyle w:val="FirstParagraph"/>
      </w:pPr>
      <w:r>
        <w:rPr>
          <w:b/>
          <w:bCs/>
        </w:rPr>
        <w:t xml:space="preserve">② 선별 적용 기준 (메인 결론)</w:t>
      </w:r>
    </w:p>
    <w:p>
      <w:pPr>
        <w:pStyle w:val="BodyText"/>
      </w:pPr>
      <w:r>
        <w:t xml:space="preserve">대기정체·황사 경보는 본질적으로 선별 발동(연 30~50일)이다. 이 기간에만 감발 적용 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53"/>
        <w:gridCol w:w="1466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적용 일수</w:t>
            </w:r>
          </w:p>
        </w:tc>
        <w:tc>
          <w:tcPr/>
          <w:p>
            <w:pPr>
              <w:pStyle w:val="Compact"/>
            </w:pPr>
            <w:r>
              <w:t xml:space="preserve">삼천포 전환 비용</w:t>
            </w:r>
          </w:p>
        </w:tc>
        <w:tc>
          <w:tcPr/>
          <w:p>
            <w:pPr>
              <w:pStyle w:val="Compact"/>
            </w:pPr>
            <w:r>
              <w:t xml:space="preserve">삼천포 B/C</w:t>
            </w:r>
          </w:p>
        </w:tc>
        <w:tc>
          <w:tcPr/>
          <w:p>
            <w:pPr>
              <w:pStyle w:val="Compact"/>
            </w:pPr>
            <w:r>
              <w:t xml:space="preserve">영흥 전환 비용</w:t>
            </w:r>
          </w:p>
        </w:tc>
        <w:tc>
          <w:tcPr/>
          <w:p>
            <w:pPr>
              <w:pStyle w:val="Compact"/>
            </w:pPr>
            <w:r>
              <w:t xml:space="preserve">영흥 B/C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30일/년</w:t>
            </w:r>
          </w:p>
        </w:tc>
        <w:tc>
          <w:tcPr/>
          <w:p>
            <w:pPr>
              <w:pStyle w:val="Compact"/>
            </w:pPr>
            <w:r>
              <w:t xml:space="preserve">134억원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0.16~0.21</w:t>
            </w:r>
          </w:p>
        </w:tc>
        <w:tc>
          <w:tcPr/>
          <w:p>
            <w:pPr>
              <w:pStyle w:val="Compact"/>
            </w:pPr>
            <w:r>
              <w:t xml:space="preserve">239억원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0.09~0.12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50일/년</w:t>
            </w:r>
          </w:p>
        </w:tc>
        <w:tc>
          <w:tcPr/>
          <w:p>
            <w:pPr>
              <w:pStyle w:val="Compact"/>
            </w:pPr>
            <w:r>
              <w:t xml:space="preserve">224억원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0.10~0.13</w:t>
            </w:r>
          </w:p>
        </w:tc>
        <w:tc>
          <w:tcPr/>
          <w:p>
            <w:pPr>
              <w:pStyle w:val="Compact"/>
            </w:pPr>
            <w:r>
              <w:t xml:space="preserve">399억원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0.06~0.07</w:t>
            </w:r>
          </w:p>
        </w:tc>
      </w:tr>
    </w:tbl>
    <w:p>
      <w:pPr>
        <w:pStyle w:val="BodyText"/>
      </w:pPr>
      <w:r>
        <w:t xml:space="preserve">전일 기준 대비 경제성</w:t>
      </w:r>
      <w:r>
        <w:t xml:space="preserve"> </w:t>
      </w:r>
      <w:r>
        <w:rPr>
          <w:b/>
          <w:bCs/>
        </w:rPr>
        <w:t xml:space="preserve">10배 이상 개선</w:t>
      </w:r>
      <w:r>
        <w:t xml:space="preserve">. 시스템 최적화(§4장)와 병행하면 수요 제약 하에서도 NOx 15%+ 감축이 가능하다.</w:t>
      </w:r>
    </w:p>
    <w:p>
      <w:pPr>
        <w:pStyle w:val="BodyText"/>
      </w:pPr>
      <w:r>
        <w:rPr>
          <w:b/>
          <w:bCs/>
        </w:rPr>
        <w:t xml:space="preserve">③ 분석 한계</w:t>
      </w:r>
    </w:p>
    <w:p>
      <w:pPr>
        <w:pStyle w:val="Compact"/>
        <w:numPr>
          <w:ilvl w:val="0"/>
          <w:numId w:val="1003"/>
        </w:numPr>
      </w:pPr>
      <w:r>
        <w:t xml:space="preserve">LNG 고정 단가(120,000원/MWh) 가정 — 실제 계통 한계 비용(SMP)은 시간·계절별 변동</w:t>
      </w:r>
    </w:p>
    <w:p>
      <w:pPr>
        <w:pStyle w:val="Compact"/>
        <w:numPr>
          <w:ilvl w:val="0"/>
          <w:numId w:val="1003"/>
        </w:numPr>
      </w:pPr>
      <w:r>
        <w:t xml:space="preserve">단일 사업소 분석 — 타 사업소 증발 시 추가 배출 미반영</w:t>
      </w:r>
    </w:p>
    <w:p>
      <w:pPr>
        <w:pStyle w:val="Compact"/>
        <w:numPr>
          <w:ilvl w:val="0"/>
          <w:numId w:val="1003"/>
        </w:numPr>
      </w:pPr>
      <w:r>
        <w:t xml:space="preserve">개선 방향: 실시간 SMP 연동 및 §4장 시스템 최적화 결과와 통합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정책-권고"/>
    <w:p>
      <w:pPr>
        <w:pStyle w:val="Heading2"/>
      </w:pPr>
      <w:r>
        <w:t xml:space="preserve">2. 정책 권고</w:t>
      </w:r>
    </w:p>
    <w:bookmarkStart w:id="20" w:name="대기정체-연계-선제-감발-기준"/>
    <w:p>
      <w:pPr>
        <w:pStyle w:val="Heading3"/>
      </w:pPr>
      <w:r>
        <w:t xml:space="preserve">2.1 대기정체 연계 선제 감발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발령 기준</w:t>
            </w:r>
          </w:p>
        </w:tc>
        <w:tc>
          <w:tcPr/>
          <w:p>
            <w:pPr>
              <w:pStyle w:val="Compact"/>
            </w:pPr>
            <w:r>
              <w:t xml:space="preserve">권고 조치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대기정체 주의보 (정체지수 ≥ 70)</w:t>
            </w:r>
          </w:p>
        </w:tc>
        <w:tc>
          <w:tcPr/>
          <w:p>
            <w:pPr>
              <w:pStyle w:val="Compact"/>
            </w:pPr>
            <w:r>
              <w:t xml:space="preserve">삼천포 이용률 70%→60% 감발</w:t>
            </w:r>
          </w:p>
        </w:tc>
        <w:tc>
          <w:tcPr/>
          <w:p>
            <w:pPr>
              <w:pStyle w:val="Compact"/>
            </w:pPr>
            <w:r>
              <w:t xml:space="preserve">NOx 5~10%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대기정체 경보 (정체지수 ≥ 90)</w:t>
            </w:r>
          </w:p>
        </w:tc>
        <w:tc>
          <w:tcPr/>
          <w:p>
            <w:pPr>
              <w:pStyle w:val="Compact"/>
            </w:pPr>
            <w:r>
              <w:t xml:space="preserve">삼천포 이용률 60%→50% 감발</w:t>
            </w:r>
          </w:p>
        </w:tc>
        <w:tc>
          <w:tcPr/>
          <w:p>
            <w:pPr>
              <w:pStyle w:val="Compact"/>
            </w:pPr>
            <w:r>
              <w:t xml:space="preserve">NOx 15~19%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 대기정체 경보</w:t>
            </w:r>
          </w:p>
        </w:tc>
        <w:tc>
          <w:tcPr/>
          <w:p>
            <w:pPr>
              <w:pStyle w:val="Compact"/>
            </w:pPr>
            <w:r>
              <w:t xml:space="preserve">영흥 이용률 83%→75% 감발</w:t>
            </w:r>
          </w:p>
        </w:tc>
        <w:tc>
          <w:tcPr/>
          <w:p>
            <w:pPr>
              <w:pStyle w:val="Compact"/>
            </w:pPr>
            <w:r>
              <w:t xml:space="preserve">NOx 10~15% 감축</w:t>
            </w:r>
          </w:p>
        </w:tc>
      </w:tr>
    </w:tbl>
    <w:bookmarkEnd w:id="20"/>
    <w:bookmarkStart w:id="21" w:name="계절관리제123월-근거-정량화"/>
    <w:p>
      <w:pPr>
        <w:pStyle w:val="Heading3"/>
      </w:pPr>
      <w:r>
        <w:t xml:space="preserve">2.2 계절관리제(12~3월) 근거 정량화</w:t>
      </w:r>
    </w:p>
    <w:p>
      <w:pPr>
        <w:pStyle w:val="FirstParagraph"/>
      </w:pPr>
      <w:r>
        <w:t xml:space="preserve">현행 계절관리제는 이용률 80% 상한을 부과하나, 데이터 기반 근거가 부족하다. 본 분석 결과:</w:t>
      </w:r>
    </w:p>
    <w:p>
      <w:pPr>
        <w:pStyle w:val="Compact"/>
        <w:numPr>
          <w:ilvl w:val="0"/>
          <w:numId w:val="1004"/>
        </w:numPr>
      </w:pPr>
      <w:r>
        <w:t xml:space="preserve">영흥 이용률 80% 제한 시 NOx 약</w:t>
      </w:r>
      <w:r>
        <w:t xml:space="preserve"> </w:t>
      </w:r>
      <w:r>
        <w:rPr>
          <w:b/>
          <w:bCs/>
        </w:rPr>
        <w:t xml:space="preserve">8~10%</w:t>
      </w:r>
      <w:r>
        <w:t xml:space="preserve"> </w:t>
      </w:r>
      <w:r>
        <w:t xml:space="preserve">감축 효과 확인 (SF 겨울계절관리제 시나리오)</w:t>
      </w:r>
    </w:p>
    <w:p>
      <w:pPr>
        <w:pStyle w:val="Compact"/>
        <w:numPr>
          <w:ilvl w:val="0"/>
          <w:numId w:val="1004"/>
        </w:numPr>
      </w:pPr>
      <w:r>
        <w:t xml:space="preserve">80% → 65%로 강화 시 NOx</w:t>
      </w:r>
      <w:r>
        <w:t xml:space="preserve"> </w:t>
      </w:r>
      <w:r>
        <w:rPr>
          <w:b/>
          <w:bCs/>
        </w:rPr>
        <w:t xml:space="preserve">23~25%</w:t>
      </w:r>
      <w:r>
        <w:t xml:space="preserve"> </w:t>
      </w:r>
      <w:r>
        <w:t xml:space="preserve">추가 감축 가능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권고</w:t>
      </w:r>
      <w:r>
        <w:t xml:space="preserve">: 계절관리제 기간 중 일 전력 수요 여유가 있는 날(전력 예비율 ≥ 15%) 상한을 65~70%로 탄력 강화</w:t>
      </w:r>
    </w:p>
    <w:bookmarkEnd w:id="21"/>
    <w:bookmarkStart w:id="22" w:name="신재생-연계-석탄-감발-규칙"/>
    <w:p>
      <w:pPr>
        <w:pStyle w:val="Heading3"/>
      </w:pPr>
      <w:r>
        <w:t xml:space="preserve">2.3 신재생 연계 석탄 감발 규칙</w:t>
      </w:r>
    </w:p>
    <w:p>
      <w:pPr>
        <w:pStyle w:val="Compact"/>
        <w:numPr>
          <w:ilvl w:val="0"/>
          <w:numId w:val="1005"/>
        </w:numPr>
      </w:pPr>
      <w:r>
        <w:t xml:space="preserve">봄·가을 신재생 발전 피크(태양광+풍력 일 합산 ≥ 500 MWh) 시 삼천포 감발 여력 최대</w:t>
      </w:r>
    </w:p>
    <w:p>
      <w:pPr>
        <w:pStyle w:val="Compact"/>
        <w:numPr>
          <w:ilvl w:val="1"/>
          <w:numId w:val="1006"/>
        </w:numPr>
      </w:pPr>
      <w:r>
        <w:t xml:space="preserve">봄신재생(G) 시나리오: NOx 18.7%, 먼지 51.1% 감축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권고</w:t>
      </w:r>
      <w:r>
        <w:t xml:space="preserve">: 신재생 피크 예보일(전일 예보 활용) + 대기정체 예보 연계 감발 스케줄 사전 수립</w:t>
      </w:r>
    </w:p>
    <w:bookmarkEnd w:id="22"/>
    <w:bookmarkStart w:id="23" w:name="데이터-기반-환경-운영-시스템-로드맵"/>
    <w:p>
      <w:pPr>
        <w:pStyle w:val="Heading3"/>
      </w:pPr>
      <w:r>
        <w:t xml:space="preserve">2.4 데이터 기반 환경 운영 시스템 로드맵</w:t>
      </w:r>
    </w:p>
    <w:p>
      <w:pPr>
        <w:pStyle w:val="SourceCode"/>
      </w:pPr>
      <w:r>
        <w:rPr>
          <w:rStyle w:val="VerbatimChar"/>
        </w:rPr>
        <w:t xml:space="preserve">단계 1 (즉시 적용 가능)</w:t>
      </w:r>
      <w:r>
        <w:br/>
      </w:r>
      <w:r>
        <w:rPr>
          <w:rStyle w:val="VerbatimChar"/>
        </w:rPr>
        <w:t xml:space="preserve">  ├─ 대기정체지수 실시간 산출 (기상청 API 연동)</w:t>
      </w:r>
      <w:r>
        <w:br/>
      </w:r>
      <w:r>
        <w:rPr>
          <w:rStyle w:val="VerbatimChar"/>
        </w:rPr>
        <w:t xml:space="preserve">  └─ 시나리오별 정책 감발 기준 이용률 테이블 EMS 탑재</w:t>
      </w:r>
      <w:r>
        <w:br/>
      </w:r>
      <w:r>
        <w:br/>
      </w:r>
      <w:r>
        <w:rPr>
          <w:rStyle w:val="VerbatimChar"/>
        </w:rPr>
        <w:t xml:space="preserve">단계 2 (6~12개월)</w:t>
      </w:r>
      <w:r>
        <w:br/>
      </w:r>
      <w:r>
        <w:rPr>
          <w:rStyle w:val="VerbatimChar"/>
        </w:rPr>
        <w:t xml:space="preserve">  ├─ EP 운전 이력 데이터 수집 체계 구축</w:t>
      </w:r>
      <w:r>
        <w:br/>
      </w:r>
      <w:r>
        <w:rPr>
          <w:rStyle w:val="VerbatimChar"/>
        </w:rPr>
        <w:t xml:space="preserve">  ├─ 먼지 예측 모델 개선 (EP 상태 피처 추가)</w:t>
      </w:r>
      <w:r>
        <w:br/>
      </w:r>
      <w:r>
        <w:rPr>
          <w:rStyle w:val="VerbatimChar"/>
        </w:rPr>
        <w:t xml:space="preserve">  └─ 5사업소 연료 믹스 최적화 일일 자동 계산</w:t>
      </w:r>
      <w:r>
        <w:br/>
      </w:r>
      <w:r>
        <w:br/>
      </w:r>
      <w:r>
        <w:rPr>
          <w:rStyle w:val="VerbatimChar"/>
        </w:rPr>
        <w:t xml:space="preserve">단계 3 (1~3년)</w:t>
      </w:r>
      <w:r>
        <w:br/>
      </w:r>
      <w:r>
        <w:rPr>
          <w:rStyle w:val="VerbatimChar"/>
        </w:rPr>
        <w:t xml:space="preserve">  ├─ 실시간 배출 예측 → 급전 지시 시스템 연계</w:t>
      </w:r>
      <w:r>
        <w:br/>
      </w:r>
      <w:r>
        <w:rPr>
          <w:rStyle w:val="VerbatimChar"/>
        </w:rPr>
        <w:t xml:space="preserve">  └─ 탄소 크레딧·배출권 가격과 연동한 동적 최적화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기대-효과-요약"/>
    <w:p>
      <w:pPr>
        <w:pStyle w:val="Heading2"/>
      </w:pPr>
      <w:r>
        <w:t xml:space="preserve">3. 기대 효과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5사업소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NOx 최대 감축률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NOx 일 감축량</w:t>
            </w:r>
          </w:p>
        </w:tc>
        <w:tc>
          <w:tcPr/>
          <w:p>
            <w:pPr>
              <w:pStyle w:val="Compact"/>
            </w:pPr>
            <w:r>
              <w:t xml:space="preserve">2.04 ton/일</w:t>
            </w:r>
          </w:p>
        </w:tc>
        <w:tc>
          <w:tcPr/>
          <w:p>
            <w:pPr>
              <w:pStyle w:val="Compact"/>
            </w:pPr>
            <w:r>
              <w:t xml:space="preserve">3.26 ton/일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NOx 절감량</w:t>
            </w:r>
          </w:p>
        </w:tc>
        <w:tc>
          <w:tcPr/>
          <w:p>
            <w:pPr>
              <w:pStyle w:val="Compact"/>
            </w:pPr>
            <w:r>
              <w:t xml:space="preserve">~668 ton/년</w:t>
            </w:r>
          </w:p>
        </w:tc>
        <w:tc>
          <w:tcPr/>
          <w:p>
            <w:pPr>
              <w:pStyle w:val="Compact"/>
            </w:pPr>
            <w:r>
              <w:t xml:space="preserve">~1,077 ton/년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환경 편익</w:t>
            </w:r>
          </w:p>
        </w:tc>
        <w:tc>
          <w:tcPr/>
          <w:p>
            <w:pPr>
              <w:pStyle w:val="Compact"/>
            </w:pPr>
            <w:r>
              <w:t xml:space="preserve">22~28억원/년</w:t>
            </w:r>
          </w:p>
        </w:tc>
        <w:tc>
          <w:tcPr/>
          <w:p>
            <w:pPr>
              <w:pStyle w:val="Compact"/>
            </w:pPr>
            <w:r>
              <w:t xml:space="preserve">22~28억원/년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대기정체일 조정 B/C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0.16~0.21</w:t>
            </w:r>
          </w:p>
        </w:tc>
        <w:tc>
          <w:tcPr/>
          <w:p>
            <w:pPr>
              <w:pStyle w:val="Compact"/>
            </w:pPr>
            <w:r>
              <w:t xml:space="preserve">0.09~0.12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총괄</w:t>
      </w:r>
      <w:r>
        <w:t xml:space="preserve">: 기상 조건 연계 선제 감발은 대기정체·황사 집중일(연 30~50일)에 적용 시 경제성과 환경성을 동시에 확보할 수 있다. 발전 계획 수립 단계에서 본 모델을 활용하면 추가 설비 투자 없이 NOx 감축 목표(15% 이상)를 달성 가능하다.</w:t>
      </w:r>
    </w:p>
    <w:p>
      <w:r>
        <w:pict>
          <v:rect style="width:0;height:1.5pt" o:hralign="center" o:hrstd="t" o:hr="t"/>
        </w:pict>
      </w:r>
    </w:p>
    <w:bookmarkEnd w:id="25"/>
    <w:bookmarkStart w:id="26" w:name="분석의-한계-및-향후-과제"/>
    <w:p>
      <w:pPr>
        <w:pStyle w:val="Heading2"/>
      </w:pPr>
      <w:r>
        <w:t xml:space="preserve">4. 분석의 한계 및 향후 과제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개선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먼지 예측 불가</w:t>
            </w:r>
          </w:p>
        </w:tc>
        <w:tc>
          <w:tcPr/>
          <w:p>
            <w:pPr>
              <w:pStyle w:val="Compact"/>
            </w:pPr>
            <w:r>
              <w:t xml:space="preserve">EP 이벤트로 R²&lt;0</w:t>
            </w:r>
          </w:p>
        </w:tc>
        <w:tc>
          <w:tcPr/>
          <w:p>
            <w:pPr>
              <w:pStyle w:val="Compact"/>
            </w:pPr>
            <w:r>
              <w:t xml:space="preserve">EP 운전 이력 데이터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 NOx 기상 감도 = 0%</w:t>
            </w:r>
          </w:p>
        </w:tc>
        <w:tc>
          <w:tcPr/>
          <w:p>
            <w:pPr>
              <w:pStyle w:val="Compact"/>
            </w:pPr>
            <w:r>
              <w:t xml:space="preserve">트리 모델 분기점 미형성</w:t>
            </w:r>
          </w:p>
        </w:tc>
        <w:tc>
          <w:tcPr/>
          <w:p>
            <w:pPr>
              <w:pStyle w:val="Compact"/>
            </w:pPr>
            <w:r>
              <w:t xml:space="preserve">피처 확충(연소 공기비, SCR 운전)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 대체 비용 단순화</w:t>
            </w:r>
          </w:p>
        </w:tc>
        <w:tc>
          <w:tcPr/>
          <w:p>
            <w:pPr>
              <w:pStyle w:val="Compact"/>
            </w:pPr>
            <w:r>
              <w:t xml:space="preserve">LNG 고정 단가 가정</w:t>
            </w:r>
          </w:p>
        </w:tc>
        <w:tc>
          <w:tcPr/>
          <w:p>
            <w:pPr>
              <w:pStyle w:val="Compact"/>
            </w:pPr>
            <w:r>
              <w:t xml:space="preserve">실시간 계통 한계 비용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시계열 분할 80/10/10</w:t>
            </w:r>
          </w:p>
        </w:tc>
        <w:tc>
          <w:tcPr/>
          <w:p>
            <w:pPr>
              <w:pStyle w:val="Compact"/>
            </w:pPr>
            <w:r>
              <w:t xml:space="preserve">테스트 기간이 2025~</w:t>
            </w:r>
          </w:p>
        </w:tc>
        <w:tc>
          <w:tcPr/>
          <w:p>
            <w:pPr>
              <w:pStyle w:val="Compact"/>
            </w:pPr>
            <w:r>
              <w:t xml:space="preserve">장기 추세 외삽 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 모델 성능 낮음</w:t>
            </w:r>
          </w:p>
        </w:tc>
        <w:tc>
          <w:tcPr/>
          <w:p>
            <w:pPr>
              <w:pStyle w:val="Compact"/>
            </w:pPr>
            <w:r>
              <w:t xml:space="preserve">바이오매스 혼소 비율이 피처에 미반영 — coal_ratio≈0 고정으로 연료 변동 설명력 부족</w:t>
            </w:r>
          </w:p>
        </w:tc>
        <w:tc>
          <w:tcPr/>
          <w:p>
            <w:pPr>
              <w:pStyle w:val="Compact"/>
            </w:pPr>
            <w:r>
              <w:t xml:space="preserve">바이오매스 투입 비율 피처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 먼지·SOx R² 낮음</w:t>
            </w:r>
          </w:p>
        </w:tc>
        <w:tc>
          <w:tcPr/>
          <w:p>
            <w:pPr>
              <w:pStyle w:val="Compact"/>
            </w:pPr>
            <w:r>
              <w:t xml:space="preserve">중유 혼소 비율 데이터 미확보</w:t>
            </w:r>
          </w:p>
        </w:tc>
        <w:tc>
          <w:tcPr/>
          <w:p>
            <w:pPr>
              <w:pStyle w:val="Compact"/>
            </w:pPr>
            <w:r>
              <w:t xml:space="preserve">유류 투입량 피처 추가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2026-05-17T07:39:05Z</dcterms:created>
  <dcterms:modified xsi:type="dcterms:W3CDTF">2026-05-17T07:39:05Z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