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pBdr>
          <w:bottom w:val="single" w:sz="18" w:space="2" w:color="0B2E6E"/>
        </w:pBdr>
      </w:pPr>
      <w:r>
        <w:rPr>
          <w:rFonts w:ascii="맑은 고딕" w:hAnsi="맑은 고딕" w:eastAsia="맑은 고딕"/>
          <w:b/>
          <w:color w:val="0B2E6E"/>
          <w:sz w:val="44"/>
        </w:rPr>
        <w:t>석사학위 논문작성 중간보고서</w:t>
      </w:r>
    </w:p>
    <w:p>
      <w:pPr>
        <w:spacing w:before="280" w:after="120"/>
        <w:pBdr>
          <w:bottom w:val="single" w:sz="12" w:space="1" w:color="0B2E6E"/>
        </w:pBdr>
      </w:pPr>
      <w:r>
        <w:rPr>
          <w:rFonts w:ascii="맑은 고딕" w:hAnsi="맑은 고딕" w:eastAsia="맑은 고딕"/>
          <w:b/>
          <w:color w:val="0B2E6E"/>
          <w:sz w:val="28"/>
        </w:rPr>
        <w:t>■ 제 출 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134"/>
        <w:gridCol w:w="2154"/>
        <w:gridCol w:w="1587"/>
        <w:gridCol w:w="2154"/>
      </w:tblGrid>
      <w:tr>
        <w:trPr>
          <w:trHeight w:val="510"/>
        </w:trPr>
        <w:tc>
          <w:tcPr>
            <w:tcW w:type="dxa" w:w="204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>전공명</w:t>
            </w:r>
          </w:p>
        </w:tc>
        <w:tc>
          <w:tcPr>
            <w:tcW w:type="dxa" w:w="113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>기수</w:t>
            </w:r>
          </w:p>
        </w:tc>
        <w:tc>
          <w:tcPr>
            <w:tcW w:type="dxa" w:w="215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>학번</w:t>
            </w:r>
          </w:p>
        </w:tc>
        <w:tc>
          <w:tcPr>
            <w:tcW w:type="dxa" w:w="158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>성명</w:t>
            </w:r>
          </w:p>
        </w:tc>
        <w:tc>
          <w:tcPr>
            <w:tcW w:type="dxa" w:w="215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>연락처</w:t>
            </w:r>
          </w:p>
        </w:tc>
      </w:tr>
      <w:tr>
        <w:trPr>
          <w:trHeight w:val="510"/>
        </w:trPr>
        <w:tc>
          <w:tcPr>
            <w:tcW w:type="dxa" w:w="204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2"/>
              </w:rPr>
              <w:t>빅데이터</w:t>
            </w:r>
          </w:p>
        </w:tc>
        <w:tc>
          <w:tcPr>
            <w:tcW w:type="dxa" w:w="113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2"/>
              </w:rPr>
              <w:t>82</w:t>
            </w:r>
          </w:p>
        </w:tc>
        <w:tc>
          <w:tcPr>
            <w:tcW w:type="dxa" w:w="215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2"/>
              </w:rPr>
              <w:t>2022151513</w:t>
            </w:r>
          </w:p>
        </w:tc>
        <w:tc>
          <w:tcPr>
            <w:tcW w:type="dxa" w:w="158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2"/>
              </w:rPr>
              <w:t>박현근</w:t>
            </w:r>
          </w:p>
        </w:tc>
        <w:tc>
          <w:tcPr>
            <w:tcW w:type="dxa" w:w="215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2"/>
              </w:rPr>
              <w:t>010-9592-0923</w:t>
            </w:r>
          </w:p>
        </w:tc>
      </w:tr>
    </w:tbl>
    <w:p>
      <w:pPr>
        <w:spacing w:before="280" w:after="120"/>
        <w:pBdr>
          <w:bottom w:val="single" w:sz="12" w:space="1" w:color="0B2E6E"/>
        </w:pBdr>
      </w:pPr>
      <w:r>
        <w:rPr>
          <w:rFonts w:ascii="맑은 고딕" w:hAnsi="맑은 고딕" w:eastAsia="맑은 고딕"/>
          <w:b/>
          <w:color w:val="0B2E6E"/>
          <w:sz w:val="28"/>
        </w:rPr>
        <w:t>■ 보고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200" w:type="dxa"/>
              <w:bottom w:w="180" w:type="dxa"/>
              <w:right w:w="200" w:type="dxa"/>
            </w:tcMar>
          </w:tcPr>
          <w:p>
            <w:pPr>
              <w:spacing w:after="120"/>
            </w:pPr>
            <w:r/>
            <w:r>
              <w:rPr>
                <w:rFonts w:ascii="맑은 고딕" w:hAnsi="맑은 고딕" w:eastAsia="맑은 고딕"/>
                <w:b/>
                <w:sz w:val="24"/>
              </w:rPr>
              <w:t>1. 논문개요</w:t>
            </w:r>
          </w:p>
          <w:p>
            <w:pPr>
              <w:spacing w:after="60" w:line="336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"XGBoost와 SHAP을 활용한 서울시 아파트 매매가격 결정요인 분석"</w:t>
            </w:r>
          </w:p>
          <w:p>
            <w:pPr>
              <w:spacing w:after="60" w:line="336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  <w:p>
            <w:pPr>
              <w:spacing w:after="60" w:line="336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서울시 25개 자치구 215개 행정동의 아파트 매매 실거래가 391,826건(2019.1~2025.12)을 대상으로 OLS·Random Forest·XGBoost 3개 모형의 예측 성능을 비교하고, SHAP(SHapley Additive exPlanations) 기법으로 주택 가격 결정요인의 영향력을 해석한다.</w:t>
            </w:r>
          </w:p>
          <w:p>
            <w:pPr>
              <w:spacing w:after="60" w:line="336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전용면적·건물연령·층 등 주택 특성 변수와 강남구분·지하철역·학교·백화점·학원·어린이집·CCTV·공원·도서관 등 입지/생활 인프라 변수, 기준금리·CD금리·소비자물가지수·M2 등 거시경제 변수를 함께 투입하여 지역 이질성과 시장 국면 효과까지 포괄하는 통합 실증 설계를 수행한다.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200" w:type="dxa"/>
              <w:bottom w:w="180" w:type="dxa"/>
              <w:right w:w="200" w:type="dxa"/>
            </w:tcMar>
          </w:tcPr>
          <w:p>
            <w:pPr>
              <w:spacing w:after="120"/>
            </w:pPr>
            <w:r/>
            <w:r>
              <w:rPr>
                <w:rFonts w:ascii="맑은 고딕" w:hAnsi="맑은 고딕" w:eastAsia="맑은 고딕"/>
                <w:b/>
                <w:sz w:val="24"/>
              </w:rPr>
              <w:t>2. 논문작성 진행사항</w:t>
            </w:r>
          </w:p>
          <w:p>
            <w:pPr>
              <w:spacing w:after="60" w:line="336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1. 데이터 수집·구축 완료</w:t>
            </w:r>
          </w:p>
          <w:p>
            <w:pPr>
              <w:spacing w:after="60" w:line="336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 xml:space="preserve">  * 국토교통부 실거래가 API로 2019~2025년 서울 아파트 매매 391,826건 수집</w:t>
            </w:r>
          </w:p>
          <w:p>
            <w:pPr>
              <w:spacing w:after="60" w:line="336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 xml:space="preserve">  * 서울열린데이터·NEIS·한국은행 ECOS API로 지하철·공원·학교·대규모점포·거시경제 지표 결합</w:t>
            </w:r>
          </w:p>
          <w:p>
            <w:pPr>
              <w:spacing w:after="60" w:line="336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 xml:space="preserve">  * 건물연령·강남구분 등 파생변수 생성 및 행정동 단위(215개) 집계</w:t>
            </w:r>
          </w:p>
          <w:p>
            <w:pPr>
              <w:spacing w:after="60" w:line="336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  <w:p>
            <w:pPr>
              <w:spacing w:after="60" w:line="336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2. 예측 모형 적합 및 비교 완료</w:t>
            </w:r>
          </w:p>
          <w:p>
            <w:pPr>
              <w:spacing w:after="60" w:line="336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 xml:space="preserve">  * OLS 다중회귀, Random Forest, XGBoost 3종을 동일 자료·동일 하이퍼파라미터 하에서 적합</w:t>
            </w:r>
          </w:p>
          <w:p>
            <w:pPr>
              <w:spacing w:after="60" w:line="336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 xml:space="preserve">  * 무작위 분할 기준 XGBoost R² 0.970, RMSE 13,765만원, MAPE 7.65%로 OLS 대비 RMSE 72% 감소</w:t>
            </w:r>
          </w:p>
          <w:p>
            <w:pPr>
              <w:spacing w:after="60" w:line="336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  <w:p>
            <w:pPr>
              <w:spacing w:after="60" w:line="336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3. SHAP 기반 설명가능성 분석 완료</w:t>
            </w:r>
          </w:p>
          <w:p>
            <w:pPr>
              <w:spacing w:after="60" w:line="336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 xml:space="preserve">  * 변수 중요도 및 의존성 플롯 산출, 전용면적·강남구분·건물연령·M2·백화점수가 상위 5대 요인으로 확인</w:t>
            </w:r>
          </w:p>
          <w:p>
            <w:pPr>
              <w:spacing w:after="60" w:line="336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  <w:p>
            <w:pPr>
              <w:spacing w:after="60" w:line="336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4. 강건성 검증(4종) 완료</w:t>
            </w:r>
          </w:p>
          <w:p>
            <w:pPr>
              <w:spacing w:after="60" w:line="336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 xml:space="preserve">  * 시간순 분할(Train 2019~2023, Test 2024~2025)로 국면 이동에 대한 일반화 성능 점검</w:t>
            </w:r>
          </w:p>
          <w:p>
            <w:pPr>
              <w:spacing w:after="60" w:line="336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 xml:space="preserve">  * 법정동·아파트명 기준 GroupKFold 분할(8,601 단지, overlap 0)로 단지 반복 누수 정량화 → XGB R² 0.846</w:t>
            </w:r>
          </w:p>
          <w:p>
            <w:pPr>
              <w:spacing w:after="60" w:line="336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 xml:space="preserve">  * 학원수·어린이집수 Ablation으로 구 단위 프록시의 한계 기여 ΔR²≈−0.0003 확인</w:t>
            </w:r>
          </w:p>
          <w:p>
            <w:pPr>
              <w:spacing w:after="60" w:line="336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 xml:space="preserve">  * 강남/비강남 지역별 별도 모형 적합으로 지역 이질성 재확인(학원수 비강남 0.70배, 어린이집수 0.12배, 백화점수 강남 5.29배)</w:t>
            </w:r>
          </w:p>
          <w:p>
            <w:pPr>
              <w:spacing w:after="60" w:line="336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  <w:p>
            <w:pPr>
              <w:spacing w:after="60" w:line="336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5. 논문 본문 초안 작성 완료</w:t>
            </w:r>
          </w:p>
          <w:p>
            <w:pPr>
              <w:spacing w:after="60" w:line="336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 xml:space="preserve">  * 국문 5장 구조(서론·이론·방법·결과·결론) 및 국·영문 초록 작성, 표 15개·그림 9개 포함</w:t>
            </w:r>
          </w:p>
          <w:p>
            <w:pPr>
              <w:spacing w:after="60" w:line="336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 xml:space="preserve">  * 지도교수 및 내부 재리뷰 반영, 향후 최종 심사 제출 준비 단계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200" w:type="dxa"/>
              <w:bottom w:w="180" w:type="dxa"/>
              <w:right w:w="200" w:type="dxa"/>
            </w:tcMar>
          </w:tcPr>
          <w:p>
            <w:pPr>
              <w:spacing w:after="120"/>
            </w:pPr>
            <w:r/>
            <w:r>
              <w:rPr>
                <w:rFonts w:ascii="맑은 고딕" w:hAnsi="맑은 고딕" w:eastAsia="맑은 고딕"/>
                <w:b/>
                <w:sz w:val="24"/>
              </w:rPr>
              <w:t>3. 지도교수 의견 및 평가 (반드시 기재 요망)</w:t>
            </w:r>
          </w:p>
          <w:p>
            <w:pPr>
              <w:spacing w:after="60" w:line="336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  <w:p>
            <w:pPr>
              <w:spacing w:after="60" w:line="336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  <w:p>
            <w:pPr>
              <w:spacing w:after="60" w:line="336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  <w:p>
            <w:pPr>
              <w:spacing w:after="60" w:line="336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</w:tr>
    </w:tbl>
    <w:p/>
    <w:p>
      <w:pPr>
        <w:spacing w:before="360"/>
        <w:jc w:val="center"/>
      </w:pPr>
      <w:r>
        <w:rPr>
          <w:rFonts w:ascii="맑은 고딕" w:hAnsi="맑은 고딕" w:eastAsia="맑은 고딕"/>
          <w:b/>
          <w:sz w:val="24"/>
        </w:rPr>
        <w:t>2026 년  04 월  10일</w:t>
      </w:r>
    </w:p>
    <w:p>
      <w:pPr>
        <w:spacing w:before="320"/>
        <w:jc w:val="right"/>
      </w:pPr>
      <w:r>
        <w:rPr>
          <w:rFonts w:ascii="맑은 고딕" w:hAnsi="맑은 고딕" w:eastAsia="맑은 고딕"/>
          <w:b w:val="0"/>
          <w:sz w:val="24"/>
        </w:rPr>
        <w:t>제 출 자 :    박 현 근    (인)</w:t>
      </w:r>
    </w:p>
    <w:p>
      <w:pPr>
        <w:spacing w:before="120"/>
        <w:jc w:val="right"/>
      </w:pPr>
      <w:r>
        <w:rPr>
          <w:rFonts w:ascii="맑은 고딕" w:hAnsi="맑은 고딕" w:eastAsia="맑은 고딕"/>
          <w:b w:val="0"/>
          <w:sz w:val="24"/>
        </w:rPr>
        <w:t>지 도 교 수 :                   (인)</w:t>
      </w:r>
    </w:p>
    <w:p>
      <w:pPr>
        <w:spacing w:before="480"/>
      </w:pPr>
      <w:r>
        <w:rPr>
          <w:rFonts w:ascii="맑은 고딕" w:hAnsi="맑은 고딕" w:eastAsia="맑은 고딕"/>
          <w:b/>
          <w:sz w:val="28"/>
        </w:rPr>
        <w:t>부동산융합대학원장 귀하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