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76" w:lineRule="auto" w:before="400" w:after="0"/>
        <w:ind w:firstLine="0"/>
        <w:jc w:val="center"/>
      </w:pPr>
      <w:r>
        <w:rPr>
          <w:rFonts w:ascii="HY신명조" w:hAnsi="HY신명조" w:eastAsia="HY신명조" w:cs="HY신명조"/>
          <w:b/>
          <w:i w:val="0"/>
          <w:color w:val="000000"/>
          <w:sz w:val="32"/>
        </w:rPr>
        <w:t>석 사 학 위 청 구 논 문</w:t>
      </w:r>
    </w:p>
    <w:p>
      <w:pPr>
        <w:keepLines/>
        <w:spacing w:line="276" w:lineRule="auto" w:before="1800" w:after="0"/>
        <w:ind w:firstLine="0"/>
        <w:jc w:val="center"/>
      </w:pPr>
      <w:r>
        <w:rPr>
          <w:rFonts w:ascii="HY신명조" w:hAnsi="HY신명조" w:eastAsia="HY신명조" w:cs="HY신명조"/>
          <w:b/>
          <w:i w:val="0"/>
          <w:color w:val="000000"/>
          <w:sz w:val="36"/>
        </w:rPr>
        <w:t>서울시 아파트 매매가격 구조 분석</w:t>
      </w:r>
    </w:p>
    <w:p>
      <w:pPr>
        <w:keepLines/>
        <w:spacing w:line="276" w:lineRule="auto" w:before="40" w:after="0"/>
        <w:ind w:firstLine="0"/>
        <w:jc w:val="center"/>
      </w:pPr>
      <w:r>
        <w:rPr>
          <w:rFonts w:ascii="HY신명조" w:hAnsi="HY신명조" w:eastAsia="HY신명조" w:cs="HY신명조"/>
          <w:b/>
          <w:i w:val="0"/>
          <w:color w:val="000000"/>
          <w:sz w:val="28"/>
        </w:rPr>
        <w:t>- 거리 기반 접근성과 시공간 이질성을 중심으로 -</w:t>
      </w:r>
    </w:p>
    <w:p>
      <w:pPr>
        <w:keepLines/>
        <w:spacing w:line="276" w:lineRule="auto" w:before="20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1280" w:after="0"/>
        <w:ind w:firstLine="0"/>
        <w:jc w:val="center"/>
      </w:pPr>
      <w:r>
        <w:rPr>
          <w:rFonts w:ascii="HY신명조" w:hAnsi="HY신명조" w:eastAsia="HY신명조" w:cs="HY신명조"/>
          <w:b/>
          <w:i w:val="0"/>
          <w:color w:val="000000"/>
          <w:sz w:val="32"/>
        </w:rPr>
        <w:t>박  현  근</w:t>
      </w:r>
    </w:p>
    <w:p>
      <w:pPr>
        <w:keepLines/>
        <w:spacing w:line="276" w:lineRule="auto" w:before="148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1160" w:after="0"/>
        <w:ind w:firstLine="0"/>
        <w:jc w:val="center"/>
      </w:pPr>
      <w:r>
        <w:rPr>
          <w:rFonts w:ascii="HY신명조" w:hAnsi="HY신명조" w:eastAsia="HY신명조" w:cs="HY신명조"/>
          <w:b/>
          <w:i w:val="0"/>
          <w:color w:val="000000"/>
          <w:sz w:val="28"/>
        </w:rPr>
        <w:t>2026 년  8 월</w:t>
      </w:r>
    </w:p>
    <w:p>
      <w:r>
        <w:br w:type="page"/>
      </w:r>
    </w:p>
    <w:p>
      <w:pPr>
        <w:keepLines/>
        <w:spacing w:line="276" w:lineRule="auto" w:before="0" w:after="0"/>
        <w:ind w:firstLine="0"/>
        <w:jc w:val="center"/>
      </w:pPr>
      <w:r>
        <w:rPr>
          <w:rFonts w:ascii="HY신명조" w:hAnsi="HY신명조" w:eastAsia="HY신명조" w:cs="HY신명조"/>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34"/>
        </w:rPr>
        <w:t>서울시 아파트 매매가격 구조 분석</w:t>
      </w:r>
    </w:p>
    <w:p>
      <w:pPr>
        <w:keepLines/>
        <w:spacing w:line="276" w:lineRule="auto" w:before="0" w:after="0"/>
        <w:ind w:firstLine="0"/>
        <w:jc w:val="center"/>
      </w:pPr>
      <w:r>
        <w:rPr>
          <w:rFonts w:ascii="HY신명조" w:hAnsi="HY신명조" w:eastAsia="HY신명조" w:cs="HY신명조"/>
          <w:b/>
          <w:i w:val="0"/>
          <w:color w:val="000000"/>
          <w:sz w:val="26"/>
        </w:rPr>
        <w:t>- 거리 기반 접근성과 시공간 이질성을 중심으로 -</w:t>
      </w:r>
    </w:p>
    <w:p>
      <w:pPr>
        <w:keepLines/>
        <w:spacing w:line="276" w:lineRule="auto" w:before="8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520" w:after="0"/>
        <w:ind w:firstLine="0"/>
        <w:jc w:val="center"/>
      </w:pPr>
      <w:r>
        <w:rPr>
          <w:rFonts w:ascii="HY신명조" w:hAnsi="HY신명조" w:eastAsia="HY신명조" w:cs="HY신명조"/>
          <w:b/>
          <w:i w:val="0"/>
          <w:color w:val="000000"/>
          <w:sz w:val="28"/>
        </w:rPr>
        <w:t>지도교수  고  준  호</w:t>
      </w:r>
    </w:p>
    <w:p>
      <w:pPr>
        <w:keepLines/>
        <w:spacing w:line="276" w:lineRule="auto" w:before="600" w:after="0"/>
        <w:ind w:firstLine="0"/>
        <w:jc w:val="center"/>
      </w:pPr>
      <w:r>
        <w:rPr>
          <w:rFonts w:ascii="HY신명조" w:hAnsi="HY신명조" w:eastAsia="HY신명조" w:cs="HY신명조"/>
          <w:b w:val="0"/>
          <w:i w:val="0"/>
          <w:color w:val="000000"/>
          <w:sz w:val="24"/>
        </w:rPr>
        <w:t>이 논문을 공학 석사학위청구논문으로</w:t>
      </w:r>
    </w:p>
    <w:p>
      <w:pPr>
        <w:keepLines/>
        <w:spacing w:line="276" w:lineRule="auto" w:before="0" w:after="0"/>
        <w:ind w:firstLine="0"/>
        <w:jc w:val="center"/>
      </w:pPr>
      <w:r>
        <w:rPr>
          <w:rFonts w:ascii="HY신명조" w:hAnsi="HY신명조" w:eastAsia="HY신명조" w:cs="HY신명조"/>
          <w:b w:val="0"/>
          <w:i w:val="0"/>
          <w:color w:val="000000"/>
          <w:sz w:val="24"/>
        </w:rPr>
        <w:t>제출합니다.</w:t>
      </w:r>
    </w:p>
    <w:p>
      <w:pPr>
        <w:keepLines/>
        <w:spacing w:line="276" w:lineRule="auto" w:before="600" w:after="0"/>
        <w:ind w:firstLine="0"/>
        <w:jc w:val="center"/>
      </w:pPr>
      <w:r>
        <w:rPr>
          <w:rFonts w:ascii="HY신명조" w:hAnsi="HY신명조" w:eastAsia="HY신명조" w:cs="HY신명조"/>
          <w:b/>
          <w:i w:val="0"/>
          <w:color w:val="000000"/>
          <w:sz w:val="28"/>
        </w:rPr>
        <w:t>2026 년  8 월</w:t>
      </w:r>
    </w:p>
    <w:p>
      <w:pPr>
        <w:keepLines/>
        <w:spacing w:line="276" w:lineRule="auto" w:before="44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0" w:after="0"/>
        <w:ind w:firstLine="0"/>
        <w:jc w:val="center"/>
      </w:pPr>
      <w:r>
        <w:rPr>
          <w:rFonts w:ascii="HY신명조" w:hAnsi="HY신명조" w:eastAsia="HY신명조" w:cs="HY신명조"/>
          <w:b w:val="0"/>
          <w:i w:val="0"/>
          <w:color w:val="000000"/>
          <w:sz w:val="26"/>
        </w:rPr>
        <w:t>도 시 · 부 동 산 빅 데 이 터 전 공</w:t>
      </w:r>
    </w:p>
    <w:p>
      <w:pPr>
        <w:keepLines/>
        <w:spacing w:line="276" w:lineRule="auto" w:before="440" w:after="0"/>
        <w:ind w:firstLine="0"/>
        <w:jc w:val="center"/>
      </w:pPr>
      <w:r>
        <w:rPr>
          <w:rFonts w:ascii="HY신명조" w:hAnsi="HY신명조" w:eastAsia="HY신명조" w:cs="HY신명조"/>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val="0"/>
          <w:i w:val="0"/>
          <w:color w:val="000000"/>
          <w:sz w:val="28"/>
        </w:rPr>
        <w:t>이 논문을 박현근의</w:t>
      </w:r>
    </w:p>
    <w:p>
      <w:pPr>
        <w:keepLines/>
        <w:spacing w:line="276" w:lineRule="auto" w:before="0" w:after="0"/>
        <w:ind w:firstLine="0"/>
        <w:jc w:val="center"/>
      </w:pPr>
      <w:r>
        <w:rPr>
          <w:rFonts w:ascii="HY신명조" w:hAnsi="HY신명조" w:eastAsia="HY신명조" w:cs="HY신명조"/>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2026 년  8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HY신명조" w:hAnsi="HY신명조" w:eastAsia="HY신명조" w:cs="HY신명조"/>
          <w:b w:val="0"/>
          <w:i w:val="0"/>
          <w:color w:val="000000"/>
          <w:sz w:val="28"/>
        </w:rPr>
        <w:t>심 사 위 원 장 :  조  미  정  (인)</w:t>
      </w:r>
    </w:p>
    <w:p>
      <w:pPr>
        <w:spacing w:after="480"/>
        <w:ind w:firstLine="0"/>
        <w:jc w:val="center"/>
      </w:pPr>
      <w:r>
        <w:rPr>
          <w:rFonts w:ascii="HY신명조" w:hAnsi="HY신명조" w:eastAsia="HY신명조" w:cs="HY신명조"/>
          <w:b w:val="0"/>
          <w:i w:val="0"/>
          <w:color w:val="000000"/>
          <w:sz w:val="28"/>
        </w:rPr>
        <w:t>심  사  위  원 :  엄  선  용  (인)</w:t>
      </w:r>
    </w:p>
    <w:p>
      <w:pPr>
        <w:spacing w:after="480"/>
        <w:ind w:firstLine="0"/>
        <w:jc w:val="center"/>
      </w:pPr>
      <w:r>
        <w:rPr>
          <w:rFonts w:ascii="HY신명조" w:hAnsi="HY신명조" w:eastAsia="HY신명조" w:cs="HY신명조"/>
          <w:b w:val="0"/>
          <w:i w:val="0"/>
          <w:color w:val="000000"/>
          <w:sz w:val="28"/>
        </w:rPr>
        <w:t>심  사  위  원 :  고  준  호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240" w:after="200"/>
        <w:ind w:firstLine="0"/>
        <w:jc w:val="center"/>
      </w:pPr>
      <w:bookmarkStart w:id="1001" w:name="bm_h_2"/>
      <w:r>
        <w:rPr>
          <w:rFonts w:ascii="HY신명조" w:hAnsi="HY신명조" w:eastAsia="HY신명조" w:cs="HY신명조"/>
          <w:b/>
          <w:i w:val="0"/>
          <w:color w:val="000000"/>
          <w:sz w:val="32"/>
        </w:rPr>
        <w:t>목차</w:t>
      </w:r>
      <w:bookmarkEnd w:id="1001"/>
    </w:p>
    <w:p>
      <w:pPr>
        <w:tabs>
          <w:tab w:pos="7937" w:val="right" w:leader="dot"/>
        </w:tabs>
        <w:spacing w:line="348" w:lineRule="auto" w:after="0"/>
        <w:ind w:firstLine="0" w:left="0"/>
        <w:jc w:val="left"/>
      </w:pPr>
      <w:r>
        <w:rPr>
          <w:rFonts w:ascii="HY신명조" w:hAnsi="HY신명조" w:eastAsia="HY신명조" w:cs="HY신명조"/>
          <w:b/>
          <w:i w:val="0"/>
          <w:color w:val="000000"/>
          <w:sz w:val="22"/>
        </w:rPr>
        <w:t>제1장 서론</w:t>
      </w:r>
      <w:r>
        <w:rPr>
          <w:rFonts w:ascii="HY신명조" w:hAnsi="HY신명조" w:eastAsia="HY신명조" w:cs="HY신명조"/>
          <w:b/>
          <w:i w:val="0"/>
          <w:color w:val="000000"/>
          <w:sz w:val="22"/>
        </w:rPr>
        <w:tab/>
      </w:r>
      <w:r>
        <w:rPr>
          <w:rFonts w:eastAsia="HY신명조"/>
          <w:sz w:val="22"/>
          <w:b/>
        </w:rPr>
        <w:t>1</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제1절 연구의 배경 및 목적</w:t>
      </w:r>
      <w:r>
        <w:rPr>
          <w:rFonts w:ascii="HY신명조" w:hAnsi="HY신명조" w:eastAsia="HY신명조" w:cs="HY신명조"/>
          <w:b w:val="0"/>
          <w:i w:val="0"/>
          <w:color w:val="000000"/>
          <w:sz w:val="22"/>
        </w:rPr>
        <w:tab/>
      </w:r>
      <w:r>
        <w:rPr>
          <w:rFonts w:eastAsia="HY신명조"/>
          <w:sz w:val="22"/>
        </w:rPr>
        <w:t>1</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제2절 연구의 범위</w:t>
      </w:r>
      <w:r>
        <w:rPr>
          <w:rFonts w:ascii="HY신명조" w:hAnsi="HY신명조" w:eastAsia="HY신명조" w:cs="HY신명조"/>
          <w:b w:val="0"/>
          <w:i w:val="0"/>
          <w:color w:val="000000"/>
          <w:sz w:val="22"/>
        </w:rPr>
        <w:tab/>
      </w:r>
      <w:r>
        <w:rPr>
          <w:rFonts w:eastAsia="HY신명조"/>
          <w:sz w:val="22"/>
        </w:rPr>
        <w:t>4</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제3절 연구 방법 및 과정</w:t>
      </w:r>
      <w:r>
        <w:rPr>
          <w:rFonts w:ascii="HY신명조" w:hAnsi="HY신명조" w:eastAsia="HY신명조" w:cs="HY신명조"/>
          <w:b w:val="0"/>
          <w:i w:val="0"/>
          <w:color w:val="000000"/>
          <w:sz w:val="22"/>
        </w:rPr>
        <w:tab/>
      </w:r>
      <w:r>
        <w:rPr>
          <w:rFonts w:eastAsia="HY신명조"/>
          <w:sz w:val="22"/>
        </w:rPr>
        <w:t>5</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제2장 이론적 배경 및 선행연구</w:t>
      </w:r>
      <w:r>
        <w:rPr>
          <w:rFonts w:ascii="HY신명조" w:hAnsi="HY신명조" w:eastAsia="HY신명조" w:cs="HY신명조"/>
          <w:b/>
          <w:i w:val="0"/>
          <w:color w:val="000000"/>
          <w:sz w:val="22"/>
        </w:rPr>
        <w:tab/>
      </w:r>
      <w:r>
        <w:rPr>
          <w:rFonts w:eastAsia="HY신명조"/>
          <w:sz w:val="22"/>
          <w:b/>
        </w:rPr>
        <w:t>8</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제1절 헤도닉 가격모형</w:t>
      </w:r>
      <w:r>
        <w:rPr>
          <w:rFonts w:ascii="HY신명조" w:hAnsi="HY신명조" w:eastAsia="HY신명조" w:cs="HY신명조"/>
          <w:b w:val="0"/>
          <w:i w:val="0"/>
          <w:color w:val="000000"/>
          <w:sz w:val="22"/>
        </w:rPr>
        <w:tab/>
      </w:r>
      <w:r>
        <w:rPr>
          <w:rFonts w:eastAsia="HY신명조"/>
          <w:sz w:val="22"/>
        </w:rPr>
        <w:t>8</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제2절 머신러닝 기반 부동산 가격 예측</w:t>
      </w:r>
      <w:r>
        <w:rPr>
          <w:rFonts w:ascii="HY신명조" w:hAnsi="HY신명조" w:eastAsia="HY신명조" w:cs="HY신명조"/>
          <w:b w:val="0"/>
          <w:i w:val="0"/>
          <w:color w:val="000000"/>
          <w:sz w:val="22"/>
        </w:rPr>
        <w:tab/>
      </w:r>
      <w:r>
        <w:rPr>
          <w:rFonts w:eastAsia="HY신명조"/>
          <w:sz w:val="22"/>
        </w:rPr>
        <w:t>11</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제3절 설명가능한 인공지능(XAI)</w:t>
      </w:r>
      <w:r>
        <w:rPr>
          <w:rFonts w:ascii="HY신명조" w:hAnsi="HY신명조" w:eastAsia="HY신명조" w:cs="HY신명조"/>
          <w:b w:val="0"/>
          <w:i w:val="0"/>
          <w:color w:val="000000"/>
          <w:sz w:val="22"/>
        </w:rPr>
        <w:tab/>
      </w:r>
      <w:r>
        <w:rPr>
          <w:rFonts w:eastAsia="HY신명조"/>
          <w:sz w:val="22"/>
        </w:rPr>
        <w:t>14</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제4절 선행연구 검토 및 차별성</w:t>
      </w:r>
      <w:r>
        <w:rPr>
          <w:rFonts w:ascii="HY신명조" w:hAnsi="HY신명조" w:eastAsia="HY신명조" w:cs="HY신명조"/>
          <w:b w:val="0"/>
          <w:i w:val="0"/>
          <w:color w:val="000000"/>
          <w:sz w:val="22"/>
        </w:rPr>
        <w:tab/>
      </w:r>
      <w:r>
        <w:rPr>
          <w:rFonts w:eastAsia="HY신명조"/>
          <w:sz w:val="22"/>
        </w:rPr>
        <w:t>17</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제3장 분석의 틀</w:t>
      </w:r>
      <w:r>
        <w:rPr>
          <w:rFonts w:ascii="HY신명조" w:hAnsi="HY신명조" w:eastAsia="HY신명조" w:cs="HY신명조"/>
          <w:b/>
          <w:i w:val="0"/>
          <w:color w:val="000000"/>
          <w:sz w:val="22"/>
        </w:rPr>
        <w:tab/>
      </w:r>
      <w:r>
        <w:rPr>
          <w:rFonts w:eastAsia="HY신명조"/>
          <w:sz w:val="22"/>
          <w:b/>
        </w:rPr>
        <w:t>22</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제1절 연구 방법</w:t>
      </w:r>
      <w:r>
        <w:rPr>
          <w:rFonts w:ascii="HY신명조" w:hAnsi="HY신명조" w:eastAsia="HY신명조" w:cs="HY신명조"/>
          <w:b w:val="0"/>
          <w:i w:val="0"/>
          <w:color w:val="000000"/>
          <w:sz w:val="22"/>
        </w:rPr>
        <w:tab/>
      </w:r>
      <w:r>
        <w:rPr>
          <w:rFonts w:eastAsia="HY신명조"/>
          <w:sz w:val="22"/>
        </w:rPr>
        <w:t>22</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제2절 변수의 정의 및 구축</w:t>
      </w:r>
      <w:r>
        <w:rPr>
          <w:rFonts w:ascii="HY신명조" w:hAnsi="HY신명조" w:eastAsia="HY신명조" w:cs="HY신명조"/>
          <w:b w:val="0"/>
          <w:i w:val="0"/>
          <w:color w:val="000000"/>
          <w:sz w:val="22"/>
        </w:rPr>
        <w:tab/>
      </w:r>
      <w:r>
        <w:rPr>
          <w:rFonts w:eastAsia="HY신명조"/>
          <w:sz w:val="22"/>
        </w:rPr>
        <w:t>23</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제3절 연구 모형</w:t>
      </w:r>
      <w:r>
        <w:rPr>
          <w:rFonts w:ascii="HY신명조" w:hAnsi="HY신명조" w:eastAsia="HY신명조" w:cs="HY신명조"/>
          <w:b w:val="0"/>
          <w:i w:val="0"/>
          <w:color w:val="000000"/>
          <w:sz w:val="22"/>
        </w:rPr>
        <w:tab/>
      </w:r>
      <w:r>
        <w:rPr>
          <w:rFonts w:eastAsia="HY신명조"/>
          <w:sz w:val="22"/>
        </w:rPr>
        <w:t>28</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제4장 실증 분석</w:t>
      </w:r>
      <w:r>
        <w:rPr>
          <w:rFonts w:ascii="HY신명조" w:hAnsi="HY신명조" w:eastAsia="HY신명조" w:cs="HY신명조"/>
          <w:b/>
          <w:i w:val="0"/>
          <w:color w:val="000000"/>
          <w:sz w:val="22"/>
        </w:rPr>
        <w:tab/>
      </w:r>
      <w:r>
        <w:rPr>
          <w:rFonts w:eastAsia="HY신명조"/>
          <w:sz w:val="22"/>
          <w:b/>
        </w:rPr>
        <w:t>33</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제1절 기술통계 및 변수 분포</w:t>
      </w:r>
      <w:r>
        <w:rPr>
          <w:rFonts w:ascii="HY신명조" w:hAnsi="HY신명조" w:eastAsia="HY신명조" w:cs="HY신명조"/>
          <w:b w:val="0"/>
          <w:i w:val="0"/>
          <w:color w:val="000000"/>
          <w:sz w:val="22"/>
        </w:rPr>
        <w:tab/>
      </w:r>
      <w:r>
        <w:rPr>
          <w:rFonts w:eastAsia="HY신명조"/>
          <w:sz w:val="22"/>
        </w:rPr>
        <w:t>33</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제2절 모형별 예측 성능 비교</w:t>
      </w:r>
      <w:r>
        <w:rPr>
          <w:rFonts w:ascii="HY신명조" w:hAnsi="HY신명조" w:eastAsia="HY신명조" w:cs="HY신명조"/>
          <w:b w:val="0"/>
          <w:i w:val="0"/>
          <w:color w:val="000000"/>
          <w:sz w:val="22"/>
        </w:rPr>
        <w:tab/>
      </w:r>
      <w:r>
        <w:rPr>
          <w:rFonts w:eastAsia="HY신명조"/>
          <w:sz w:val="22"/>
        </w:rPr>
        <w:t>37</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제3절 소거분석(Ablation) — 공간 정합과 시간 정합의 정량 분해</w:t>
      </w:r>
      <w:r>
        <w:rPr>
          <w:rFonts w:ascii="HY신명조" w:hAnsi="HY신명조" w:eastAsia="HY신명조" w:cs="HY신명조"/>
          <w:b w:val="0"/>
          <w:i w:val="0"/>
          <w:color w:val="000000"/>
          <w:sz w:val="22"/>
        </w:rPr>
        <w:tab/>
      </w:r>
      <w:r>
        <w:rPr>
          <w:rFonts w:eastAsia="HY신명조"/>
          <w:sz w:val="22"/>
        </w:rPr>
        <w:t>39</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제4절 전체 SHAP 분석 — 가격 예측 기여 구조</w:t>
      </w:r>
      <w:r>
        <w:rPr>
          <w:rFonts w:ascii="HY신명조" w:hAnsi="HY신명조" w:eastAsia="HY신명조" w:cs="HY신명조"/>
          <w:b w:val="0"/>
          <w:i w:val="0"/>
          <w:color w:val="000000"/>
          <w:sz w:val="22"/>
        </w:rPr>
        <w:tab/>
      </w:r>
      <w:r>
        <w:rPr>
          <w:rFonts w:eastAsia="HY신명조"/>
          <w:sz w:val="22"/>
        </w:rPr>
        <w:t>41</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제5절 권역별 SHAP 분석 — 강남3구와 비강남의 구성 차이</w:t>
      </w:r>
      <w:r>
        <w:rPr>
          <w:rFonts w:ascii="HY신명조" w:hAnsi="HY신명조" w:eastAsia="HY신명조" w:cs="HY신명조"/>
          <w:b w:val="0"/>
          <w:i w:val="0"/>
          <w:color w:val="000000"/>
          <w:sz w:val="22"/>
        </w:rPr>
        <w:tab/>
      </w:r>
      <w:r>
        <w:rPr>
          <w:rFonts w:eastAsia="HY신명조"/>
          <w:sz w:val="22"/>
        </w:rPr>
        <w:t>46</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제6절 연도별 SHAP 분석 — 시장 국면별 기여도 변동</w:t>
      </w:r>
      <w:r>
        <w:rPr>
          <w:rFonts w:ascii="HY신명조" w:hAnsi="HY신명조" w:eastAsia="HY신명조" w:cs="HY신명조"/>
          <w:b w:val="0"/>
          <w:i w:val="0"/>
          <w:color w:val="000000"/>
          <w:sz w:val="22"/>
        </w:rPr>
        <w:tab/>
      </w:r>
      <w:r>
        <w:rPr>
          <w:rFonts w:eastAsia="HY신명조"/>
          <w:sz w:val="22"/>
        </w:rPr>
        <w:t>48</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제7절 연도×권역 교차 SHAP 분석 — 시공간 이질성의 실증</w:t>
      </w:r>
      <w:r>
        <w:rPr>
          <w:rFonts w:ascii="HY신명조" w:hAnsi="HY신명조" w:eastAsia="HY신명조" w:cs="HY신명조"/>
          <w:b w:val="0"/>
          <w:i w:val="0"/>
          <w:color w:val="000000"/>
          <w:sz w:val="22"/>
        </w:rPr>
        <w:tab/>
      </w:r>
      <w:r>
        <w:rPr>
          <w:rFonts w:eastAsia="HY신명조"/>
          <w:sz w:val="22"/>
        </w:rPr>
        <w:t>50</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제5장 결론</w:t>
      </w:r>
      <w:r>
        <w:rPr>
          <w:rFonts w:ascii="HY신명조" w:hAnsi="HY신명조" w:eastAsia="HY신명조" w:cs="HY신명조"/>
          <w:b/>
          <w:i w:val="0"/>
          <w:color w:val="000000"/>
          <w:sz w:val="22"/>
        </w:rPr>
        <w:tab/>
      </w:r>
      <w:r>
        <w:rPr>
          <w:rFonts w:eastAsia="HY신명조"/>
          <w:sz w:val="22"/>
          <w:b/>
        </w:rPr>
        <w:t>54</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제1절 연구 결과 요약</w:t>
      </w:r>
      <w:r>
        <w:rPr>
          <w:rFonts w:ascii="HY신명조" w:hAnsi="HY신명조" w:eastAsia="HY신명조" w:cs="HY신명조"/>
          <w:b w:val="0"/>
          <w:i w:val="0"/>
          <w:color w:val="000000"/>
          <w:sz w:val="22"/>
        </w:rPr>
        <w:tab/>
      </w:r>
      <w:r>
        <w:rPr>
          <w:rFonts w:eastAsia="HY신명조"/>
          <w:sz w:val="22"/>
        </w:rPr>
        <w:t>54</w:t>
      </w:r>
    </w:p>
    <w:p>
      <w:pPr>
        <w:tabs>
          <w:tab w:pos="7937" w:val="right" w:leader="dot"/>
        </w:tabs>
        <w:spacing w:line="348" w:lineRule="auto" w:after="0"/>
        <w:ind w:firstLine="0" w:left="397"/>
        <w:jc w:val="left"/>
      </w:pPr>
      <w:r>
        <w:rPr>
          <w:rFonts w:ascii="HY신명조" w:hAnsi="HY신명조" w:eastAsia="HY신명조" w:cs="HY신명조"/>
          <w:b w:val="0"/>
          <w:i w:val="0"/>
          <w:color w:val="000000"/>
          <w:sz w:val="22"/>
        </w:rPr>
        <w:t>제2절 연구의 한계 및 향후 과제</w:t>
      </w:r>
      <w:r>
        <w:rPr>
          <w:rFonts w:ascii="HY신명조" w:hAnsi="HY신명조" w:eastAsia="HY신명조" w:cs="HY신명조"/>
          <w:b w:val="0"/>
          <w:i w:val="0"/>
          <w:color w:val="000000"/>
          <w:sz w:val="22"/>
        </w:rPr>
        <w:tab/>
      </w:r>
      <w:r>
        <w:rPr>
          <w:rFonts w:eastAsia="HY신명조"/>
          <w:sz w:val="22"/>
        </w:rPr>
        <w:t>56</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참고문헌</w:t>
      </w:r>
      <w:r>
        <w:rPr>
          <w:rFonts w:ascii="HY신명조" w:hAnsi="HY신명조" w:eastAsia="HY신명조" w:cs="HY신명조"/>
          <w:b/>
          <w:i w:val="0"/>
          <w:color w:val="000000"/>
          <w:sz w:val="22"/>
        </w:rPr>
        <w:tab/>
      </w:r>
      <w:r>
        <w:rPr>
          <w:rFonts w:eastAsia="HY신명조"/>
          <w:sz w:val="22"/>
          <w:b/>
        </w:rPr>
        <w:t>58</w:t>
      </w:r>
    </w:p>
    <w:p>
      <w:pPr>
        <w:tabs>
          <w:tab w:pos="7937" w:val="right" w:leader="dot"/>
        </w:tabs>
        <w:spacing w:line="348" w:lineRule="auto" w:after="0"/>
        <w:ind w:firstLine="0" w:left="0"/>
        <w:jc w:val="left"/>
      </w:pPr>
      <w:r>
        <w:rPr>
          <w:rFonts w:ascii="HY신명조" w:hAnsi="HY신명조" w:eastAsia="HY신명조" w:cs="HY신명조"/>
          <w:b/>
          <w:i w:val="0"/>
          <w:color w:val="000000"/>
          <w:sz w:val="22"/>
        </w:rPr>
        <w:t>Abstract</w:t>
      </w:r>
      <w:r>
        <w:rPr>
          <w:rFonts w:ascii="HY신명조" w:hAnsi="HY신명조" w:eastAsia="HY신명조" w:cs="HY신명조"/>
          <w:b/>
          <w:i w:val="0"/>
          <w:color w:val="000000"/>
          <w:sz w:val="22"/>
        </w:rPr>
        <w:tab/>
      </w:r>
      <w:r>
        <w:rPr>
          <w:rFonts w:eastAsia="HY신명조"/>
          <w:sz w:val="22"/>
          <w:b/>
        </w:rPr>
        <w:t>64</w:t>
      </w:r>
    </w:p>
    <w:p>
      <w:pPr>
        <w:pStyle w:val="Heading1"/>
        <w:keepNext/>
        <w:pageBreakBefore/>
        <w:spacing w:line="384" w:lineRule="auto" w:before="240" w:after="200"/>
        <w:ind w:firstLine="0"/>
        <w:jc w:val="center"/>
      </w:pPr>
      <w:bookmarkStart w:id="1002" w:name="bm_h_3"/>
      <w:r>
        <w:rPr>
          <w:rFonts w:ascii="HY신명조" w:hAnsi="HY신명조" w:eastAsia="HY신명조" w:cs="HY신명조"/>
          <w:b/>
          <w:i w:val="0"/>
          <w:color w:val="000000"/>
          <w:sz w:val="32"/>
        </w:rPr>
        <w:t>표 목차</w:t>
      </w:r>
      <w:bookmarkEnd w:id="1002"/>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3-1&gt; 종속변수 및 독립변수 정의 · 데이터 출처</w:t>
      </w:r>
      <w:r>
        <w:rPr>
          <w:rFonts w:ascii="HY신명조" w:hAnsi="HY신명조" w:eastAsia="HY신명조" w:cs="HY신명조"/>
          <w:b w:val="0"/>
          <w:i w:val="0"/>
          <w:color w:val="000000"/>
          <w:sz w:val="21"/>
        </w:rPr>
        <w:tab/>
      </w:r>
      <w:r>
        <w:rPr>
          <w:rFonts w:eastAsia="HY신명조"/>
          <w:sz w:val="21.0"/>
        </w:rPr>
        <w:t>25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4-1&gt; 종속변수 및 주요 변수 기술통계</w:t>
      </w:r>
      <w:r>
        <w:rPr>
          <w:rFonts w:ascii="HY신명조" w:hAnsi="HY신명조" w:eastAsia="HY신명조" w:cs="HY신명조"/>
          <w:b w:val="0"/>
          <w:i w:val="0"/>
          <w:color w:val="000000"/>
          <w:sz w:val="21"/>
        </w:rPr>
        <w:tab/>
      </w:r>
      <w:r>
        <w:rPr>
          <w:rFonts w:eastAsia="HY신명조"/>
          <w:sz w:val="21.0"/>
        </w:rPr>
        <w:t>34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4-2&gt; 주요 거리 기반 변수 분포 (단지 8,601 기준 중앙값 · 백분위)</w:t>
      </w:r>
      <w:r>
        <w:rPr>
          <w:rFonts w:ascii="HY신명조" w:hAnsi="HY신명조" w:eastAsia="HY신명조" w:cs="HY신명조"/>
          <w:b w:val="0"/>
          <w:i w:val="0"/>
          <w:color w:val="000000"/>
          <w:sz w:val="21"/>
        </w:rPr>
        <w:tab/>
      </w:r>
      <w:r>
        <w:rPr>
          <w:rFonts w:eastAsia="HY신명조"/>
          <w:sz w:val="21.0"/>
        </w:rPr>
        <w:t>35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4-3&gt; 주요 시설 도보 추정 시간 분포 (단지 8,601, 분 단위)</w:t>
      </w:r>
      <w:r>
        <w:rPr>
          <w:rFonts w:ascii="HY신명조" w:hAnsi="HY신명조" w:eastAsia="HY신명조" w:cs="HY신명조"/>
          <w:b w:val="0"/>
          <w:i w:val="0"/>
          <w:color w:val="000000"/>
          <w:sz w:val="21"/>
        </w:rPr>
        <w:tab/>
      </w:r>
      <w:r>
        <w:rPr>
          <w:rFonts w:eastAsia="HY신명조"/>
          <w:sz w:val="21.0"/>
        </w:rPr>
        <w:t>36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4-4&gt; 모형별 · 분할별 예측 성능 비교 (종속변수 log (㎡당 가격))</w:t>
      </w:r>
      <w:r>
        <w:rPr>
          <w:rFonts w:ascii="HY신명조" w:hAnsi="HY신명조" w:eastAsia="HY신명조" w:cs="HY신명조"/>
          <w:b w:val="0"/>
          <w:i w:val="0"/>
          <w:color w:val="000000"/>
          <w:sz w:val="21"/>
        </w:rPr>
        <w:tab/>
      </w:r>
      <w:r>
        <w:rPr>
          <w:rFonts w:eastAsia="HY신명조"/>
          <w:sz w:val="21.0"/>
        </w:rPr>
        <w:t>37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4-5&gt; 행정동 집계 기준선 대비 거리 기반 비교모형 변화</w:t>
      </w:r>
      <w:r>
        <w:rPr>
          <w:rFonts w:ascii="HY신명조" w:hAnsi="HY신명조" w:eastAsia="HY신명조" w:cs="HY신명조"/>
          <w:b w:val="0"/>
          <w:i w:val="0"/>
          <w:color w:val="000000"/>
          <w:sz w:val="21"/>
        </w:rPr>
        <w:tab/>
      </w:r>
      <w:r>
        <w:rPr>
          <w:rFonts w:eastAsia="HY신명조"/>
          <w:sz w:val="21.0"/>
        </w:rPr>
        <w:t>38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4-6&gt; 소거분석 시나리오 구성</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4-7&gt; 소거분석 시나리오별 XGBoost R² (동일 테스트 조건)</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4-8&gt; SHAP 기여도 상위 15 변수 (전체 모형)</w:t>
      </w:r>
      <w:r>
        <w:rPr>
          <w:rFonts w:ascii="HY신명조" w:hAnsi="HY신명조" w:eastAsia="HY신명조" w:cs="HY신명조"/>
          <w:b w:val="0"/>
          <w:i w:val="0"/>
          <w:color w:val="000000"/>
          <w:sz w:val="21"/>
        </w:rPr>
        <w:tab/>
      </w:r>
      <w:r>
        <w:rPr>
          <w:rFonts w:eastAsia="HY신명조"/>
          <w:sz w:val="21.0"/>
        </w:rPr>
        <w:t>41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4-9&gt; 권역별 독립 모형의 예측 성능</w:t>
      </w:r>
      <w:r>
        <w:rPr>
          <w:rFonts w:ascii="HY신명조" w:hAnsi="HY신명조" w:eastAsia="HY신명조" w:cs="HY신명조"/>
          <w:b w:val="0"/>
          <w:i w:val="0"/>
          <w:color w:val="000000"/>
          <w:sz w:val="21"/>
        </w:rPr>
        <w:tab/>
      </w:r>
      <w:r>
        <w:rPr>
          <w:rFonts w:eastAsia="HY신명조"/>
          <w:sz w:val="21.0"/>
        </w:rPr>
        <w:t>46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4-10&gt; 권역별 SHAP 상위 5개 변수 (전체 기간 2019-2025)</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4-11&gt; 연도별 전체 모형 XGBoost 예측 성능</w:t>
      </w:r>
      <w:r>
        <w:rPr>
          <w:rFonts w:ascii="HY신명조" w:hAnsi="HY신명조" w:eastAsia="HY신명조" w:cs="HY신명조"/>
          <w:b w:val="0"/>
          <w:i w:val="0"/>
          <w:color w:val="000000"/>
          <w:sz w:val="21"/>
        </w:rPr>
        <w:tab/>
      </w:r>
      <w:r>
        <w:rPr>
          <w:rFonts w:eastAsia="HY신명조"/>
          <w:sz w:val="21.0"/>
        </w:rPr>
        <w:t>48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4-12&gt; 전체 모형 연도별 SHAP 상위 5 변수</w:t>
      </w:r>
      <w:r>
        <w:rPr>
          <w:rFonts w:ascii="HY신명조" w:hAnsi="HY신명조" w:eastAsia="HY신명조" w:cs="HY신명조"/>
          <w:b w:val="0"/>
          <w:i w:val="0"/>
          <w:color w:val="000000"/>
          <w:sz w:val="21"/>
        </w:rPr>
        <w:tab/>
      </w:r>
      <w:r>
        <w:rPr>
          <w:rFonts w:eastAsia="HY신명조"/>
          <w:sz w:val="21.0"/>
        </w:rPr>
        <w:t>49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4-13&gt; 연도×권역 XGBoost R² 피벗</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4-14&gt; 강남3구 연도별 SHAP 상위 3개 변수</w:t>
      </w:r>
      <w:r>
        <w:rPr>
          <w:rFonts w:ascii="HY신명조" w:hAnsi="HY신명조" w:eastAsia="HY신명조" w:cs="HY신명조"/>
          <w:b w:val="0"/>
          <w:i w:val="0"/>
          <w:color w:val="000000"/>
          <w:sz w:val="21"/>
        </w:rPr>
        <w:tab/>
      </w:r>
      <w:r>
        <w:rPr>
          <w:rFonts w:eastAsia="HY신명조"/>
          <w:sz w:val="21.0"/>
        </w:rPr>
        <w:t>51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4-15&gt; 비강남 연도별 SHAP 상위 5개 변수 (7년 고정 패턴)</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240" w:after="200"/>
        <w:ind w:firstLine="0"/>
        <w:jc w:val="center"/>
      </w:pPr>
      <w:bookmarkStart w:id="1003" w:name="bm_h_4"/>
      <w:r>
        <w:rPr>
          <w:rFonts w:ascii="HY신명조" w:hAnsi="HY신명조" w:eastAsia="HY신명조" w:cs="HY신명조"/>
          <w:b/>
          <w:i w:val="0"/>
          <w:color w:val="000000"/>
          <w:sz w:val="32"/>
        </w:rPr>
        <w:t>그림 목차</w:t>
      </w:r>
      <w:bookmarkEnd w:id="1003"/>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1-1&gt; 연구의 흐름도</w:t>
      </w:r>
      <w:r>
        <w:rPr>
          <w:rFonts w:ascii="HY신명조" w:hAnsi="HY신명조" w:eastAsia="HY신명조" w:cs="HY신명조"/>
          <w:b w:val="0"/>
          <w:i w:val="0"/>
          <w:color w:val="000000"/>
          <w:sz w:val="21"/>
        </w:rPr>
        <w:tab/>
      </w:r>
      <w:r>
        <w:rPr>
          <w:rFonts w:eastAsia="HY신명조"/>
          <w:sz w:val="21.0"/>
        </w:rPr>
        <w:t>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2-1&gt; XGBoost 알고리즘 개념도</w:t>
      </w:r>
      <w:r>
        <w:rPr>
          <w:rFonts w:ascii="HY신명조" w:hAnsi="HY신명조" w:eastAsia="HY신명조" w:cs="HY신명조"/>
          <w:b w:val="0"/>
          <w:i w:val="0"/>
          <w:color w:val="000000"/>
          <w:sz w:val="21"/>
        </w:rPr>
        <w:tab/>
      </w:r>
      <w:r>
        <w:rPr>
          <w:rFonts w:eastAsia="HY신명조"/>
          <w:sz w:val="21.0"/>
        </w:rPr>
        <w:t>13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2-2&gt; SHAP 분석 프레임워크</w:t>
      </w:r>
      <w:r>
        <w:rPr>
          <w:rFonts w:ascii="HY신명조" w:hAnsi="HY신명조" w:eastAsia="HY신명조" w:cs="HY신명조"/>
          <w:b w:val="0"/>
          <w:i w:val="0"/>
          <w:color w:val="000000"/>
          <w:sz w:val="21"/>
        </w:rPr>
        <w:tab/>
      </w:r>
      <w:r>
        <w:rPr>
          <w:rFonts w:eastAsia="HY신명조"/>
          <w:sz w:val="21.0"/>
        </w:rPr>
        <w:t>16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4-1&gt; 소거분석 시나리오별 XGBoost R²</w:t>
      </w:r>
      <w:r>
        <w:rPr>
          <w:rFonts w:ascii="HY신명조" w:hAnsi="HY신명조" w:eastAsia="HY신명조" w:cs="HY신명조"/>
          <w:b w:val="0"/>
          <w:i w:val="0"/>
          <w:color w:val="000000"/>
          <w:sz w:val="21"/>
        </w:rPr>
        <w:tab/>
      </w:r>
      <w:r>
        <w:rPr>
          <w:rFonts w:eastAsia="HY신명조"/>
          <w:sz w:val="21.0"/>
        </w:rPr>
        <w:t>40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4-2&gt; 전체 모형 SHAP 변수 중요도 상위 15</w:t>
      </w:r>
      <w:r>
        <w:rPr>
          <w:rFonts w:ascii="HY신명조" w:hAnsi="HY신명조" w:eastAsia="HY신명조" w:cs="HY신명조"/>
          <w:b w:val="0"/>
          <w:i w:val="0"/>
          <w:color w:val="000000"/>
          <w:sz w:val="21"/>
        </w:rPr>
        <w:tab/>
      </w:r>
      <w:r>
        <w:rPr>
          <w:rFonts w:eastAsia="HY신명조"/>
          <w:sz w:val="21.0"/>
        </w:rPr>
        <w:t>42</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4-3&gt; SHAP 요약도 — 변수 방향성 및 분포</w:t>
      </w:r>
      <w:r>
        <w:rPr>
          <w:rFonts w:ascii="HY신명조" w:hAnsi="HY신명조" w:eastAsia="HY신명조" w:cs="HY신명조"/>
          <w:b w:val="0"/>
          <w:i w:val="0"/>
          <w:color w:val="000000"/>
          <w:sz w:val="21"/>
        </w:rPr>
        <w:tab/>
      </w:r>
      <w:r>
        <w:rPr>
          <w:rFonts w:eastAsia="HY신명조"/>
          <w:sz w:val="21.0"/>
        </w:rPr>
        <w:t>43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4-4&gt; 건물연령 SHAP 의존도 — U자형</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4-5&gt; 어린이집 1km 내 개수 SHAP 의존도</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4-6&gt; 지하철 최근접거리 SHAP 의존도 — 임계반응형</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4-7&gt; 백화점 최근접거리 SHAP 의존도</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4-8&gt; 권역별 SHAP 상위 5개 변수 비교</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4-9&gt; 연도×권역 XGBoost R² 히트맵</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4-10&gt; 연도별 최상위 SHAP 변수 변화 (강남3구 vs 비강남)</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480" w:after="360"/>
        <w:ind w:firstLine="0"/>
        <w:jc w:val="center"/>
      </w:pPr>
      <w:bookmarkStart w:id="1004" w:name="bm_h_5"/>
      <w:r>
        <w:rPr>
          <w:rFonts w:ascii="HY신명조" w:hAnsi="HY신명조" w:eastAsia="HY신명조" w:cs="HY신명조"/>
          <w:b/>
          <w:i w:val="0"/>
          <w:color w:val="000000"/>
          <w:sz w:val="32"/>
        </w:rPr>
        <w:t>국문요지</w:t>
      </w:r>
      <w:bookmarkEnd w:id="100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랜덤 포레스트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분할 R²=0.927, 시간순 분할 R²=0.812, 단지 분할 R²=0.638로 OLS와 랜덤 포레스트를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매매가격 구조를 실증적으로 제시한다는 점에서 의의가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주요어 : 서울 아파트 매매가격, 거리 기반 접근성, 시점 정합, 시공간 이질성, 서울 아파트 시장, 예측 기여도</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bm_h_6"/>
      <w:r>
        <w:rPr>
          <w:rFonts w:ascii="HY신명조" w:hAnsi="HY신명조" w:eastAsia="HY신명조" w:cs="HY신명조"/>
          <w:b/>
          <w:i w:val="0"/>
          <w:color w:val="000000"/>
          <w:sz w:val="32"/>
        </w:rPr>
        <w:t>제1장 서론</w:t>
      </w:r>
      <w:bookmarkEnd w:id="1005"/>
    </w:p>
    <w:p>
      <w:pPr>
        <w:pStyle w:val="Heading2"/>
        <w:keepNext/>
        <w:spacing w:line="384" w:lineRule="auto" w:before="360" w:after="240"/>
        <w:ind w:firstLine="0"/>
        <w:jc w:val="left"/>
      </w:pPr>
      <w:bookmarkStart w:id="1006" w:name="bm_h_7"/>
      <w:r>
        <w:rPr>
          <w:rFonts w:ascii="HY신명조" w:hAnsi="HY신명조" w:eastAsia="HY신명조" w:cs="HY신명조"/>
          <w:b/>
          <w:i w:val="0"/>
          <w:color w:val="000000"/>
          <w:sz w:val="26"/>
        </w:rPr>
        <w:t>제1절 연구의 배경 및 목적</w:t>
      </w:r>
      <w:bookmarkEnd w:id="100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연구의 배경</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서울 아파트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위해 최근에는 머신러닝 (Machine Learning, ML) 기반의 부동산 가격 예측 연구가 활발히 진행되고 있다. 랜덤 포레스트,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대한 대안으로 최근 국제적으로 주목받고 있는 것이 설명가능한 인공지능 (eXplainable AI, XAI)이다. 특히 Lundberg &amp;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연구의 기여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랜덤 포레스트를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pPr>
        <w:pStyle w:val="Heading2"/>
        <w:keepNext/>
        <w:spacing w:line="384" w:lineRule="auto" w:before="360" w:after="240"/>
        <w:ind w:firstLine="0"/>
        <w:jc w:val="left"/>
      </w:pPr>
      <w:bookmarkStart w:id="1007" w:name="bm_h_8"/>
      <w:r>
        <w:rPr>
          <w:rFonts w:ascii="HY신명조" w:hAnsi="HY신명조" w:eastAsia="HY신명조" w:cs="HY신명조"/>
          <w:b/>
          <w:i w:val="0"/>
          <w:color w:val="000000"/>
          <w:sz w:val="26"/>
        </w:rPr>
        <w:t>제2절 연구의 범위</w:t>
      </w:r>
      <w:bookmarkEnd w:id="100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2"/>
        <w:keepNext/>
        <w:spacing w:line="384" w:lineRule="auto" w:before="360" w:after="240"/>
        <w:ind w:firstLine="0"/>
        <w:jc w:val="left"/>
      </w:pPr>
      <w:bookmarkStart w:id="1008" w:name="bm_h_9"/>
      <w:r>
        <w:rPr>
          <w:rFonts w:ascii="HY신명조" w:hAnsi="HY신명조" w:eastAsia="HY신명조" w:cs="HY신명조"/>
          <w:b/>
          <w:i w:val="0"/>
          <w:color w:val="000000"/>
          <w:sz w:val="26"/>
        </w:rPr>
        <w:t>제3절 연구 방법 및 과정</w:t>
      </w:r>
      <w:bookmarkEnd w:id="100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예측 모형은 다중회귀분석(OLS), 랜덤 포레스트,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분석에는 Python 프로그래밍 언어와 scikit-learn, xgboost, shap 등의 오픈소스 라이브러리를 활용하였다.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논문은 총 5개 장으로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제1장 서론에서는 연구의 배경과 목적, 연구 범위, 연구 방법 및 과정을 기술하였다.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제3장 분석의 틀에서는 분석 범위와 종속변수 정의, 단지 · 주택 특성 · 행정동 기반 변수 · 거리 기반 POI 변수 · 시점 정합 변수의 구성, 권역 구분 (강남3구 / 비강남), OLS · 랜덤 포레스트 · XGBoost 모형과 SHAP 해석, 무작위 · 단지 · 시간순 분할 검증 설계를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제4장 실증 분석은 일곱 개의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제5장 결론에서는 연구 결과를 요약하고, 인과 해석 제약, 거시 · 정책 변수 포함 범위, 도보 시간 근사, 미관측 시설 스냅샷 등 연구의 한계와 후속 연구 방향을 제시한다.</w:t>
      </w:r>
    </w:p>
    <w:p>
      <w:pPr>
        <w:spacing w:line="384" w:lineRule="auto" w:after="0"/>
        <w:ind w:firstLine="397"/>
        <w:jc w:val="both"/>
        <w:keepNext/>
        <w:autoSpaceDE w:val="0"/>
        <w:autoSpaceDN w:val="0"/>
        <w:adjustRightInd w:val="0"/>
      </w:pPr>
      <w:r>
        <w:rPr>
          <w:rFonts w:ascii="HY신명조" w:hAnsi="HY신명조" w:eastAsia="HY신명조" w:cs="HY신명조"/>
          <w:b w:val="0"/>
          <w:i w:val="0"/>
          <w:color w:val="000000"/>
          <w:sz w:val="22"/>
        </w:rPr>
        <w:t>본 연구의 전체 구성과 분석 절차는 &lt;그림 1-1&gt;과 같다.</w:t>
      </w:r>
    </w:p>
    <w:p>
      <w:pPr>
        <w:keepLines/>
        <w:spacing w:before="0" w:after="0" w:line="240" w:lineRule="auto"/>
        <w:ind w:firstLine="0"/>
        <w:jc w:val="center"/>
      </w:pPr>
      <w:bookmarkStart w:id="1009" w:name="bm_f_1_1"/>
      <w:r>
        <w:drawing>
          <wp:inline xmlns:a="http://schemas.openxmlformats.org/drawingml/2006/main" xmlns:pic="http://schemas.openxmlformats.org/drawingml/2006/picture">
            <wp:extent cx="4238710" cy="4788000"/>
            <wp:docPr id="1" name="Picture 1"/>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238710" cy="4788000"/>
                    </a:xfrm>
                    <a:prstGeom prst="rect"/>
                  </pic:spPr>
                </pic:pic>
              </a:graphicData>
            </a:graphic>
          </wp:inline>
        </w:drawing>
      </w:r>
      <w:r>
        <w:br/>
      </w:r>
      <w:r>
        <w:rPr>
          <w:rFonts w:ascii="HY신명조" w:hAnsi="HY신명조" w:eastAsia="HY신명조" w:cs="HY신명조"/>
          <w:b w:val="0"/>
          <w:i w:val="0"/>
          <w:color w:val="000000"/>
          <w:sz w:val="20"/>
        </w:rPr>
        <w:t>&lt;그림 1-1&gt; 연구의 흐름도</w:t>
      </w:r>
      <w:bookmarkEnd w:id="1009"/>
    </w:p>
    <w:p>
      <w:pPr>
        <w:pStyle w:val="Heading1"/>
        <w:keepNext/>
        <w:pageBreakBefore/>
        <w:spacing w:line="384" w:lineRule="auto" w:before="480" w:after="360"/>
        <w:ind w:firstLine="0"/>
        <w:jc w:val="center"/>
      </w:pPr>
      <w:bookmarkStart w:id="1010" w:name="bm_h_10"/>
      <w:r>
        <w:rPr>
          <w:rFonts w:ascii="HY신명조" w:hAnsi="HY신명조" w:eastAsia="HY신명조" w:cs="HY신명조"/>
          <w:b/>
          <w:i w:val="0"/>
          <w:color w:val="000000"/>
          <w:sz w:val="32"/>
        </w:rPr>
        <w:t>제2장 이론적 배경 및 선행연구</w:t>
      </w:r>
      <w:bookmarkEnd w:id="1010"/>
    </w:p>
    <w:p>
      <w:pPr>
        <w:pStyle w:val="Heading2"/>
        <w:keepNext/>
        <w:spacing w:line="384" w:lineRule="auto" w:before="360" w:after="240"/>
        <w:ind w:firstLine="0"/>
        <w:jc w:val="left"/>
      </w:pPr>
      <w:bookmarkStart w:id="1011" w:name="bm_h_11"/>
      <w:r>
        <w:rPr>
          <w:rFonts w:ascii="HY신명조" w:hAnsi="HY신명조" w:eastAsia="HY신명조" w:cs="HY신명조"/>
          <w:b/>
          <w:i w:val="0"/>
          <w:color w:val="000000"/>
          <w:sz w:val="26"/>
        </w:rPr>
        <w:t>제1절 헤도닉 가격모형</w:t>
      </w:r>
      <w:bookmarkEnd w:id="1011"/>
    </w:p>
    <w:p>
      <w:pPr>
        <w:pStyle w:val="Heading3"/>
        <w:keepNext/>
        <w:spacing w:line="384" w:lineRule="auto" w:before="240" w:after="160"/>
        <w:ind w:firstLine="0" w:left="397"/>
        <w:jc w:val="left"/>
      </w:pPr>
      <w:r>
        <w:rPr>
          <w:rFonts w:ascii="HY신명조" w:hAnsi="HY신명조" w:eastAsia="HY신명조" w:cs="HY신명조"/>
          <w:b/>
          <w:i w:val="0"/>
          <w:color w:val="000000"/>
          <w:sz w:val="22"/>
        </w:rPr>
        <w:t>1. 헤도닉 가격모형의 이론적 기초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val="0"/>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부동산 가격,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는 </w:t>
      </w:r>
      <m:oMath>
        <m:box>
          <m:e>
            <m:r>
              <m:rPr>
                <m:sty m:val="i"/>
              </m:rPr>
              <m:t>i</m:t>
            </m:r>
          </m:e>
        </m:box>
      </m:oMath>
      <w:r>
        <w:rPr>
          <w:rFonts w:ascii="HY신명조" w:hAnsi="HY신명조" w:eastAsia="HY신명조" w:cs="HY신명조"/>
          <w:b w:val="0"/>
          <w:i w:val="0"/>
          <w:color w:val="000000"/>
          <w:sz w:val="22"/>
        </w:rPr>
        <w:t xml:space="preserve">번째 속성, </w:t>
      </w:r>
      <m:oMath>
        <m:box>
          <m:e>
            <m:r>
              <m:rPr>
                <m:sty m:val="i"/>
              </m:rPr>
              <m:t>n</m:t>
            </m:r>
          </m:e>
        </m:box>
      </m:oMath>
      <w:r>
        <w:rPr>
          <w:rFonts w:ascii="HY신명조" w:hAnsi="HY신명조" w:eastAsia="HY신명조" w:cs="HY신명조"/>
          <w:b w:val="0"/>
          <w:i w:val="0"/>
          <w:color w:val="000000"/>
          <w:sz w:val="22"/>
        </w:rPr>
        <w:t>은 모형에 포함된 속성의 수를 나타낸다. 각 속성의 암묵적 가격은 헤도닉 가격함수의 편미분으로 도출된다.</w:t>
      </w:r>
    </w:p>
    <w:p>
      <w:pPr>
        <w:keepNext w:val="0"/>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전통적으로 헤도닉 가격모형은 다중회귀분석 (OLS)을 통해 추정되어 왔으며, 다음과 같은 선형 모형이 일반적으로 사용된다.</w:t>
      </w:r>
    </w:p>
    <w:p>
      <w:pPr>
        <w:keepNext w:val="0"/>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HY신명조" w:hAnsi="HY신명조" w:eastAsia="HY신명조" w:cs="HY신명조"/>
          <w:b w:val="0"/>
          <w:i w:val="0"/>
          <w:color w:val="000000"/>
          <w:sz w:val="22"/>
        </w:rPr>
        <w:t xml:space="preserve">는 속성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의 조건부 한계가격,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i</m:t>
                </m:r>
              </m:sub>
            </m:sSub>
          </m:e>
        </m:box>
      </m:oMath>
      <w:r>
        <w:rPr>
          <w:rFonts w:ascii="HY신명조" w:hAnsi="HY신명조" w:eastAsia="HY신명조" w:cs="HY신명조"/>
          <w:b w:val="0"/>
          <w:i w:val="0"/>
          <w:color w:val="000000"/>
          <w:sz w:val="22"/>
        </w:rPr>
        <w:t xml:space="preserve">는 각 속성의 회귀계수, </w:t>
      </w:r>
      <m:oMath>
        <m:box>
          <m:e>
            <m:r>
              <m:rPr>
                <m:sty m:val="i"/>
              </m:rPr>
              <m:t>ϵ</m:t>
            </m:r>
          </m:e>
        </m:box>
      </m:oMath>
      <w:r>
        <w:rPr>
          <w:rFonts w:ascii="HY신명조" w:hAnsi="HY신명조" w:eastAsia="HY신명조" w:cs="HY신명조"/>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HY신명조" w:hAnsi="HY신명조" w:eastAsia="HY신명조" w:cs="HY신명조"/>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헤도닉 가격모형의 한계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거시경제 변수와 부동산 가격의 관계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2" w:name="bm_h_12"/>
      <w:r>
        <w:rPr>
          <w:rFonts w:ascii="HY신명조" w:hAnsi="HY신명조" w:eastAsia="HY신명조" w:cs="HY신명조"/>
          <w:b/>
          <w:i w:val="0"/>
          <w:color w:val="000000"/>
          <w:sz w:val="26"/>
        </w:rPr>
        <w:t>제2절 머신러닝 기반 부동산 가격 예측</w:t>
      </w:r>
      <w:bookmarkEnd w:id="1012"/>
    </w:p>
    <w:p>
      <w:pPr>
        <w:pStyle w:val="Heading3"/>
        <w:keepNext/>
        <w:spacing w:line="384" w:lineRule="auto" w:before="240" w:after="160"/>
        <w:ind w:firstLine="0" w:left="397"/>
        <w:jc w:val="left"/>
      </w:pPr>
      <w:r>
        <w:rPr>
          <w:rFonts w:ascii="HY신명조" w:hAnsi="HY신명조" w:eastAsia="HY신명조" w:cs="HY신명조"/>
          <w:b/>
          <w:i w:val="0"/>
          <w:color w:val="000000"/>
          <w:sz w:val="22"/>
        </w:rPr>
        <w:t>1. 머신러닝의 부동산 분야 적용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Choy &amp;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트리 기반 앙상블 모형으로 Breiman (2001)의 랜덤 포레스트, Friedman (2001)의 그래디언트 부스팅, Chen &amp; Guestrin (2016)의 XGBoost, Ke et al. (2017)의 LightGBM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딥러닝 모형으로 LSTM, GRU 등의 순환신경망 (RNN) 모형과 합성곱 신경망 (CNN), 그래프 신경망 (GNN) 등이 있다. Mora-García et al. (2022)은 COVID-19 시기 딥러닝과 앙상블 모형의 예측력을 비교하였으며, Kim et al. (2022)은 공간회귀분석을 통해 주택가격의 공간적 의존성을 분석하였다.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XGBoost 알고리즘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트리 기반 그래디언트 부스팅 알고리즘으로, 기존 그래디언트 부스팅 머신 (Friedman, 2001)을 개선한 것이다. XGBoost는 다음과 같은 장치를 통해 과적합을 완화하고 예측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정규화는 목적함수에 L1 및 L2 정규화 항을 포함하여 모형 복잡도를 제어하는 장치이다. XGBoost의 목적함수는 다음과 같다.</w:t>
      </w:r>
    </w:p>
    <w:p>
      <w:pPr>
        <w:keepNext w:val="0"/>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관측치 수, </w:t>
      </w:r>
      <m:oMath>
        <m:box>
          <m:e>
            <m:sSub>
              <m:e>
                <m:r>
                  <m:rPr>
                    <m:sty m:val="i"/>
                  </m:rPr>
                  <m:t>y</m:t>
                </m:r>
              </m:e>
              <m:sub>
                <m:r>
                  <m:rPr>
                    <m:sty m:val="i"/>
                  </m:rPr>
                  <m:t>i</m:t>
                </m:r>
              </m:sub>
            </m:sSub>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 xml:space="preserve">는 예측값, </w:t>
      </w:r>
      <m:oMath>
        <m:box>
          <m:e>
            <m:r>
              <m:rPr>
                <m:sty m:val="i"/>
              </m:rPr>
              <m:t>l</m:t>
            </m:r>
          </m:e>
        </m:box>
      </m:oMath>
      <w:r>
        <w:rPr>
          <w:rFonts w:ascii="HY신명조" w:hAnsi="HY신명조" w:eastAsia="HY신명조" w:cs="HY신명조"/>
          <w:b w:val="0"/>
          <w:i w:val="0"/>
          <w:color w:val="000000"/>
          <w:sz w:val="22"/>
        </w:rPr>
        <w:t xml:space="preserve">은 손실함수, </w:t>
      </w:r>
      <m:oMath>
        <m:box>
          <m:e>
            <m:r>
              <m:rPr>
                <m:sty m:val="i"/>
              </m:rPr>
              <m:t>K</m:t>
            </m:r>
          </m:e>
        </m:box>
      </m:oMath>
      <w:r>
        <w:rPr>
          <w:rFonts w:ascii="HY신명조" w:hAnsi="HY신명조" w:eastAsia="HY신명조" w:cs="HY신명조"/>
          <w:b w:val="0"/>
          <w:i w:val="0"/>
          <w:color w:val="000000"/>
          <w:sz w:val="22"/>
        </w:rPr>
        <w:t xml:space="preserve">는 앙상블에 포함된 트리 수, </w:t>
      </w:r>
      <m:oMath>
        <m:box>
          <m:e>
            <m:sSub>
              <m:e>
                <m:r>
                  <m:rPr>
                    <m:sty m:val="i"/>
                  </m:rPr>
                  <m:t>f</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HY신명조" w:hAnsi="HY신명조" w:eastAsia="HY신명조" w:cs="HY신명조"/>
          <w:b w:val="0"/>
          <w:i w:val="0"/>
          <w:color w:val="000000"/>
          <w:sz w:val="22"/>
        </w:rPr>
        <w:t>는 해당 트리의 정규화 항이다. XGBoost의 트리 정규화 항은 일반적으로 다음과 같이 표현된다.</w:t>
      </w:r>
    </w:p>
    <w:p>
      <w:pPr>
        <w:keepNext w:val="0"/>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T</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HY신명조" w:hAnsi="HY신명조" w:eastAsia="HY신명조" w:cs="HY신명조"/>
          <w:b w:val="0"/>
          <w:i w:val="0"/>
          <w:color w:val="000000"/>
          <w:sz w:val="22"/>
        </w:rPr>
        <w:t xml:space="preserve">는 리프 </w:t>
      </w:r>
      <m:oMath>
        <m:box>
          <m:e>
            <m:r>
              <m:rPr>
                <m:sty m:val="i"/>
              </m:rPr>
              <m:t>t</m:t>
            </m:r>
          </m:e>
        </m:box>
      </m:oMath>
      <w:r>
        <w:rPr>
          <w:rFonts w:ascii="HY신명조" w:hAnsi="HY신명조" w:eastAsia="HY신명조" w:cs="HY신명조"/>
          <w:b w:val="0"/>
          <w:i w:val="0"/>
          <w:color w:val="000000"/>
          <w:sz w:val="22"/>
        </w:rPr>
        <w:t xml:space="preserve">의 가중치이며, </w:t>
      </w:r>
      <m:oMath>
        <m:box>
          <m:e>
            <m:r>
              <m:rPr>
                <m:sty m:val="i"/>
              </m:rPr>
              <m:t>γ</m:t>
            </m:r>
          </m:e>
        </m:box>
      </m:oMath>
      <w:r>
        <w:rPr>
          <w:rFonts w:ascii="HY신명조" w:hAnsi="HY신명조" w:eastAsia="HY신명조" w:cs="HY신명조"/>
          <w:b w:val="0"/>
          <w:i w:val="0"/>
          <w:color w:val="000000"/>
          <w:sz w:val="22"/>
        </w:rPr>
        <w:t xml:space="preserve">, </w:t>
      </w:r>
      <m:oMath>
        <m:box>
          <m:e>
            <m:r>
              <m:rPr>
                <m:sty m:val="i"/>
              </m:rPr>
              <m:t>λ</m:t>
            </m:r>
          </m:e>
        </m:box>
      </m:oMath>
      <w:r>
        <w:rPr>
          <w:rFonts w:ascii="HY신명조" w:hAnsi="HY신명조" w:eastAsia="HY신명조" w:cs="HY신명조"/>
          <w:b w:val="0"/>
          <w:i w:val="0"/>
          <w:color w:val="000000"/>
          <w:sz w:val="22"/>
        </w:rPr>
        <w:t xml:space="preserve">, </w:t>
      </w:r>
      <m:oMath>
        <m:box>
          <m:e>
            <m:r>
              <m:rPr>
                <m:sty m:val="i"/>
              </m:rPr>
              <m:t>α</m:t>
            </m:r>
          </m:e>
        </m:box>
      </m:oMath>
      <w:r>
        <w:rPr>
          <w:rFonts w:ascii="HY신명조" w:hAnsi="HY신명조" w:eastAsia="HY신명조" w:cs="HY신명조"/>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축소는 각 트리의 기여도에 학습률을 적용하여 모형을 점진적으로 갱신함으로써 과적합을 완화하고 일반화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컬럼 서브샘플링은 랜덤 포레스트에서 착안한 절차로, 각 트리 또는 각 분기에서 무작위로 특성의 부분집합을 선택함으로써 모형의 다양성을 확보한다.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결측값 자동 처리는 결측값이 있는 데이터에 대해 최적의 분할 방향을 자동으로 학습하는 기능이다.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근사 분할 알고리즘은 대용량 데이터에서도 효율적인 분할점 탐색이 가능하게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특성들로 인해 XGBoost는 다양한 분야의 구조화된 자료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line="240" w:lineRule="auto"/>
        <w:ind w:firstLine="0"/>
        <w:jc w:val="center"/>
      </w:pPr>
      <w:bookmarkStart w:id="1013" w:name="bm_f_2_1"/>
      <w:r>
        <w:drawing>
          <wp:inline xmlns:a="http://schemas.openxmlformats.org/drawingml/2006/main" xmlns:pic="http://schemas.openxmlformats.org/drawingml/2006/picture">
            <wp:extent cx="4896000" cy="2412672"/>
            <wp:docPr id="2" name="Picture 2"/>
            <wp:cNvGraphicFramePr>
              <a:graphicFrameLocks noChangeAspect="1"/>
            </wp:cNvGraphicFramePr>
            <a:graphic>
              <a:graphicData uri="http://schemas.openxmlformats.org/drawingml/2006/picture">
                <pic:pic>
                  <pic:nvPicPr>
                    <pic:cNvPr id="0" name="fig2_xgboost_concept.png"/>
                    <pic:cNvPicPr/>
                  </pic:nvPicPr>
                  <pic:blipFill>
                    <a:blip r:embed="rId12"/>
                    <a:stretch>
                      <a:fillRect/>
                    </a:stretch>
                  </pic:blipFill>
                  <pic:spPr>
                    <a:xfrm>
                      <a:off x="0" y="0"/>
                      <a:ext cx="4896000" cy="2412672"/>
                    </a:xfrm>
                    <a:prstGeom prst="rect"/>
                  </pic:spPr>
                </pic:pic>
              </a:graphicData>
            </a:graphic>
          </wp:inline>
        </w:drawing>
      </w:r>
      <w:r>
        <w:br/>
      </w:r>
      <w:r>
        <w:rPr>
          <w:rFonts w:ascii="HY신명조" w:hAnsi="HY신명조" w:eastAsia="HY신명조" w:cs="HY신명조"/>
          <w:b w:val="0"/>
          <w:i w:val="0"/>
          <w:color w:val="000000"/>
          <w:sz w:val="20"/>
        </w:rPr>
        <w:t>&lt;그림 2-1&gt; XGBoost 알고리즘 개념도</w:t>
      </w:r>
      <w:bookmarkEnd w:id="1013"/>
    </w:p>
    <w:p>
      <w:pPr>
        <w:pStyle w:val="Heading3"/>
        <w:keepNext/>
        <w:spacing w:line="384" w:lineRule="auto" w:before="240" w:after="160"/>
        <w:ind w:firstLine="0" w:left="397"/>
        <w:jc w:val="left"/>
      </w:pPr>
      <w:r>
        <w:rPr>
          <w:rFonts w:ascii="HY신명조" w:hAnsi="HY신명조" w:eastAsia="HY신명조" w:cs="HY신명조"/>
          <w:b/>
          <w:i w:val="0"/>
          <w:color w:val="000000"/>
          <w:sz w:val="22"/>
        </w:rPr>
        <w:t>3.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앙상블 학습법으로, 다수의 의사결정 트리를 독립적으로 학습시킨 뒤 회귀 문제에서는 예측값의 평균으로 최종 결과를 산출하는 배깅 기반 알고리즘이다. 각 트리는 학습 데이터에서 복원추출한 표본을 사용하며, 각 분기에서는 전체 변수 중 무작위로 선택된 일부 변수만 고려한다. 이를 통해 개별 트리 간의 상관관계를 줄이고 과적합을 완화한다.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Čeh et al. (2018)은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4" w:name="bm_h_13"/>
      <w:r>
        <w:rPr>
          <w:rFonts w:ascii="HY신명조" w:hAnsi="HY신명조" w:eastAsia="HY신명조" w:cs="HY신명조"/>
          <w:b/>
          <w:i w:val="0"/>
          <w:color w:val="000000"/>
          <w:sz w:val="26"/>
        </w:rPr>
        <w:t>제3절 설명가능한 인공지능(XAI)</w:t>
      </w:r>
      <w:bookmarkEnd w:id="1014"/>
    </w:p>
    <w:p>
      <w:pPr>
        <w:pStyle w:val="Heading3"/>
        <w:keepNext/>
        <w:spacing w:line="384" w:lineRule="auto" w:before="240" w:after="160"/>
        <w:ind w:firstLine="0" w:left="397"/>
        <w:jc w:val="left"/>
      </w:pPr>
      <w:r>
        <w:rPr>
          <w:rFonts w:ascii="HY신명조" w:hAnsi="HY신명조" w:eastAsia="HY신명조" w:cs="HY신명조"/>
          <w:b/>
          <w:i w:val="0"/>
          <w:color w:val="000000"/>
          <w:sz w:val="22"/>
        </w:rPr>
        <w:t>1. XAI의 개념과 필요성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XAI는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XAI는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XAI는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XAI는 머신러닝 모형에 내재된 지역적 · 사회경제적 편향을 진단할 때 참고할 수 있는 정보를 제공한다.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주요 XAI 방법론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SHAP은 Lundberg &amp;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효율성 (Efficiency), 대칭성 (Symmetry), 더미 (Dummy), 가산성 (Additivity)이라는 네 가지 공리를 만족한다.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SHAP에서 각 특성 </w:t>
      </w:r>
      <m:oMath>
        <m:box>
          <m:e>
            <m:r>
              <m:rPr>
                <m:sty m:val="i"/>
              </m:rPr>
              <m:t>j</m:t>
            </m:r>
          </m:e>
        </m:box>
      </m:oMath>
      <w:r>
        <w:rPr>
          <w:rFonts w:ascii="HY신명조" w:hAnsi="HY신명조" w:eastAsia="HY신명조" w:cs="HY신명조"/>
          <w:b w:val="0"/>
          <w:i w:val="0"/>
          <w:color w:val="000000"/>
          <w:sz w:val="22"/>
        </w:rPr>
        <w:t xml:space="preserve">의 Shapley value </w:t>
      </w:r>
      <m:oMath>
        <m:box>
          <m:e>
            <m:sSub>
              <m:e>
                <m:r>
                  <m:rPr>
                    <m:sty m:val="i"/>
                  </m:rPr>
                  <m:t>ϕ</m:t>
                </m:r>
              </m:e>
              <m:sub>
                <m:r>
                  <m:rPr>
                    <m:sty m:val="i"/>
                  </m:rPr>
                  <m:t>j</m:t>
                </m:r>
              </m:sub>
            </m:sSub>
          </m:e>
        </m:box>
      </m:oMath>
      <w:r>
        <w:rPr>
          <w:rFonts w:ascii="HY신명조" w:hAnsi="HY신명조" w:eastAsia="HY신명조" w:cs="HY신명조"/>
          <w:b w:val="0"/>
          <w:i w:val="0"/>
          <w:color w:val="000000"/>
          <w:sz w:val="22"/>
        </w:rPr>
        <w:t>는 다음과 같이 정의된다.</w:t>
      </w:r>
    </w:p>
    <w:p>
      <w:pPr>
        <w:keepNext w:val="0"/>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전체 특성의 집합, </w:t>
      </w:r>
      <m:oMath>
        <m:box>
          <m:e>
            <m:r>
              <m:rPr>
                <m:sty m:val="i"/>
              </m:rPr>
              <m:t>S</m:t>
            </m:r>
          </m:e>
        </m:box>
      </m:oMath>
      <w:r>
        <w:rPr>
          <w:rFonts w:ascii="HY신명조" w:hAnsi="HY신명조" w:eastAsia="HY신명조" w:cs="HY신명조"/>
          <w:b w:val="0"/>
          <w:i w:val="0"/>
          <w:color w:val="000000"/>
          <w:sz w:val="22"/>
        </w:rPr>
        <w:t xml:space="preserve">는 </w:t>
      </w:r>
      <m:oMath>
        <m:box>
          <m:e>
            <m:r>
              <m:rPr>
                <m:sty m:val="i"/>
              </m:rPr>
              <m:t>N</m:t>
            </m:r>
          </m:e>
        </m:box>
      </m:oMath>
      <w:r>
        <w:rPr>
          <w:rFonts w:ascii="HY신명조" w:hAnsi="HY신명조" w:eastAsia="HY신명조" w:cs="HY신명조"/>
          <w:b w:val="0"/>
          <w:i w:val="0"/>
          <w:color w:val="000000"/>
          <w:sz w:val="22"/>
        </w:rPr>
        <w:t xml:space="preserve">에서 특성 </w:t>
      </w:r>
      <m:oMath>
        <m:box>
          <m:e>
            <m:r>
              <m:rPr>
                <m:sty m:val="i"/>
              </m:rPr>
              <m:t>j</m:t>
            </m:r>
          </m:e>
        </m:box>
      </m:oMath>
      <w:r>
        <w:rPr>
          <w:rFonts w:ascii="HY신명조" w:hAnsi="HY신명조" w:eastAsia="HY신명조" w:cs="HY신명조"/>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HY신명조" w:hAnsi="HY신명조" w:eastAsia="HY신명조" w:cs="HY신명조"/>
          <w:b w:val="0"/>
          <w:i w:val="0"/>
          <w:color w:val="000000"/>
          <w:sz w:val="22"/>
        </w:rPr>
        <w:t xml:space="preserve">는 특성 부분집합 </w:t>
      </w:r>
      <m:oMath>
        <m:box>
          <m:e>
            <m:r>
              <m:rPr>
                <m:sty m:val="i"/>
              </m:rPr>
              <m:t>S</m:t>
            </m:r>
          </m:e>
        </m:box>
      </m:oMath>
      <w:r>
        <w:rPr>
          <w:rFonts w:ascii="HY신명조" w:hAnsi="HY신명조" w:eastAsia="HY신명조" w:cs="HY신명조"/>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HY신명조" w:hAnsi="HY신명조" w:eastAsia="HY신명조" w:cs="HY신명조"/>
          <w:b w:val="0"/>
          <w:i w:val="0"/>
          <w:color w:val="000000"/>
          <w:sz w:val="22"/>
        </w:rPr>
        <w:t>가 모든 가능한 특성 조합에 추가될 때의 한계 기여도의 가중 평균이다.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다음과 같이 분해된다.</w:t>
      </w:r>
    </w:p>
    <w:p>
      <w:pPr>
        <w:keepNext w:val="0"/>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ϕ</m:t>
                </m:r>
              </m:e>
              <m:sub>
                <m:r>
                  <m:rPr>
                    <m:sty m:val="p"/>
                  </m:rPr>
                  <m:t>0</m:t>
                </m:r>
              </m:sub>
            </m:sSub>
          </m:e>
        </m:box>
      </m:oMath>
      <w:r>
        <w:rPr>
          <w:rFonts w:ascii="HY신명조" w:hAnsi="HY신명조" w:eastAsia="HY신명조" w:cs="HY신명조"/>
          <w:b w:val="0"/>
          <w:i w:val="0"/>
          <w:color w:val="000000"/>
          <w:sz w:val="22"/>
        </w:rPr>
        <w:t xml:space="preserve">는 기본값 (base value, 전체 데이터의 평균 예측값), </w:t>
      </w:r>
      <m:oMath>
        <m:box>
          <m:e>
            <m:r>
              <m:rPr>
                <m:sty m:val="i"/>
              </m:rPr>
              <m:t>M</m:t>
            </m:r>
          </m:e>
        </m:box>
      </m:oMath>
      <w:r>
        <w:rPr>
          <w:rFonts w:ascii="HY신명조" w:hAnsi="HY신명조" w:eastAsia="HY신명조" w:cs="HY신명조"/>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에 대한 특성 </w:t>
      </w:r>
      <m:oMath>
        <m:box>
          <m:e>
            <m:r>
              <m:rPr>
                <m:sty m:val="i"/>
              </m:rPr>
              <m:t>j</m:t>
            </m:r>
          </m:e>
        </m:box>
      </m:oMath>
      <w:r>
        <w:rPr>
          <w:rFonts w:ascii="HY신명조" w:hAnsi="HY신명조" w:eastAsia="HY신명조" w:cs="HY신명조"/>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line="240" w:lineRule="auto"/>
        <w:ind w:firstLine="0"/>
        <w:jc w:val="center"/>
      </w:pPr>
      <w:bookmarkStart w:id="1015" w:name="bm_f_2_2"/>
      <w:r>
        <w:drawing>
          <wp:inline xmlns:a="http://schemas.openxmlformats.org/drawingml/2006/main" xmlns:pic="http://schemas.openxmlformats.org/drawingml/2006/picture">
            <wp:extent cx="4896000" cy="2993436"/>
            <wp:docPr id="3" name="Picture 3"/>
            <wp:cNvGraphicFramePr>
              <a:graphicFrameLocks noChangeAspect="1"/>
            </wp:cNvGraphicFramePr>
            <a:graphic>
              <a:graphicData uri="http://schemas.openxmlformats.org/drawingml/2006/picture">
                <pic:pic>
                  <pic:nvPicPr>
                    <pic:cNvPr id="0" name="fig3_shap_framework.png"/>
                    <pic:cNvPicPr/>
                  </pic:nvPicPr>
                  <pic:blipFill>
                    <a:blip r:embed="rId13"/>
                    <a:stretch>
                      <a:fillRect/>
                    </a:stretch>
                  </pic:blipFill>
                  <pic:spPr>
                    <a:xfrm>
                      <a:off x="0" y="0"/>
                      <a:ext cx="4896000" cy="2993436"/>
                    </a:xfrm>
                    <a:prstGeom prst="rect"/>
                  </pic:spPr>
                </pic:pic>
              </a:graphicData>
            </a:graphic>
          </wp:inline>
        </w:drawing>
      </w:r>
      <w:r>
        <w:br/>
      </w:r>
      <w:r>
        <w:rPr>
          <w:rFonts w:ascii="HY신명조" w:hAnsi="HY신명조" w:eastAsia="HY신명조" w:cs="HY신명조"/>
          <w:b w:val="0"/>
          <w:i w:val="0"/>
          <w:color w:val="000000"/>
          <w:sz w:val="20"/>
        </w:rPr>
        <w:t>&lt;그림 2-2&gt; SHAP 분석 프레임워크</w:t>
      </w:r>
      <w:bookmarkEnd w:id="1015"/>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6" w:name="bm_h_14"/>
      <w:r>
        <w:rPr>
          <w:rFonts w:ascii="HY신명조" w:hAnsi="HY신명조" w:eastAsia="HY신명조" w:cs="HY신명조"/>
          <w:b/>
          <w:i w:val="0"/>
          <w:color w:val="000000"/>
          <w:sz w:val="26"/>
        </w:rPr>
        <w:t>제4절 선행연구 검토 및 차별성</w:t>
      </w:r>
      <w:bookmarkEnd w:id="101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아파트 가격 결정요인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머신러닝 기반 부동산 가격 예측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정보를 직접 반영하려는 시도도 나타난다. 진수정 (2024)은 서울시 아파트 매매가격 예측에 그래프 신경망 (SRGCNN)을 적용하여 공간적 의존성을 반영한 딥러닝 모형을 제안하였다. 해외 연구에서는 Mora-García et al. (2022)이 COVID-19 시기 스페인 알리칸테 지역의 주택가격 예측에 랜덤 포레스트와 XGBoost를 적용하여 전통적 회귀분석 대비 우수한 성능을 확인하였고, Čeh et al. (2018)은 슬로베니아 아파트를 대상으로 랜덤 포레스트와 다중회귀분석을 비교하여 머신러닝 모형의 비선형 포착 능력을 실증하였다. Shahhosseini et al. (2022)은 Ames 주택 자료 세트를 활용하여 앙상블 가중치와 모형 설정값을 동시에 최적화하는 프레임워크를 제안하였다. 이들 연구는 머신러닝 모형이 비선형 관계와 변수 간 상호작용을 포착하는 데 강점을 가질 수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XAI 기반 부동산 가격 해석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모형의 예측 성능이 높아질수록, 예측값을 어떤 변수 구조로 해석할 수 있는지에 대한 관심도 커지고 있다. Neves et al. (2024)은 오픈데이터와 XAI를 결합하여 리스본 스마트시티의 부동산 가격을 분석하였으며, XGBoost 모형에 SHAP을 적용하여 면적, 입지, 건축연도 등이 예측값 설명에서 어떤 역할을 보이는지 정리하였다. Ezil Sam Leni et al. (2025)은 킹카운티 주택 데이터를 대상으로 XGBoost와 SHAP을 결합한 가격 예측 프레임워크를 제안하고, 웹 배포까지 구현하여 XAI 기반 AVM의 실무적 활용 가능성을 보여주었다.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모형과 머신러닝을 비교하면서 해석 가능성을 함께 다룬 연구도 있다. An et al. (2025)은 한국 주택시장을 대상으로 전통적 헤도닉 가격모형과 머신러닝 모형의 예측 성능을 비교하고, SHAP을 활용하여 머신러닝 모형에 헤도닉 모형 수준의 해석 가능성을 부여할 수 있음을 실증하였다. Tarasov &amp; Dessoulavy-Śliwiński (2025)는 폴란드 부동산 시장에서 알고리즘 기반 헤도닉 가격 모형에 XAI를 적용하여, 머신러닝이 전통적 헤도닉 접근법을 효과적으로 대체할 수 있음을 보였다. Choy &amp; Ho (2023)는 부동산 분야 머신러닝 연구에 대한 체계적 문헌 리뷰를 수행하여, 2020년 이후 관련 연구가 급격히 증가하고 있으며 XAI의 적용이 새로운 연구 방향으로 부상하고 있음을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 시장을 대상으로 한 국제 학술지 연구도 확인된다. Chun et al. (2025)은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 &amp; Lee (2025)는 한국 주거용 부동산 시장에 XAI 기반 대량감정평가 모형을 적용하고, SHAP과 PFI를 결합하여 시간에 따른 변수 중요도의 변화를 추적하였다.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선행연구와의 차별성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선행연구를 종합하면, 머신러닝 기반 부동산 가격 예측 연구는 국내외에서 활발히 진행되고 있으나, 다음과 같은 연구 공백이 존재한다.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 (2025)의 연구를 제외하면 매우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본 연구는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본 연구는 기존 연구들이 자치구(25개) 또는 행정동 경계 집계에 머문 것과 달리,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본 연구는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본 연구는 강남3구와 비강남 지역의 SHAP값을 비교하여 통합 모형 내부에서 관찰된 지역별 예측 기여 패턴 차이를 탐색적으로 정리하였다. 이는 Chun et al. (2025)과 Kim, Choi &amp;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7" w:name="bm_h_15"/>
      <w:r>
        <w:rPr>
          <w:rFonts w:ascii="HY신명조" w:hAnsi="HY신명조" w:eastAsia="HY신명조" w:cs="HY신명조"/>
          <w:b/>
          <w:i w:val="0"/>
          <w:color w:val="000000"/>
          <w:sz w:val="32"/>
        </w:rPr>
        <w:t>제3장 분석의 틀</w:t>
      </w:r>
      <w:bookmarkEnd w:id="1017"/>
    </w:p>
    <w:p>
      <w:pPr>
        <w:pStyle w:val="Heading2"/>
        <w:keepNext/>
        <w:spacing w:line="384" w:lineRule="auto" w:before="360" w:after="240"/>
        <w:ind w:firstLine="0"/>
        <w:jc w:val="left"/>
      </w:pPr>
      <w:bookmarkStart w:id="1018" w:name="bm_h_16"/>
      <w:r>
        <w:rPr>
          <w:rFonts w:ascii="HY신명조" w:hAnsi="HY신명조" w:eastAsia="HY신명조" w:cs="HY신명조"/>
          <w:b/>
          <w:i w:val="0"/>
          <w:color w:val="000000"/>
          <w:sz w:val="26"/>
        </w:rPr>
        <w:t>제1절 연구 방법</w:t>
      </w:r>
      <w:bookmarkEnd w:id="101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bm_h_17"/>
      <w:r>
        <w:rPr>
          <w:rFonts w:ascii="HY신명조" w:hAnsi="HY신명조" w:eastAsia="HY신명조" w:cs="HY신명조"/>
          <w:b/>
          <w:i w:val="0"/>
          <w:color w:val="000000"/>
          <w:sz w:val="26"/>
        </w:rPr>
        <w:t>제2절 변수의 정의 및 구축</w:t>
      </w:r>
      <w:bookmarkEnd w:id="1019"/>
    </w:p>
    <w:p>
      <w:pPr>
        <w:pStyle w:val="Heading3"/>
        <w:keepNext/>
        <w:spacing w:line="384" w:lineRule="auto" w:before="240" w:after="160"/>
        <w:ind w:firstLine="0" w:left="397"/>
        <w:jc w:val="left"/>
      </w:pPr>
      <w:r>
        <w:rPr>
          <w:rFonts w:ascii="HY신명조" w:hAnsi="HY신명조" w:eastAsia="HY신명조" w:cs="HY신명조"/>
          <w:b/>
          <w:i w:val="0"/>
          <w:color w:val="000000"/>
          <w:sz w:val="22"/>
        </w:rPr>
        <w:t>1. 데이터 수집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법정동-행정동 매핑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환경 특성 변수 구축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변수 설정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r>
        <w:br w:type="page"/>
      </w:r>
    </w:p>
    <w:p>
      <w:pPr>
        <w:keepNext/>
        <w:spacing w:before="160"/>
        <w:ind w:firstLine="0"/>
        <w:jc w:val="left"/>
      </w:pPr>
      <w:bookmarkStart w:id="1020" w:name="bm_t_3_1"/>
      <w:r>
        <w:rPr>
          <w:rFonts w:ascii="HY신명조" w:hAnsi="HY신명조" w:eastAsia="HY신명조" w:cs="HY신명조"/>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1km 반경 내 존재 여부, 2km 반경 내 개수 로그값</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거리 기반 변수는 Kakao Local API로 지오코딩한 8,601개 유니크 단지 좌표를 기준으로 산출하였다. Haversine 거리는 위도 · 경도 두 점 사이의 대권거리(great-circle distance)를 구하는 공식으로 계산한 직선거리이며, 실제 도로망을 따라 이동하는 보행 네트워크 거리가 아니다. 따라서 제4장 제3절의 소거분석은 행정동 경계 집계 기준선과 단지 좌표 기반 직선거리 설계의 차이를 비교하는 분석으로 이해해야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공원 · 도서관 · 백화점처럼 1km 반경 내 관측값이 0에 집중되는 시설은 1km 반경 내 존재 여부 더미와 2km 반경 내 개수의 로그 변환 변수를 추가하였다. 이 보정은 시설이 없는 구간과 일부 존재하는 구간을 같은 선형 효과로 처리하지 않기 위한 파생 변수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네트워크 거리와 직선거리의 비율인 circuity는 도시 보행 · 도로망 접근성을 설명할 때 사용되는 개념이며, Boeing (2019)은 보행 네트워크와 주행 네트워크의 circuity가 도시와 이동 방식에 따라 달라진다는 점을 제시하였다. 다만 본 연구의 1.35는 서울 전역의 보행 네트워크를 실측해 추정한 상수가 아니라, 직선거리 기반 접근성을 분 단위로 해석하기 위한 휴리스틱 환산값이다. 따라서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데이터 분할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하나의 그룹으로 묶어 수행하였다. 이 방식은 같은 단지의 반복 거래가 학습 표본과 평가 표본에 동시에 들어가 예측 성능을 과대평가하는 문제를 줄이기 위한 검증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설계 목적은 단순히 단일 최우수 성능 모형을 선발하는 데 있지 않다. 동일 표본 · 동일 변수 체계 · 동일 평가 틀 아래에서 OLS, 랜덤 포레스트,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bm_h_18"/>
      <w:r>
        <w:rPr>
          <w:rFonts w:ascii="HY신명조" w:hAnsi="HY신명조" w:eastAsia="HY신명조" w:cs="HY신명조"/>
          <w:b/>
          <w:i w:val="0"/>
          <w:color w:val="000000"/>
          <w:sz w:val="26"/>
        </w:rPr>
        <w:t>제3절 연구 모형</w:t>
      </w:r>
      <w:bookmarkEnd w:id="1021"/>
    </w:p>
    <w:p>
      <w:pPr>
        <w:pStyle w:val="Heading3"/>
        <w:keepNext/>
        <w:spacing w:line="384" w:lineRule="auto" w:before="240" w:after="160"/>
        <w:ind w:firstLine="0" w:left="397"/>
        <w:jc w:val="left"/>
      </w:pPr>
      <w:r>
        <w:rPr>
          <w:rFonts w:ascii="HY신명조" w:hAnsi="HY신명조" w:eastAsia="HY신명조" w:cs="HY신명조"/>
          <w:b/>
          <w:i w:val="0"/>
          <w:color w:val="000000"/>
          <w:sz w:val="22"/>
        </w:rPr>
        <w:t>1. 다중회귀분석(OLS)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HY신명조" w:hAnsi="HY신명조" w:eastAsia="HY신명조" w:cs="HY신명조"/>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val="0"/>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거래가격(만원), </w:t>
      </w:r>
      <m:oMath>
        <m:box>
          <m:e>
            <m:r>
              <m:rPr>
                <m:sty m:val="i"/>
              </m:rPr>
              <m:t>A</m:t>
            </m:r>
          </m:e>
        </m:box>
      </m:oMath>
      <w:r>
        <w:rPr>
          <w:rFonts w:ascii="HY신명조" w:hAnsi="HY신명조" w:eastAsia="HY신명조" w:cs="HY신명조"/>
          <w:b w:val="0"/>
          <w:i w:val="0"/>
          <w:color w:val="000000"/>
          <w:sz w:val="22"/>
        </w:rPr>
        <w:t xml:space="preserve">는 전용면적(㎡), </w:t>
      </w:r>
      <m:oMath>
        <m:box>
          <m:e>
            <m:sSub>
              <m:e>
                <m:r>
                  <m:rPr>
                    <m:sty m:val="i"/>
                  </m:rPr>
                  <m:t>x</m:t>
                </m:r>
              </m:e>
              <m:sub>
                <m:r>
                  <m:rPr>
                    <m:sty m:val="i"/>
                  </m:rPr>
                  <m:t>j</m:t>
                </m:r>
              </m:sub>
            </m:sSub>
          </m:e>
        </m:box>
      </m:oMath>
      <w:r>
        <w:rPr>
          <w:rFonts w:ascii="HY신명조" w:hAnsi="HY신명조" w:eastAsia="HY신명조" w:cs="HY신명조"/>
          <w:b w:val="0"/>
          <w:i w:val="0"/>
          <w:color w:val="000000"/>
          <w:sz w:val="22"/>
        </w:rPr>
        <w:t xml:space="preserve">는 최종 설명변수, </w:t>
      </w:r>
      <m:oMath>
        <m:box>
          <m:e>
            <m:r>
              <m:rPr>
                <m:sty m:val="i"/>
              </m:rPr>
              <m:t>n</m:t>
            </m:r>
          </m:e>
        </m:box>
      </m:oMath>
      <w:r>
        <w:rPr>
          <w:rFonts w:ascii="HY신명조" w:hAnsi="HY신명조" w:eastAsia="HY신명조" w:cs="HY신명조"/>
          <w:b w:val="0"/>
          <w:i w:val="0"/>
          <w:color w:val="000000"/>
          <w:sz w:val="22"/>
        </w:rPr>
        <w:t xml:space="preserve">은 설명변수의 수,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j</m:t>
                </m:r>
              </m:sub>
            </m:sSub>
          </m:e>
        </m:box>
      </m:oMath>
      <w:r>
        <w:rPr>
          <w:rFonts w:ascii="HY신명조" w:hAnsi="HY신명조" w:eastAsia="HY신명조" w:cs="HY신명조"/>
          <w:b w:val="0"/>
          <w:i w:val="0"/>
          <w:color w:val="000000"/>
          <w:sz w:val="22"/>
        </w:rPr>
        <w:t xml:space="preserve">는 </w:t>
      </w:r>
      <m:oMath>
        <m:box>
          <m:e>
            <m:r>
              <m:rPr>
                <m:sty m:val="i"/>
              </m:rPr>
              <m:t>j</m:t>
            </m:r>
          </m:e>
        </m:box>
      </m:oMath>
      <w:r>
        <w:rPr>
          <w:rFonts w:ascii="HY신명조" w:hAnsi="HY신명조" w:eastAsia="HY신명조" w:cs="HY신명조"/>
          <w:b w:val="0"/>
          <w:i w:val="0"/>
          <w:color w:val="000000"/>
          <w:sz w:val="22"/>
        </w:rPr>
        <w:t xml:space="preserve">번째 설명변수의 회귀계수, </w:t>
      </w:r>
      <m:oMath>
        <m:box>
          <m:e>
            <m:r>
              <m:rPr>
                <m:sty m:val="i"/>
              </m:rPr>
              <m:t>ϵ</m:t>
            </m:r>
          </m:e>
        </m:box>
      </m:oMath>
      <w:r>
        <w:rPr>
          <w:rFonts w:ascii="HY신명조" w:hAnsi="HY신명조" w:eastAsia="HY신명조" w:cs="HY신명조"/>
          <w:b w:val="0"/>
          <w:i w:val="0"/>
          <w:color w:val="000000"/>
          <w:sz w:val="22"/>
        </w:rPr>
        <w:t xml:space="preserve">은 오차항이다. 전용면적은 </w:t>
      </w:r>
      <m:oMath>
        <m:box>
          <m:e>
            <m:r>
              <m:rPr>
                <m:sty m:val="i"/>
              </m:rPr>
              <m:t>A</m:t>
            </m:r>
          </m:e>
        </m:box>
      </m:oMath>
      <w:r>
        <w:rPr>
          <w:rFonts w:ascii="HY신명조" w:hAnsi="HY신명조" w:eastAsia="HY신명조" w:cs="HY신명조"/>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HY신명조" w:hAnsi="HY신명조" w:eastAsia="HY신명조" w:cs="HY신명조"/>
          <w:b w:val="0"/>
          <w:i w:val="0"/>
          <w:color w:val="000000"/>
          <w:sz w:val="22"/>
        </w:rPr>
        <w:t>에서는 제외한다.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배깅 기반 앙상블 학습법이다. 회귀 문제에서는 다수의 의사결정 트리를 서로 다른 복원추출 표본으로 학습시키고, 각 트리의 예측값을 평균하여 최종 예측값을 산출한다. 각 분기에서는 전체 변수 중 일부를 무작위로 선택해 후보 변수로 사용하므로, 개별 트리 간 상관이 낮아지고 과적합 위험이 완화된다. 본 연구에서는 트리의 수, 최대 깊이, 최소 리프 노드 표본 수를 사전 탐색 대상 설정값으로 두었다.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편향을 줄이는 데 강점을 보이는 반면, 랜덤 포레스트는 병렬적으로 학습된 다수 트리의 평균을 통해 분산을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전체 데이터의 규모(391,826건)를 감안하여, 별도의 사전 탐색 실험에서 50,000건의 단순 무작위 표본을 추출한 뒤 3겹 교차검증으로 설정값 후보를 점검하였다. 전체 데이터에 대한 전면 탐색은 계산 비용이 과도하였기 때문에, 전체의 약 12.8%에 해당하는 표본으로 탐색 효율성을 확보하였다. 이 표본은 설정값의 사전 점검 단계에만 사용하였고, 최종 랜덤 포레스트 모형의 적합과 성능 평가는 전체 학습 데이터 및 별도 테스트 데이터에 기반하여 수행하였다. 사전 탐색에서는 최대 깊이를 10과 15로, 최소 리프 노드 표본 수를 5와 10으로 달리하고 트리 200개로 구성된 네 가지 조합을 비교하였다. 비교 결과, 최대 깊이를 15로 두고 최소 리프 노드 표본 수를 5로 설정한 경우가 가장 적합하다고 판단하여 최종 랜덤 포레스트 모형은 이 설정과 트리 200개를 사용하였다.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XGBoost</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그래디언트 부스팅 기반 앙상블 학습 알고리즘으로, 정규화, 축소, 컬럼 서브샘플링 등을 결합하여 예측 성능과 일반화 성능을 높인다. 본 연구에서는 학습률, 최대 깊이, 행 단위 및 열 단위 서브샘플링 비율을 주요 설정값으로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XGBoost의 설정값은 구조화 데이터 예측 연구에서 일반적으로 사용되는 보수적 범위를 바탕으로 정하였다. 최종 모형에서는 트리를 600개 생성하고 최대 깊이를 8로 제한했으며, 학습률은 0.05로 두어 각 단계의 갱신 폭을 낮추었다. 또한 행과 열의 일부만 사용하도록 서브샘플링 비율을 각각 0.8로 설정하여 과적합을 완화하였다. 대규모 표본을 처리하기 위해 히스토그램 기반 트리 학습 방식을 사용하였다. 소거분석 및 연도×권역 하위모형은 반복 실험의 계산 비용을 고려하여 최대 깊이와 학습률은 유지하되 트리 수만 400개로 줄였다. 본문에 제시한 핵심 성능, SHAP 중요도, 강건성 수치는 재실행된 결과 파일을 기준으로 상호 대조하여 정리하였다.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막대그래프를 통해 평균 절대 SHAP값(mean |SHAP value|) 기준의 전체 변수 중요도를 도출하였다. 이 지표는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개별 예측 해석에는 SHAP 워터폴 그림을 사용하였다. 이를 통해 특정 거래 건의 예측값이 기본값(base value)으로부터 각 변수의 기여에 의해 어떻게 형성되었는지를 시각화하였다.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모형 평가 지표</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모형의 예측 성능을 비교하기 위하여 다음의 지표를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결정계수 (R²)는 모형이 종속변수의 총 변동 중 설명하는 비율을 나타낸다.</w:t>
      </w:r>
    </w:p>
    <w:p>
      <w:pPr>
        <w:keepNext w:val="0"/>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제곱근 오차 (RMSE)는 예측 오차의 크기를 log 스케일에서 나타낸다. 역변환을 통해 기하 평균 오차율로 환산 가능하다.</w:t>
      </w:r>
    </w:p>
    <w:p>
      <w:pPr>
        <w:keepNext w:val="0"/>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HY신명조" w:hAnsi="HY신명조" w:eastAsia="HY신명조" w:cs="HY신명조"/>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모형이 예측한 log 단위면적당 가격이다.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오차 (MAE)는 log 스케일 예측 오차의 절대값 평균이다.</w:t>
      </w:r>
    </w:p>
    <w:p>
      <w:pPr>
        <w:keepNext w:val="0"/>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백분율 오차 (MAPE)와 중앙값 APE는 log 스케일 예측을 원 스케일 (만원/㎡)로 역변환한 뒤 실제 단위가격 대비 절대 오차율을 평균과 중앙값으로 요약한 지표이다. 가격 수준이 다른 표본 간 오차 비교를 위해 두 값을 함께 보고하였다.</w:t>
      </w:r>
    </w:p>
    <w:p>
      <w:pPr>
        <w:pStyle w:val="Heading1"/>
        <w:keepNext/>
        <w:pageBreakBefore/>
        <w:spacing w:line="384" w:lineRule="auto" w:before="480" w:after="360"/>
        <w:ind w:firstLine="0"/>
        <w:jc w:val="center"/>
      </w:pPr>
      <w:bookmarkStart w:id="1022" w:name="bm_h_19"/>
      <w:r>
        <w:rPr>
          <w:rFonts w:ascii="HY신명조" w:hAnsi="HY신명조" w:eastAsia="HY신명조" w:cs="HY신명조"/>
          <w:b/>
          <w:i w:val="0"/>
          <w:color w:val="000000"/>
          <w:sz w:val="32"/>
        </w:rPr>
        <w:t>제4장 실증 분석</w:t>
      </w:r>
      <w:bookmarkEnd w:id="1022"/>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장은 일곱 개의 절로 구성된다. 제1절에서는 종속변수 · 설명변수의 기술통계와 분포를, 제2절에서는 OLS · 랜덤 포레스트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bm_h_20"/>
      <w:r>
        <w:rPr>
          <w:rFonts w:ascii="HY신명조" w:hAnsi="HY신명조" w:eastAsia="HY신명조" w:cs="HY신명조"/>
          <w:b/>
          <w:i w:val="0"/>
          <w:color w:val="000000"/>
          <w:sz w:val="26"/>
        </w:rPr>
        <w:t>제1절 기술통계 및 변수 분포</w:t>
      </w:r>
      <w:bookmarkEnd w:id="1023"/>
    </w:p>
    <w:p>
      <w:pPr>
        <w:pStyle w:val="Heading3"/>
        <w:keepNext/>
        <w:spacing w:line="384" w:lineRule="auto" w:before="240" w:after="160"/>
        <w:ind w:firstLine="0" w:left="397"/>
        <w:jc w:val="left"/>
      </w:pPr>
      <w:r>
        <w:rPr>
          <w:rFonts w:ascii="HY신명조" w:hAnsi="HY신명조" w:eastAsia="HY신명조" w:cs="HY신명조"/>
          <w:b/>
          <w:i w:val="0"/>
          <w:color w:val="000000"/>
          <w:sz w:val="22"/>
        </w:rPr>
        <w:t>1. 분석 표본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종속변수 기술통계</w:t>
      </w:r>
    </w:p>
    <w:p>
      <w:pPr>
        <w:keepNext/>
        <w:spacing w:before="160"/>
        <w:ind w:firstLine="0"/>
        <w:jc w:val="left"/>
      </w:pPr>
      <w:bookmarkStart w:id="1024" w:name="bm_t_4_1"/>
      <w:r>
        <w:rPr>
          <w:rFonts w:ascii="HY신명조" w:hAnsi="HY신명조" w:eastAsia="HY신명조" w:cs="HY신명조"/>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거리 기반 변수 기술통계</w:t>
      </w:r>
    </w:p>
    <w:p>
      <w:pPr>
        <w:keepNext/>
        <w:spacing w:before="160"/>
        <w:ind w:firstLine="0"/>
        <w:jc w:val="left"/>
      </w:pPr>
      <w:bookmarkStart w:id="1025" w:name="bm_t_4_2"/>
      <w:r>
        <w:rPr>
          <w:rFonts w:ascii="HY신명조" w:hAnsi="HY신명조" w:eastAsia="HY신명조" w:cs="HY신명조"/>
          <w:b w:val="0"/>
          <w:i w:val="0"/>
          <w:color w:val="000000"/>
          <w:sz w:val="20"/>
        </w:rPr>
        <w:t>&lt;표 4-2&gt; 주요 거리 기반 변수 분포 (단지 8,601 기준 중앙값 · 백분위)</w:t>
      </w:r>
      <w:bookmarkEnd w:id="1025"/>
    </w:p>
    <w:tbl>
      <w:tblPr>
        <w:tblStyle w:val="TableGrid"/>
        <w:tblW w:type="dxa" w:w="7909"/>
        <w:jc w:val="center"/>
        <w:tblLayout w:type="fixed"/>
        <w:tblLook w:firstColumn="1" w:firstRow="1" w:lastColumn="0" w:lastRow="0" w:noHBand="0" w:noVBand="1" w:val="04A0"/>
      </w:tblPr>
      <w:tblGrid>
        <w:gridCol w:w="2324"/>
        <w:gridCol w:w="1389"/>
        <w:gridCol w:w="1389"/>
        <w:gridCol w:w="1389"/>
        <w:gridCol w:w="1417"/>
      </w:tblGrid>
      <w:tr>
        <w:trPr>
          <w:cantSplit/>
          <w:tblHeader/>
        </w:trPr>
        <w:tc>
          <w:tcPr>
            <w:tcW w:w="232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w:t>
            </w:r>
          </w:p>
        </w:tc>
        <w:tc>
          <w:tcPr>
            <w:tcW w:w="141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677</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3,148</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478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604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1km 내 개수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중학교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875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2,067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1,002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3,219</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2,625</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215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1,940</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586</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3,801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1,900</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2,655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3,395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6,548</w:t>
            </w:r>
          </w:p>
        </w:tc>
      </w:tr>
      <w:tr>
        <w:trPr>
          <w:cantSplit/>
        </w:trPr>
        <w:tc>
          <w:tcPr>
            <w:tcW w:w="232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2,022</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2,964</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3,833</w:t>
            </w:r>
          </w:p>
        </w:tc>
        <w:tc>
          <w:tcPr>
            <w:tcW w:w="141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도보 추정 시간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추정 시간 분포는 &lt;표 4-3&gt;과 같다.</w:t>
      </w:r>
    </w:p>
    <w:p>
      <w:pPr>
        <w:keepNext/>
        <w:spacing w:before="160"/>
        <w:ind w:firstLine="0"/>
        <w:jc w:val="left"/>
      </w:pPr>
      <w:bookmarkStart w:id="1026" w:name="bm_t_4_3"/>
      <w:r>
        <w:rPr>
          <w:rFonts w:ascii="HY신명조" w:hAnsi="HY신명조" w:eastAsia="HY신명조" w:cs="HY신명조"/>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연도별·권역별 표본 분포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bm_h_21"/>
      <w:r>
        <w:rPr>
          <w:rFonts w:ascii="HY신명조" w:hAnsi="HY신명조" w:eastAsia="HY신명조" w:cs="HY신명조"/>
          <w:b/>
          <w:i w:val="0"/>
          <w:color w:val="000000"/>
          <w:sz w:val="26"/>
        </w:rPr>
        <w:t>제2절 모형별 예측 성능 비교</w:t>
      </w:r>
      <w:bookmarkEnd w:id="1027"/>
    </w:p>
    <w:p>
      <w:pPr>
        <w:pStyle w:val="Heading3"/>
        <w:keepNext/>
        <w:spacing w:line="384" w:lineRule="auto" w:before="240" w:after="160"/>
        <w:ind w:firstLine="0" w:left="397"/>
        <w:jc w:val="left"/>
      </w:pPr>
      <w:r>
        <w:rPr>
          <w:rFonts w:ascii="HY신명조" w:hAnsi="HY신명조" w:eastAsia="HY신명조" w:cs="HY신명조"/>
          <w:b/>
          <w:i w:val="0"/>
          <w:color w:val="000000"/>
          <w:sz w:val="22"/>
        </w:rPr>
        <w:t>1. 세 분할 기준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세 분할 기준의 예측 성능은 모형의 일반화 조건이 달라질 때 성능이 어떻게 변하는지를 확인하기 위한 것이다. XGBoost는 전용면적을 설명변수에서 제외한 후에도 세 분할 모두에서 OLS · 랜덤 포레스트를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pPr>
        <w:keepNext/>
        <w:spacing w:before="160"/>
        <w:ind w:firstLine="0"/>
        <w:jc w:val="left"/>
      </w:pPr>
      <w:bookmarkStart w:id="1028" w:name="bm_t_4_4"/>
      <w:r>
        <w:rPr>
          <w:rFonts w:ascii="HY신명조" w:hAnsi="HY신명조" w:eastAsia="HY신명조" w:cs="HY신명조"/>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행정동 집계 방식 대비 변화</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기준선과 거리 기반 비교모형의 성능 변화는 다음과 같이 해석할 수 있다. 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pPr>
        <w:keepNext/>
        <w:spacing w:before="160"/>
        <w:ind w:firstLine="0"/>
        <w:jc w:val="left"/>
      </w:pPr>
      <w:bookmarkStart w:id="1029" w:name="bm_t_4_5"/>
      <w:r>
        <w:rPr>
          <w:rFonts w:ascii="HY신명조" w:hAnsi="HY신명조" w:eastAsia="HY신명조" w:cs="HY신명조"/>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+2.6%p</w:t>
            </w:r>
          </w:p>
        </w:tc>
      </w:tr>
    </w:tbl>
    <w:p>
      <w:pPr>
        <w:spacing w:line="240" w:lineRule="auto" w:before="0" w:after="0"/>
      </w:pPr>
    </w:p>
    <w:p>
      <w:pPr>
        <w:pStyle w:val="Heading2"/>
        <w:keepNext/>
        <w:spacing w:line="384" w:lineRule="auto" w:before="360" w:after="240"/>
        <w:ind w:firstLine="0"/>
        <w:jc w:val="left"/>
      </w:pPr>
      <w:bookmarkStart w:id="1030" w:name="bm_h_22"/>
      <w:r>
        <w:rPr>
          <w:rFonts w:ascii="HY신명조" w:hAnsi="HY신명조" w:eastAsia="HY신명조" w:cs="HY신명조"/>
          <w:b/>
          <w:i w:val="0"/>
          <w:color w:val="000000"/>
          <w:sz w:val="26"/>
        </w:rPr>
        <w:t>제3절 소거분석(Ablation) — 공간 정합과 시간 정합의 정량 분해</w:t>
      </w:r>
      <w:bookmarkEnd w:id="1030"/>
    </w:p>
    <w:p>
      <w:pPr>
        <w:pStyle w:val="Heading3"/>
        <w:keepNext/>
        <w:spacing w:line="384" w:lineRule="auto" w:before="240" w:after="160"/>
        <w:ind w:firstLine="0" w:left="397"/>
        <w:jc w:val="left"/>
      </w:pPr>
      <w:r>
        <w:rPr>
          <w:rFonts w:ascii="HY신명조" w:hAnsi="HY신명조" w:eastAsia="HY신명조" w:cs="HY신명조"/>
          <w:b/>
          <w:i w:val="0"/>
          <w:color w:val="000000"/>
          <w:sz w:val="22"/>
        </w:rPr>
        <w:t>1. 실험 설계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정합(행정동 집계 vs 거리 기반)과 시간 정합(시점 무관 vs 연도별 시점 정합)의 기여를 분리하기 위해 다음 세 시나리오를 동일 표본 · 동일 XGBoost 설정값 조건에서 비교하였다. 시나리오 A의 행정동 집계 변수는 최종 주모형에 포함하지 않고, 기존 행정구역 집계 방식과의 비교를 위한 기준선으로만 사용한다. 소거분석 시나리오 구성은 &lt;표 4-6&gt;과 같다.</w:t>
      </w:r>
    </w:p>
    <w:p>
      <w:pPr>
        <w:keepNext/>
        <w:spacing w:before="160"/>
        <w:ind w:firstLine="0"/>
        <w:jc w:val="left"/>
      </w:pPr>
      <w:bookmarkStart w:id="1031" w:name="bm_t_4_6"/>
      <w:r>
        <w:rPr>
          <w:rFonts w:ascii="HY신명조" w:hAnsi="HY신명조" w:eastAsia="HY신명조" w:cs="HY신명조"/>
          <w:b w:val="0"/>
          <w:i w:val="0"/>
          <w:color w:val="000000"/>
          <w:sz w:val="20"/>
        </w:rPr>
        <w:t>&lt;표 4-6&gt; 소거분석 시나리오 구성</w:t>
      </w:r>
      <w:bookmarkEnd w:id="1031"/>
    </w:p>
    <w:tbl>
      <w:tblPr>
        <w:tblStyle w:val="TableGrid"/>
        <w:tblW w:type="dxa" w:w="7880"/>
        <w:jc w:val="center"/>
        <w:tblLayout w:type="fixed"/>
        <w:tblLook w:firstColumn="1" w:firstRow="1" w:lastColumn="0" w:lastRow="0" w:noHBand="0" w:noVBand="1" w:val="04A0"/>
      </w:tblPr>
      <w:tblGrid>
        <w:gridCol w:w="1474"/>
        <w:gridCol w:w="3402"/>
        <w:gridCol w:w="3005"/>
      </w:tblGrid>
      <w:tr>
        <w:trPr>
          <w:cantSplit/>
          <w:tblHeader/>
        </w:trPr>
        <w:tc>
          <w:tcPr>
            <w:tcW w:w="147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시나리오</w:t>
            </w:r>
          </w:p>
        </w:tc>
        <w:tc>
          <w:tcPr>
            <w:tcW w:w="340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구성</w:t>
            </w:r>
          </w:p>
        </w:tc>
        <w:tc>
          <w:tcPr>
            <w:tcW w:w="3005"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목적</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A 행정동 집계 기준선</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행정동 경계 내 시설 개수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기존 행정구역 집계 방식과의 비교</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B 거리만·시점무관</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+ 2026년 스냅샷 거리 변수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기반 전환 효과 확인</w:t>
            </w:r>
          </w:p>
        </w:tc>
      </w:tr>
      <w:tr>
        <w:trPr>
          <w:cantSplit/>
        </w:trPr>
        <w:tc>
          <w:tcPr>
            <w:tcW w:w="147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C 거리+시점정합 비교모형</w:t>
            </w:r>
          </w:p>
        </w:tc>
        <w:tc>
          <w:tcPr>
            <w:tcW w:w="3402"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B와 동일하되 거래연도별 활동 시설 스냅샷 사용</w:t>
            </w:r>
          </w:p>
        </w:tc>
        <w:tc>
          <w:tcPr>
            <w:tcW w:w="3005"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시간역전 정보누수 제거</w:t>
            </w:r>
          </w:p>
        </w:tc>
      </w:tr>
    </w:tbl>
    <w:p>
      <w:pPr>
        <w:spacing w:line="240" w:lineRule="auto" w:before="0" w:after="0"/>
      </w:pP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공간·시간 정합 효과</w:t>
      </w:r>
    </w:p>
    <w:p>
      <w:pPr>
        <w:keepNext/>
        <w:spacing w:before="160"/>
        <w:ind w:firstLine="0"/>
        <w:jc w:val="left"/>
      </w:pPr>
      <w:bookmarkStart w:id="1032" w:name="bm_t_4_7"/>
      <w:r>
        <w:rPr>
          <w:rFonts w:ascii="HY신명조" w:hAnsi="HY신명조" w:eastAsia="HY신명조" w:cs="HY신명조"/>
          <w:b w:val="0"/>
          <w:i w:val="0"/>
          <w:color w:val="000000"/>
          <w:sz w:val="20"/>
        </w:rPr>
        <w:t>&lt;표 4-7&gt; 소거분석 시나리오별 XGBoost R² (동일 테스트 조건)</w:t>
      </w:r>
      <w:bookmarkEnd w:id="103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25</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표의 결과를 보면 행정동 경계 내 시설 개수를 사용한 기준선보다 단지 좌표 기준 거리 변수를 사용한 모형이 무작위 분할과 시간순 분할에서 높은 설명력을 보였다. 반면 단지 분할에서는 거리 기반 모형의 R²가 낮아졌는데, 이는 학습 과정에서 관찰되지 않은 단지로 외삽할 때 단지 고유의 미관측 특성이 크게 작용할 수 있음을 의미한다. 시점 정합 비교모형은 거리만 사용한 모형보다 R²가 소폭 낮지만, 과거 거래에 미래 시설 정보가 결합되는 문제를 제거한다는 점에서 방법론적으로 더 보수적인 설계로 해석된다.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4-1&gt;은 &lt;표 4-7&gt;의 세 시나리오를 분할 방식별로 시각화한 것이다.</w:t>
      </w:r>
    </w:p>
    <w:p>
      <w:pPr>
        <w:keepLines/>
        <w:spacing w:before="120" w:after="120" w:line="240" w:lineRule="auto"/>
        <w:ind w:firstLine="0"/>
        <w:jc w:val="center"/>
      </w:pPr>
      <w:bookmarkStart w:id="1033" w:name="bm_f_4_1"/>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r>
        <w:br/>
      </w:r>
      <w:r>
        <w:rPr>
          <w:rFonts w:ascii="HY신명조" w:hAnsi="HY신명조" w:eastAsia="HY신명조" w:cs="HY신명조"/>
          <w:b w:val="0"/>
          <w:i w:val="0"/>
          <w:color w:val="000000"/>
          <w:sz w:val="20"/>
        </w:rPr>
        <w:t>&lt;그림 4-1&gt; 소거분석 시나리오별 XGBoost R²</w:t>
      </w:r>
      <w:bookmarkEnd w:id="1033"/>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4" w:name="bm_h_23"/>
      <w:r>
        <w:rPr>
          <w:rFonts w:ascii="HY신명조" w:hAnsi="HY신명조" w:eastAsia="HY신명조" w:cs="HY신명조"/>
          <w:b/>
          <w:i w:val="0"/>
          <w:color w:val="000000"/>
          <w:sz w:val="26"/>
        </w:rPr>
        <w:t>제4절 전체 SHAP 분석 — 가격 예측 기여 구조</w:t>
      </w:r>
      <w:bookmarkEnd w:id="1034"/>
    </w:p>
    <w:p>
      <w:pPr>
        <w:pStyle w:val="Heading3"/>
        <w:keepNext/>
        <w:spacing w:line="384" w:lineRule="auto" w:before="240" w:after="160"/>
        <w:ind w:firstLine="0" w:left="397"/>
        <w:jc w:val="left"/>
      </w:pPr>
      <w:r>
        <w:rPr>
          <w:rFonts w:ascii="HY신명조" w:hAnsi="HY신명조" w:eastAsia="HY신명조" w:cs="HY신명조"/>
          <w:b/>
          <w:i w:val="0"/>
          <w:color w:val="000000"/>
          <w:sz w:val="22"/>
        </w:rPr>
        <w:t>1. 전체 모형의 상위 SHAP 변수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최종 모형의 테스트 표본 5,000건에 대해 TreeSHAP을 적용한 결과, 평균 절대 SHAP값 기준 상위 변수 구조는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다음의 &lt;표 4-8&gt;은 평균 절대 SHAP값 기준 상위 변수군을 정리한 것이다. 이 값은 인과효과 크기가 아니라 모형 내부의 예측 기여도이며, 순위는 변수 범주 간 상대적 기여 구조를 비교하는 기준으로 해석한다.</w:t>
      </w:r>
    </w:p>
    <w:p>
      <w:pPr>
        <w:keepNext/>
        <w:spacing w:before="160"/>
        <w:ind w:firstLine="0"/>
        <w:jc w:val="left"/>
      </w:pPr>
      <w:bookmarkStart w:id="1035" w:name="bm_t_4_8"/>
      <w:r>
        <w:rPr>
          <w:rFonts w:ascii="HY신명조" w:hAnsi="HY신명조" w:eastAsia="HY신명조" w:cs="HY신명조"/>
          <w:b w:val="0"/>
          <w:i w:val="0"/>
          <w:color w:val="000000"/>
          <w:sz w:val="20"/>
        </w:rPr>
        <w:t>&lt;표 4-8&gt; SHAP 기여도 상위 15 변수 (전체 모형)</w:t>
      </w:r>
      <w:bookmarkEnd w:id="103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bl>
    <w:p>
      <w:pPr>
        <w:spacing w:line="240" w:lineRule="auto" w:before="0" w:after="0"/>
      </w:pPr>
    </w:p>
    <w:p>
      <w:pPr>
        <w:keepLines/>
        <w:spacing w:before="120" w:after="120" w:line="240" w:lineRule="auto"/>
        <w:ind w:firstLine="0"/>
        <w:jc w:val="center"/>
      </w:pPr>
      <w:bookmarkStart w:id="1036" w:name="bm_f_4_2"/>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r>
        <w:br/>
      </w:r>
      <w:r>
        <w:rPr>
          <w:rFonts w:ascii="HY신명조" w:hAnsi="HY신명조" w:eastAsia="HY신명조" w:cs="HY신명조"/>
          <w:b w:val="0"/>
          <w:i w:val="0"/>
          <w:color w:val="000000"/>
          <w:sz w:val="20"/>
        </w:rPr>
        <w:t>&lt;그림 4-2&gt; 전체 모형 SHAP 변수 중요도 상위 15</w:t>
      </w:r>
      <w:bookmarkEnd w:id="103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line="240" w:lineRule="auto"/>
        <w:ind w:firstLine="0"/>
        <w:jc w:val="center"/>
      </w:pPr>
      <w:bookmarkStart w:id="1037" w:name="bm_f_4_3"/>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r>
        <w:br/>
      </w:r>
      <w:r>
        <w:rPr>
          <w:rFonts w:ascii="HY신명조" w:hAnsi="HY신명조" w:eastAsia="HY신명조" w:cs="HY신명조"/>
          <w:b w:val="0"/>
          <w:i w:val="0"/>
          <w:color w:val="000000"/>
          <w:sz w:val="20"/>
        </w:rPr>
        <w:t>&lt;그림 4-3&gt; SHAP 요약도 — 변수 방향성 및 분포</w:t>
      </w:r>
      <w:bookmarkEnd w:id="103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범주별 기여도 분해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 의존도 패턴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 ~ 4-7&gt;은 주요 변수의 SHAP 의존도 그림이며, OLS 선형 가정이 포착하지 못하는 비선형 관계를 시각적으로 제시한다.</w:t>
      </w:r>
    </w:p>
    <w:p>
      <w:pPr>
        <w:keepLines/>
        <w:spacing w:before="120" w:after="120" w:line="240" w:lineRule="auto"/>
        <w:ind w:firstLine="0"/>
        <w:jc w:val="center"/>
      </w:pPr>
      <w:bookmarkStart w:id="1038" w:name="bm_f_4_4"/>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r>
        <w:br/>
      </w:r>
      <w:r>
        <w:rPr>
          <w:rFonts w:ascii="HY신명조" w:hAnsi="HY신명조" w:eastAsia="HY신명조" w:cs="HY신명조"/>
          <w:b w:val="0"/>
          <w:i w:val="0"/>
          <w:color w:val="000000"/>
          <w:sz w:val="20"/>
        </w:rPr>
        <w:t>&lt;그림 4-4&gt; 건물연령 SHAP 의존도 — U자형</w:t>
      </w:r>
      <w:bookmarkEnd w:id="1038"/>
    </w:p>
    <w:p>
      <w:pPr>
        <w:keepLines/>
        <w:spacing w:before="120" w:after="120" w:line="240" w:lineRule="auto"/>
        <w:ind w:firstLine="0"/>
        <w:jc w:val="center"/>
      </w:pPr>
      <w:bookmarkStart w:id="1039" w:name="bm_f_4_5"/>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4-5&gt; 어린이집 1km 내 개수 SHAP 의존도</w:t>
      </w:r>
      <w:bookmarkEnd w:id="1039"/>
    </w:p>
    <w:p>
      <w:pPr>
        <w:keepLines/>
        <w:spacing w:before="120" w:after="120" w:line="240" w:lineRule="auto"/>
        <w:ind w:firstLine="0"/>
        <w:jc w:val="center"/>
      </w:pPr>
      <w:bookmarkStart w:id="1040" w:name="bm_f_4_6"/>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r>
        <w:br/>
      </w:r>
      <w:r>
        <w:rPr>
          <w:rFonts w:ascii="HY신명조" w:hAnsi="HY신명조" w:eastAsia="HY신명조" w:cs="HY신명조"/>
          <w:b w:val="0"/>
          <w:i w:val="0"/>
          <w:color w:val="000000"/>
          <w:sz w:val="20"/>
        </w:rPr>
        <w:t>&lt;그림 4-6&gt; 지하철 최근접거리 SHAP 의존도 — 임계반응형</w:t>
      </w:r>
      <w:bookmarkEnd w:id="1040"/>
    </w:p>
    <w:p>
      <w:pPr>
        <w:keepLines/>
        <w:spacing w:before="120" w:after="120" w:line="240" w:lineRule="auto"/>
        <w:ind w:firstLine="0"/>
        <w:jc w:val="center"/>
      </w:pPr>
      <w:bookmarkStart w:id="1041" w:name="bm_f_4_7"/>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4-7&gt; 백화점 최근접거리 SHAP 의존도</w:t>
      </w:r>
      <w:bookmarkEnd w:id="104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4-4&gt;에서 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2" w:name="bm_h_24"/>
      <w:r>
        <w:rPr>
          <w:rFonts w:ascii="HY신명조" w:hAnsi="HY신명조" w:eastAsia="HY신명조" w:cs="HY신명조"/>
          <w:b/>
          <w:i w:val="0"/>
          <w:color w:val="000000"/>
          <w:sz w:val="26"/>
        </w:rPr>
        <w:t>제5절 권역별 SHAP 분석 — 강남3구와 비강남의 구성 차이</w:t>
      </w:r>
      <w:bookmarkEnd w:id="1042"/>
    </w:p>
    <w:p>
      <w:pPr>
        <w:pStyle w:val="Heading3"/>
        <w:keepNext/>
        <w:spacing w:line="384" w:lineRule="auto" w:before="240" w:after="160"/>
        <w:ind w:firstLine="0" w:left="397"/>
        <w:jc w:val="left"/>
      </w:pPr>
      <w:r>
        <w:rPr>
          <w:rFonts w:ascii="HY신명조" w:hAnsi="HY신명조" w:eastAsia="HY신명조" w:cs="HY신명조"/>
          <w:b/>
          <w:i w:val="0"/>
          <w:color w:val="000000"/>
          <w:sz w:val="22"/>
        </w:rPr>
        <w:t>1. 권역별 예측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강남구분 더미를 제거한 동일 특성 공간에서 강남3구와 비강남을 각각 학습 · 평가한 결과는 다음과 같다.</w:t>
      </w:r>
    </w:p>
    <w:p>
      <w:pPr>
        <w:keepNext/>
        <w:spacing w:before="160"/>
        <w:ind w:firstLine="0"/>
        <w:jc w:val="left"/>
      </w:pPr>
      <w:bookmarkStart w:id="1043" w:name="bm_t_4_9"/>
      <w:r>
        <w:rPr>
          <w:rFonts w:ascii="HY신명조" w:hAnsi="HY신명조" w:eastAsia="HY신명조" w:cs="HY신명조"/>
          <w:b w:val="0"/>
          <w:i w:val="0"/>
          <w:color w:val="000000"/>
          <w:sz w:val="20"/>
        </w:rPr>
        <w:t>&lt;표 4-9&gt; 권역별 독립 모형의 예측 성능</w:t>
      </w:r>
      <w:bookmarkEnd w:id="1043"/>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권역별 상위 SHAP 변수 차이</w:t>
      </w:r>
    </w:p>
    <w:p>
      <w:pPr>
        <w:keepNext/>
        <w:spacing w:before="160"/>
        <w:ind w:firstLine="0"/>
        <w:jc w:val="left"/>
      </w:pPr>
      <w:bookmarkStart w:id="1044" w:name="bm_t_4_10"/>
      <w:r>
        <w:rPr>
          <w:rFonts w:ascii="HY신명조" w:hAnsi="HY신명조" w:eastAsia="HY신명조" w:cs="HY신명조"/>
          <w:b w:val="0"/>
          <w:i w:val="0"/>
          <w:color w:val="000000"/>
          <w:sz w:val="20"/>
        </w:rPr>
        <w:t>&lt;표 4-10&gt; 권역별 SHAP 상위 5개 변수 (전체 기간 2019-2025)</w:t>
      </w:r>
      <w:bookmarkEnd w:id="1044"/>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r>
    </w:tbl>
    <w:p>
      <w:pPr>
        <w:spacing w:line="240" w:lineRule="auto" w:before="0" w:after="0"/>
      </w:pPr>
    </w:p>
    <w:p>
      <w:pPr>
        <w:keepLines/>
        <w:spacing w:before="120" w:after="120" w:line="240" w:lineRule="auto"/>
        <w:ind w:firstLine="0"/>
        <w:jc w:val="center"/>
      </w:pPr>
      <w:bookmarkStart w:id="1045" w:name="bm_f_4_8"/>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r>
        <w:br/>
      </w:r>
      <w:r>
        <w:rPr>
          <w:rFonts w:ascii="HY신명조" w:hAnsi="HY신명조" w:eastAsia="HY신명조" w:cs="HY신명조"/>
          <w:b w:val="0"/>
          <w:i w:val="0"/>
          <w:color w:val="000000"/>
          <w:sz w:val="20"/>
        </w:rPr>
        <w:t>&lt;그림 4-8&gt; 권역별 SHAP 상위 5개 변수 비교</w:t>
      </w:r>
      <w:bookmarkEnd w:id="1045"/>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6" w:name="bm_h_25"/>
      <w:r>
        <w:rPr>
          <w:rFonts w:ascii="HY신명조" w:hAnsi="HY신명조" w:eastAsia="HY신명조" w:cs="HY신명조"/>
          <w:b/>
          <w:i w:val="0"/>
          <w:color w:val="000000"/>
          <w:sz w:val="26"/>
        </w:rPr>
        <w:t>제6절 연도별 SHAP 분석 — 시장 국면별 기여도 변동</w:t>
      </w:r>
      <w:bookmarkEnd w:id="104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연도별 예측 성능</w:t>
      </w:r>
    </w:p>
    <w:p>
      <w:pPr>
        <w:keepNext/>
        <w:spacing w:before="160"/>
        <w:ind w:firstLine="0"/>
        <w:jc w:val="left"/>
      </w:pPr>
      <w:bookmarkStart w:id="1047" w:name="bm_t_4_11"/>
      <w:r>
        <w:rPr>
          <w:rFonts w:ascii="HY신명조" w:hAnsi="HY신명조" w:eastAsia="HY신명조" w:cs="HY신명조"/>
          <w:b w:val="0"/>
          <w:i w:val="0"/>
          <w:color w:val="000000"/>
          <w:sz w:val="20"/>
        </w:rPr>
        <w:t>&lt;표 4-11&gt; 연도별 전체 모형 XGBoost 예측 성능</w:t>
      </w:r>
      <w:bookmarkEnd w:id="1047"/>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연도별 상위 SHAP 변수</w:t>
      </w:r>
    </w:p>
    <w:p>
      <w:pPr>
        <w:keepNext/>
        <w:spacing w:before="160"/>
        <w:ind w:firstLine="0"/>
        <w:jc w:val="left"/>
      </w:pPr>
      <w:bookmarkStart w:id="1048" w:name="bm_t_4_12"/>
      <w:r>
        <w:rPr>
          <w:rFonts w:ascii="HY신명조" w:hAnsi="HY신명조" w:eastAsia="HY신명조" w:cs="HY신명조"/>
          <w:b w:val="0"/>
          <w:i w:val="0"/>
          <w:color w:val="000000"/>
          <w:sz w:val="20"/>
        </w:rPr>
        <w:t>&lt;표 4-12&gt; 전체 모형 연도별 SHAP 상위 5 변수</w:t>
      </w:r>
      <w:bookmarkEnd w:id="1048"/>
    </w:p>
    <w:tbl>
      <w:tblPr>
        <w:tblStyle w:val="TableGrid"/>
        <w:tblW w:type="dxa" w:w="7937"/>
        <w:jc w:val="center"/>
        <w:tblLayout w:type="fixed"/>
        <w:tblLook w:firstColumn="1" w:firstRow="1" w:lastColumn="0" w:lastRow="0" w:noHBand="0" w:noVBand="1" w:val="04A0"/>
      </w:tblPr>
      <w:tblGrid>
        <w:gridCol w:w="652"/>
        <w:gridCol w:w="1457"/>
        <w:gridCol w:w="1457"/>
        <w:gridCol w:w="1457"/>
        <w:gridCol w:w="1457"/>
        <w:gridCol w:w="1457"/>
      </w:tblGrid>
      <w:tr>
        <w:trPr>
          <w:cantSplit/>
          <w:tblHeader/>
        </w:trPr>
        <w:tc>
          <w:tcPr>
            <w:tcW w:w="65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연도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1위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2위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3위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4위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5위</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2019</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2020</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2021</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2022</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2023</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2024</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2025</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9" w:name="bm_h_26"/>
      <w:r>
        <w:rPr>
          <w:rFonts w:ascii="HY신명조" w:hAnsi="HY신명조" w:eastAsia="HY신명조" w:cs="HY신명조"/>
          <w:b/>
          <w:i w:val="0"/>
          <w:color w:val="000000"/>
          <w:sz w:val="26"/>
        </w:rPr>
        <w:t>제7절 연도×권역 교차 SHAP 분석 — 시공간 이질성의 실증</w:t>
      </w:r>
      <w:bookmarkEnd w:id="1049"/>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연도×권역 교차 성능</w:t>
      </w:r>
    </w:p>
    <w:p>
      <w:pPr>
        <w:keepNext/>
        <w:spacing w:before="160"/>
        <w:ind w:firstLine="0"/>
        <w:jc w:val="left"/>
      </w:pPr>
      <w:bookmarkStart w:id="1050" w:name="bm_t_4_13"/>
      <w:r>
        <w:rPr>
          <w:rFonts w:ascii="HY신명조" w:hAnsi="HY신명조" w:eastAsia="HY신명조" w:cs="HY신명조"/>
          <w:b w:val="0"/>
          <w:i w:val="0"/>
          <w:color w:val="000000"/>
          <w:sz w:val="20"/>
        </w:rPr>
        <w:t>&lt;표 4-13&gt; 연도×권역 XGBoost R² 피벗</w:t>
      </w:r>
      <w:bookmarkEnd w:id="1050"/>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r>
    </w:tbl>
    <w:p>
      <w:pPr>
        <w:spacing w:line="240" w:lineRule="auto" w:before="0" w:after="0"/>
      </w:pPr>
    </w:p>
    <w:p>
      <w:pPr>
        <w:keepLines/>
        <w:spacing w:before="120" w:after="120" w:line="240" w:lineRule="auto"/>
        <w:ind w:firstLine="0"/>
        <w:jc w:val="center"/>
      </w:pPr>
      <w:bookmarkStart w:id="1051" w:name="bm_f_4_9"/>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r>
        <w:br/>
      </w:r>
      <w:r>
        <w:rPr>
          <w:rFonts w:ascii="HY신명조" w:hAnsi="HY신명조" w:eastAsia="HY신명조" w:cs="HY신명조"/>
          <w:b w:val="0"/>
          <w:i w:val="0"/>
          <w:color w:val="000000"/>
          <w:sz w:val="20"/>
        </w:rPr>
        <w:t>&lt;그림 4-9&gt; 연도×권역 XGBoost R² 히트맵</w:t>
      </w:r>
      <w:bookmarkEnd w:id="105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강남3구 연도별 상위 변수 변화</w:t>
      </w:r>
    </w:p>
    <w:p>
      <w:pPr>
        <w:keepNext/>
        <w:spacing w:before="160"/>
        <w:ind w:firstLine="0"/>
        <w:jc w:val="left"/>
      </w:pPr>
      <w:bookmarkStart w:id="1052" w:name="bm_t_4_14"/>
      <w:r>
        <w:rPr>
          <w:rFonts w:ascii="HY신명조" w:hAnsi="HY신명조" w:eastAsia="HY신명조" w:cs="HY신명조"/>
          <w:b w:val="0"/>
          <w:i w:val="0"/>
          <w:color w:val="000000"/>
          <w:sz w:val="20"/>
        </w:rPr>
        <w:t>&lt;표 4-14&gt; 강남3구 연도별 SHAP 상위 3개 변수</w:t>
      </w:r>
      <w:bookmarkEnd w:id="1052"/>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비강남 연도별 상위 변수</w:t>
      </w:r>
    </w:p>
    <w:p>
      <w:pPr>
        <w:keepNext/>
        <w:spacing w:before="160"/>
        <w:ind w:firstLine="0"/>
        <w:jc w:val="left"/>
      </w:pPr>
      <w:bookmarkStart w:id="1053" w:name="bm_t_4_15"/>
      <w:r>
        <w:rPr>
          <w:rFonts w:ascii="HY신명조" w:hAnsi="HY신명조" w:eastAsia="HY신명조" w:cs="HY신명조"/>
          <w:b w:val="0"/>
          <w:i w:val="0"/>
          <w:color w:val="000000"/>
          <w:sz w:val="20"/>
        </w:rPr>
        <w:t>&lt;표 4-15&gt; 비강남 연도별 SHAP 상위 5개 변수 (7년 고정 패턴)</w:t>
      </w:r>
      <w:bookmarkEnd w:id="1053"/>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line="240" w:lineRule="auto"/>
        <w:ind w:firstLine="0"/>
        <w:jc w:val="center"/>
      </w:pPr>
      <w:bookmarkStart w:id="1054" w:name="bm_f_4_10"/>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r>
        <w:br/>
      </w:r>
      <w:r>
        <w:rPr>
          <w:rFonts w:ascii="HY신명조" w:hAnsi="HY신명조" w:eastAsia="HY신명조" w:cs="HY신명조"/>
          <w:b w:val="0"/>
          <w:i w:val="0"/>
          <w:color w:val="000000"/>
          <w:sz w:val="20"/>
        </w:rPr>
        <w:t>&lt;그림 4-10&gt; 연도별 최상위 SHAP 변수 변화 (강남3구 vs 비강남)</w:t>
      </w:r>
      <w:bookmarkEnd w:id="105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4-10&gt;은 강남3구와 비강남에서 연도별 최상위 SHAP 변수가 어떻게 교체되는지를 요약한다.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권역별 예측 기여 구조의 종합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분석은 권역별 시간 안정성과 거리 기반 변수의 차등 기여를 함께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5" w:name="bm_h_27"/>
      <w:r>
        <w:rPr>
          <w:rFonts w:ascii="HY신명조" w:hAnsi="HY신명조" w:eastAsia="HY신명조" w:cs="HY신명조"/>
          <w:b/>
          <w:i w:val="0"/>
          <w:color w:val="000000"/>
          <w:sz w:val="32"/>
        </w:rPr>
        <w:t>제5장 결론</w:t>
      </w:r>
      <w:bookmarkEnd w:id="1055"/>
    </w:p>
    <w:p>
      <w:pPr>
        <w:pStyle w:val="Heading2"/>
        <w:keepNext/>
        <w:spacing w:line="384" w:lineRule="auto" w:before="360" w:after="240"/>
        <w:ind w:firstLine="0"/>
        <w:jc w:val="left"/>
      </w:pPr>
      <w:bookmarkStart w:id="1056" w:name="bm_h_28"/>
      <w:r>
        <w:rPr>
          <w:rFonts w:ascii="HY신명조" w:hAnsi="HY신명조" w:eastAsia="HY신명조" w:cs="HY신명조"/>
          <w:b/>
          <w:i w:val="0"/>
          <w:color w:val="000000"/>
          <w:sz w:val="26"/>
        </w:rPr>
        <w:t>제1절 연구 결과 요약</w:t>
      </w:r>
      <w:bookmarkEnd w:id="105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종속변수는 단위면적당 매매가격의 자연로그값으로 설정하였고, 전용면적은 종속변수 산식에만 사용하고 설명변수에서는 제외하였다. OLS · 랜덤 포레스트 · XGBoost의 예측 성능은 무작위 · 단지 · 시간순 세 분할에서 비교하였으며, 이후 SHAP 기여도를 전체 · 권역 · 연도 · 연도×권역 단면으로 나누어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R²=0.927, 시간순 R²=0.812, 단지 R²=0.638로 세 분할 모두에서 OLS와 랜덤 포레스트를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pPr>
        <w:pStyle w:val="Heading2"/>
        <w:keepNext/>
        <w:spacing w:line="384" w:lineRule="auto" w:before="360" w:after="240"/>
        <w:ind w:firstLine="0"/>
        <w:jc w:val="left"/>
      </w:pPr>
      <w:bookmarkStart w:id="1057" w:name="bm_h_29"/>
      <w:r>
        <w:rPr>
          <w:rFonts w:ascii="HY신명조" w:hAnsi="HY신명조" w:eastAsia="HY신명조" w:cs="HY신명조"/>
          <w:b/>
          <w:i w:val="0"/>
          <w:color w:val="000000"/>
          <w:sz w:val="26"/>
        </w:rPr>
        <w:t>제2절 연구의 한계 및 향후 과제</w:t>
      </w:r>
      <w:bookmarkEnd w:id="105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pPr>
        <w:pStyle w:val="Heading1"/>
        <w:keepNext/>
        <w:pageBreakBefore/>
        <w:spacing w:line="384" w:lineRule="auto" w:before="480" w:after="360"/>
        <w:ind w:firstLine="0"/>
        <w:jc w:val="center"/>
      </w:pPr>
      <w:bookmarkStart w:id="1058" w:name="bm_h_30"/>
      <w:r>
        <w:rPr>
          <w:rFonts w:ascii="HY신명조" w:hAnsi="HY신명조" w:eastAsia="HY신명조" w:cs="HY신명조"/>
          <w:b/>
          <w:i w:val="0"/>
          <w:color w:val="000000"/>
          <w:sz w:val="32"/>
        </w:rPr>
        <w:t>참고문헌</w:t>
      </w:r>
      <w:bookmarkEnd w:id="1058"/>
    </w:p>
    <w:p>
      <w:pPr>
        <w:pStyle w:val="Heading2"/>
        <w:keepNext/>
        <w:spacing w:line="384" w:lineRule="auto" w:before="360" w:after="240"/>
        <w:ind w:firstLine="0"/>
        <w:jc w:val="left"/>
      </w:pPr>
      <w:bookmarkStart w:id="1059" w:name="bm_h_31"/>
      <w:r>
        <w:rPr>
          <w:rFonts w:ascii="HY신명조" w:hAnsi="HY신명조" w:eastAsia="HY신명조" w:cs="HY신명조"/>
          <w:b/>
          <w:i w:val="0"/>
          <w:color w:val="000000"/>
          <w:sz w:val="26"/>
        </w:rPr>
        <w:t>국내문헌</w:t>
      </w:r>
      <w:bookmarkEnd w:id="1059"/>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김명진, 서원석 (2023). 코로나19에 따른 유형별 소매유통시설의 아파트 가격 영향: 전역적 · 국지적 시계열 효과를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37-53.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김우성, 이시온, 장현수, 김재완, 홍정의 (2019). 헤도닉 가격 모형을 통한 주거 선호의 구조 변화 분석: 2006-2017년 강남 지역 아파트를 중심으로. </w:t>
      </w:r>
      <w:r>
        <w:rPr>
          <w:rFonts w:ascii="HY신명조" w:hAnsi="HY신명조" w:eastAsia="HY신명조" w:cs="HY신명조"/>
          <w:b w:val="0"/>
          <w:i/>
          <w:color w:val="000000"/>
          <w:sz w:val="22"/>
        </w:rPr>
        <w:t>부동산학보</w:t>
      </w:r>
      <w:r>
        <w:rPr>
          <w:rFonts w:ascii="HY신명조" w:hAnsi="HY신명조" w:eastAsia="HY신명조" w:cs="HY신명조"/>
          <w:b w:val="0"/>
          <w:i w:val="0"/>
          <w:color w:val="000000"/>
          <w:sz w:val="22"/>
        </w:rPr>
        <w:t>, 76, 137-150.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김이환, 김형준, 류두진, 조훈 (2022). 기계학습 방법론을 활용한 아파트 매매가격지수 연구.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8(3), 1-29.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김학현, 유환규, 오하영 (2023). 딥러닝과 머신러닝을 이용한 아파트 실거래가 예측. </w:t>
      </w:r>
      <w:r>
        <w:rPr>
          <w:rFonts w:ascii="HY신명조" w:hAnsi="HY신명조" w:eastAsia="HY신명조" w:cs="HY신명조"/>
          <w:b w:val="0"/>
          <w:i/>
          <w:color w:val="000000"/>
          <w:sz w:val="22"/>
        </w:rPr>
        <w:t>정보처리학회 논문지</w:t>
      </w:r>
      <w:r>
        <w:rPr>
          <w:rFonts w:ascii="HY신명조" w:hAnsi="HY신명조" w:eastAsia="HY신명조" w:cs="HY신명조"/>
          <w:b w:val="0"/>
          <w:i w:val="0"/>
          <w:color w:val="000000"/>
          <w:sz w:val="22"/>
        </w:rPr>
        <w:t>, 12 (2), 59-76.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노산하, 신진호 (2021). 검색빈도를 이용한 종합부동산세 및 재산세의 주택가격 인하효과 분석. </w:t>
      </w:r>
      <w:r>
        <w:rPr>
          <w:rFonts w:ascii="HY신명조" w:hAnsi="HY신명조" w:eastAsia="HY신명조" w:cs="HY신명조"/>
          <w:b w:val="0"/>
          <w:i/>
          <w:color w:val="000000"/>
          <w:sz w:val="22"/>
        </w:rPr>
        <w:t>국토연구</w:t>
      </w:r>
      <w:r>
        <w:rPr>
          <w:rFonts w:ascii="HY신명조" w:hAnsi="HY신명조" w:eastAsia="HY신명조" w:cs="HY신명조"/>
          <w:b w:val="0"/>
          <w:i w:val="0"/>
          <w:color w:val="000000"/>
          <w:sz w:val="22"/>
        </w:rPr>
        <w:t>, 110, 81-93.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배성완, 유정석 (2018). 머신 러닝 방법과 시계열 분석 모형을 이용한 부동산 가격지수 예측. </w:t>
      </w:r>
      <w:r>
        <w:rPr>
          <w:rFonts w:ascii="HY신명조" w:hAnsi="HY신명조" w:eastAsia="HY신명조" w:cs="HY신명조"/>
          <w:b w:val="0"/>
          <w:i/>
          <w:color w:val="000000"/>
          <w:sz w:val="22"/>
        </w:rPr>
        <w:t>주택연구</w:t>
      </w:r>
      <w:r>
        <w:rPr>
          <w:rFonts w:ascii="HY신명조" w:hAnsi="HY신명조" w:eastAsia="HY신명조" w:cs="HY신명조"/>
          <w:b w:val="0"/>
          <w:i w:val="0"/>
          <w:color w:val="000000"/>
          <w:sz w:val="22"/>
        </w:rPr>
        <w:t>, 26 (1), 107-133.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배종찬, 정재호 (2021). 거시경제와 부동산정책이 서울 아파트가격에 미치는 영향 연구.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12 (4), 41-59.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신광문, 이재수 (2019). 공간 헤도닉 가격 모형을 적용한 소형주택의 임대료 결정 요인.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5(3), 49-66.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이선구 (2025). XGBoost 기반 부동산 자동가치산정모형 (AVM)의 실증 분석: 은평구 다세대주택 실거래가를 중심으로.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11 (2), 21-40.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장희선, 최성록, 엄영숙 (2021). 공간헤도닉가격모형을 적용한 서울시민들의 도시공원 서비스에 대한 편익측정. </w:t>
      </w:r>
      <w:r>
        <w:rPr>
          <w:rFonts w:ascii="HY신명조" w:hAnsi="HY신명조" w:eastAsia="HY신명조" w:cs="HY신명조"/>
          <w:b w:val="0"/>
          <w:i/>
          <w:color w:val="000000"/>
          <w:sz w:val="22"/>
        </w:rPr>
        <w:t>국토계획</w:t>
      </w:r>
      <w:r>
        <w:rPr>
          <w:rFonts w:ascii="HY신명조" w:hAnsi="HY신명조" w:eastAsia="HY신명조" w:cs="HY신명조"/>
          <w:b w:val="0"/>
          <w:i w:val="0"/>
          <w:color w:val="000000"/>
          <w:sz w:val="22"/>
        </w:rPr>
        <w:t>, 56 (5), 215-227.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정진오, 정재호 (2023). 부동산정책이 부동산가격에 미치는 영향에 관한 연구: 조세정책과 금융정책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55-75.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조보근, 박경배, 하성호 (2020). 기계학습 알고리즘을 활용한 지역별 아파트 실거래가격지수 예측모델 비교: LIME 해석력 검증. </w:t>
      </w:r>
      <w:r>
        <w:rPr>
          <w:rFonts w:ascii="HY신명조" w:hAnsi="HY신명조" w:eastAsia="HY신명조" w:cs="HY신명조"/>
          <w:b w:val="0"/>
          <w:i/>
          <w:color w:val="000000"/>
          <w:sz w:val="22"/>
        </w:rPr>
        <w:t>정보시스템연구</w:t>
      </w:r>
      <w:r>
        <w:rPr>
          <w:rFonts w:ascii="HY신명조" w:hAnsi="HY신명조" w:eastAsia="HY신명조" w:cs="HY신명조"/>
          <w:b w:val="0"/>
          <w:i w:val="0"/>
          <w:color w:val="000000"/>
          <w:sz w:val="22"/>
        </w:rPr>
        <w:t>, 29 (3), 119-144.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통계청 (2024). 가계금융복지조사 결과. 통계청.</w:t>
      </w:r>
    </w:p>
    <w:p>
      <w:pPr>
        <w:pStyle w:val="Heading2"/>
        <w:keepNext/>
        <w:spacing w:line="384" w:lineRule="auto" w:before="360" w:after="240"/>
        <w:ind w:firstLine="0"/>
        <w:jc w:val="left"/>
      </w:pPr>
      <w:bookmarkStart w:id="1060" w:name="bm_h_32"/>
      <w:r>
        <w:rPr>
          <w:rFonts w:ascii="HY신명조" w:hAnsi="HY신명조" w:eastAsia="HY신명조" w:cs="HY신명조"/>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bm_h_33"/>
      <w:r>
        <w:rPr>
          <w:rFonts w:ascii="HY신명조" w:hAnsi="HY신명조" w:eastAsia="HY신명조" w:cs="HY신명조"/>
          <w:b/>
          <w:i w:val="0"/>
          <w:color w:val="000000"/>
          <w:sz w:val="26"/>
        </w:rPr>
        <w:t>해외문헌</w:t>
      </w:r>
      <w:bookmarkEnd w:id="1061"/>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 S., Song, Y., Jang, H. &amp; Ahn, K. (2025). Toward transparent and accurate housing price appraisal: Hedonic price models versus machine learning algorithms. </w:t>
      </w:r>
      <w:r>
        <w:rPr>
          <w:rFonts w:ascii="HY신명조" w:hAnsi="HY신명조" w:eastAsia="HY신명조" w:cs="HY신명조"/>
          <w:b w:val="0"/>
          <w:i/>
          <w:color w:val="000000"/>
          <w:sz w:val="22"/>
        </w:rPr>
        <w:t>Financial Innovation</w:t>
      </w:r>
      <w:r>
        <w:rPr>
          <w:rFonts w:ascii="HY신명조" w:hAnsi="HY신명조" w:eastAsia="HY신명조" w:cs="HY신명조"/>
          <w:b w:val="0"/>
          <w:i w:val="0"/>
          <w:color w:val="000000"/>
          <w:sz w:val="22"/>
        </w:rPr>
        <w:t>, 11, Article 141.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Anselin, L. (1988). </w:t>
      </w:r>
      <w:r>
        <w:rPr>
          <w:rFonts w:ascii="HY신명조" w:hAnsi="HY신명조" w:eastAsia="HY신명조" w:cs="HY신명조"/>
          <w:b w:val="0"/>
          <w:i/>
          <w:color w:val="000000"/>
          <w:sz w:val="22"/>
        </w:rPr>
        <w:t>Spatial Econometrics: Methods and Models</w:t>
      </w:r>
      <w:r>
        <w:rPr>
          <w:rFonts w:ascii="HY신명조" w:hAnsi="HY신명조" w:eastAsia="HY신명조" w:cs="HY신명조"/>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Boeing, G. (2019). The morphology and circuity of walkable and drivable street networks. In L. D'Acci (Ed.), </w:t>
      </w:r>
      <w:r>
        <w:rPr>
          <w:rFonts w:ascii="HY신명조" w:hAnsi="HY신명조" w:eastAsia="HY신명조" w:cs="HY신명조"/>
          <w:b w:val="0"/>
          <w:i/>
          <w:color w:val="000000"/>
          <w:sz w:val="22"/>
        </w:rPr>
        <w:t>The Mathematics of Urban Morphology</w:t>
      </w:r>
      <w:r>
        <w:rPr>
          <w:rFonts w:ascii="HY신명조" w:hAnsi="HY신명조" w:eastAsia="HY신명조" w:cs="HY신명조"/>
          <w:b w:val="0"/>
          <w:i w:val="0"/>
          <w:color w:val="000000"/>
          <w:sz w:val="22"/>
        </w:rPr>
        <w:t xml:space="preserve"> (pp. 271-287). Cham: Birkhäuser.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Breiman, L. (2001). Random forests. </w:t>
      </w:r>
      <w:r>
        <w:rPr>
          <w:rFonts w:ascii="HY신명조" w:hAnsi="HY신명조" w:eastAsia="HY신명조" w:cs="HY신명조"/>
          <w:b w:val="0"/>
          <w:i/>
          <w:color w:val="000000"/>
          <w:sz w:val="22"/>
        </w:rPr>
        <w:t>Machine Learning</w:t>
      </w:r>
      <w:r>
        <w:rPr>
          <w:rFonts w:ascii="HY신명조" w:hAnsi="HY신명조" w:eastAsia="HY신명조" w:cs="HY신명조"/>
          <w:b w:val="0"/>
          <w:i w:val="0"/>
          <w:color w:val="000000"/>
          <w:sz w:val="22"/>
        </w:rPr>
        <w:t>, 45 (1), 5-32.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Čeh, M., Kilibarda, M., Lisec, A. &amp; Bajat, B. (2018). Estimating the performance of random forest versus multiple regression for predicting prices of the apartments. </w:t>
      </w:r>
      <w:r>
        <w:rPr>
          <w:rFonts w:ascii="HY신명조" w:hAnsi="HY신명조" w:eastAsia="HY신명조" w:cs="HY신명조"/>
          <w:b w:val="0"/>
          <w:i/>
          <w:color w:val="000000"/>
          <w:sz w:val="22"/>
        </w:rPr>
        <w:t>ISPRS International Journal of Geo-Information</w:t>
      </w:r>
      <w:r>
        <w:rPr>
          <w:rFonts w:ascii="HY신명조" w:hAnsi="HY신명조" w:eastAsia="HY신명조" w:cs="HY신명조"/>
          <w:b w:val="0"/>
          <w:i w:val="0"/>
          <w:color w:val="000000"/>
          <w:sz w:val="22"/>
        </w:rPr>
        <w:t>, 7(5), 168.</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Chen, T. &amp; Guestrin, C. (2016). XGBoost: A scalable tree boosting system.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785-794).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Choy, L. H. T. &amp; Ho, W. K. O. (2023). The use of machine learning in real estate research.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12 (4), 740.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Chun, H. J., Lee, U. H. &amp; Lee, B. G. (2025). Predicting housing price in Seoul using explainable AI (XAI) and machine learning. </w:t>
      </w:r>
      <w:r>
        <w:rPr>
          <w:rFonts w:ascii="HY신명조" w:hAnsi="HY신명조" w:eastAsia="HY신명조" w:cs="HY신명조"/>
          <w:b w:val="0"/>
          <w:i/>
          <w:color w:val="000000"/>
          <w:sz w:val="22"/>
        </w:rPr>
        <w:t>KSII Transactions on Internet and Information Systems</w:t>
      </w:r>
      <w:r>
        <w:rPr>
          <w:rFonts w:ascii="HY신명조" w:hAnsi="HY신명조" w:eastAsia="HY신명조" w:cs="HY신명조"/>
          <w:b w:val="0"/>
          <w:i w:val="0"/>
          <w:color w:val="000000"/>
          <w:sz w:val="22"/>
        </w:rPr>
        <w:t>, 19 (4), 1077-1096.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Friedman, J. H. (2001). Greedy function approximation: A gradient boosting machine. </w:t>
      </w:r>
      <w:r>
        <w:rPr>
          <w:rFonts w:ascii="HY신명조" w:hAnsi="HY신명조" w:eastAsia="HY신명조" w:cs="HY신명조"/>
          <w:b w:val="0"/>
          <w:i/>
          <w:color w:val="000000"/>
          <w:sz w:val="22"/>
        </w:rPr>
        <w:t>Annals of Statistics</w:t>
      </w:r>
      <w:r>
        <w:rPr>
          <w:rFonts w:ascii="HY신명조" w:hAnsi="HY신명조" w:eastAsia="HY신명조" w:cs="HY신명조"/>
          <w:b w:val="0"/>
          <w:i w:val="0"/>
          <w:color w:val="000000"/>
          <w:sz w:val="22"/>
        </w:rPr>
        <w:t>, 29 (5), 1189-1232.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James, G., Witten, D., Hastie, T. &amp; Tibshirani, R. (2013). </w:t>
      </w:r>
      <w:r>
        <w:rPr>
          <w:rFonts w:ascii="HY신명조" w:hAnsi="HY신명조" w:eastAsia="HY신명조" w:cs="HY신명조"/>
          <w:b w:val="0"/>
          <w:i/>
          <w:color w:val="000000"/>
          <w:sz w:val="22"/>
        </w:rPr>
        <w:t>An Introduction to Statistical Learning</w:t>
      </w:r>
      <w:r>
        <w:rPr>
          <w:rFonts w:ascii="HY신명조" w:hAnsi="HY신명조" w:eastAsia="HY신명조" w:cs="HY신명조"/>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Hastie, T., Tibshirani, R. &amp; Friedman, J. (2009). </w:t>
      </w:r>
      <w:r>
        <w:rPr>
          <w:rFonts w:ascii="HY신명조" w:hAnsi="HY신명조" w:eastAsia="HY신명조" w:cs="HY신명조"/>
          <w:b w:val="0"/>
          <w:i/>
          <w:color w:val="000000"/>
          <w:sz w:val="22"/>
        </w:rPr>
        <w:t>The Elements of Statistical Learning</w:t>
      </w:r>
      <w:r>
        <w:rPr>
          <w:rFonts w:ascii="HY신명조" w:hAnsi="HY신명조" w:eastAsia="HY신명조" w:cs="HY신명조"/>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Ke, G., Meng, Q., Finley, T., Wang, T., Chen, W., Ma, W., Ye, Q. &amp; Liu, T.-Y. (2017). LightGBM: A highly efficient gradient boosting decision tree.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J.-J., Cho, M. &amp; Lee, M.-H. (2022). An analysis of the price determinants of multiplex houses through spatial regression analysis. </w:t>
      </w:r>
      <w:r>
        <w:rPr>
          <w:rFonts w:ascii="HY신명조" w:hAnsi="HY신명조" w:eastAsia="HY신명조" w:cs="HY신명조"/>
          <w:b w:val="0"/>
          <w:i/>
          <w:color w:val="000000"/>
          <w:sz w:val="22"/>
        </w:rPr>
        <w:t>Sustainability</w:t>
      </w:r>
      <w:r>
        <w:rPr>
          <w:rFonts w:ascii="HY신명조" w:hAnsi="HY신명조" w:eastAsia="HY신명조" w:cs="HY신명조"/>
          <w:b w:val="0"/>
          <w:i w:val="0"/>
          <w:color w:val="000000"/>
          <w:sz w:val="22"/>
        </w:rPr>
        <w:t>, 14 (12), 7116.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W., Choi, I. &amp; Lee, M. (2025). Explainable AI-based mass appraisal: Insights from machine learning applications in Korea's residential property market. </w:t>
      </w:r>
      <w:r>
        <w:rPr>
          <w:rFonts w:ascii="HY신명조" w:hAnsi="HY신명조" w:eastAsia="HY신명조" w:cs="HY신명조"/>
          <w:b w:val="0"/>
          <w:i/>
          <w:color w:val="000000"/>
          <w:sz w:val="22"/>
        </w:rPr>
        <w:t>International Journal of Strategic Property Management</w:t>
      </w:r>
      <w:r>
        <w:rPr>
          <w:rFonts w:ascii="HY신명조" w:hAnsi="HY신명조" w:eastAsia="HY신명조" w:cs="HY신명조"/>
          <w:b w:val="0"/>
          <w:i w:val="0"/>
          <w:color w:val="000000"/>
          <w:sz w:val="22"/>
        </w:rPr>
        <w:t>, 29 (5), 350-376.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Lancaster, K. J. (1966). A new approach to consumer theory.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74 (2), 132-157.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Malpezzi, S. (2003). Hedonic pricing models: A selective and applied review. In T. O'Sullivan &amp; K. Gibb (Eds.), </w:t>
      </w:r>
      <w:r>
        <w:rPr>
          <w:rFonts w:ascii="HY신명조" w:hAnsi="HY신명조" w:eastAsia="HY신명조" w:cs="HY신명조"/>
          <w:b w:val="0"/>
          <w:i/>
          <w:color w:val="000000"/>
          <w:sz w:val="22"/>
        </w:rPr>
        <w:t>Housing Economics and Public Policy</w:t>
      </w:r>
      <w:r>
        <w:rPr>
          <w:rFonts w:ascii="HY신명조" w:hAnsi="HY신명조" w:eastAsia="HY신명조" w:cs="HY신명조"/>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Sirmans, G. S., Macpherson, D. A. &amp; Zietz, E. N. (2005). The composition of hedonic pricing models. </w:t>
      </w:r>
      <w:r>
        <w:rPr>
          <w:rFonts w:ascii="HY신명조" w:hAnsi="HY신명조" w:eastAsia="HY신명조" w:cs="HY신명조"/>
          <w:b w:val="0"/>
          <w:i/>
          <w:color w:val="000000"/>
          <w:sz w:val="22"/>
        </w:rPr>
        <w:t>Journal of Real Estate Literature</w:t>
      </w:r>
      <w:r>
        <w:rPr>
          <w:rFonts w:ascii="HY신명조" w:hAnsi="HY신명조" w:eastAsia="HY신명조" w:cs="HY신명조"/>
          <w:b w:val="0"/>
          <w:i w:val="0"/>
          <w:color w:val="000000"/>
          <w:sz w:val="22"/>
        </w:rPr>
        <w:t>, 13 (1), 3-43.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Limsombunchai, V. (2004). House price prediction: Hedonic price model vs. artificial neural network. In </w:t>
      </w:r>
      <w:r>
        <w:rPr>
          <w:rFonts w:ascii="HY신명조" w:hAnsi="HY신명조" w:eastAsia="HY신명조" w:cs="HY신명조"/>
          <w:b w:val="0"/>
          <w:i/>
          <w:color w:val="000000"/>
          <w:sz w:val="22"/>
        </w:rPr>
        <w:t>Proceedings of the New Zealand Agricultural and Resource Economics Society (NZARES) Conference</w:t>
      </w:r>
      <w:r>
        <w:rPr>
          <w:rFonts w:ascii="HY신명조" w:hAnsi="HY신명조" w:eastAsia="HY신명조" w:cs="HY신명조"/>
          <w:b w:val="0"/>
          <w:i w:val="0"/>
          <w:color w:val="000000"/>
          <w:sz w:val="22"/>
        </w:rPr>
        <w:t>. Blenheim, New Zealand.</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&amp; Lee, S.-I. (2017). A unified approach to interpreting model predictions.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HY신명조" w:hAnsi="HY신명조" w:eastAsia="HY신명조" w:cs="HY신명조"/>
          <w:b w:val="0"/>
          <w:i/>
          <w:color w:val="000000"/>
          <w:sz w:val="22"/>
        </w:rPr>
        <w:t>Nature Machine Intelligence</w:t>
      </w:r>
      <w:r>
        <w:rPr>
          <w:rFonts w:ascii="HY신명조" w:hAnsi="HY신명조" w:eastAsia="HY신명조" w:cs="HY신명조"/>
          <w:b w:val="0"/>
          <w:i w:val="0"/>
          <w:color w:val="000000"/>
          <w:sz w:val="22"/>
        </w:rPr>
        <w:t>, 2(1), 56-67.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Mora-García, R. T., Cespedes-Lopez, M. F. &amp; Pérez-Sánchez, V. R. (2022). Housing price prediction using machine learning algorithms in COVID-19 times.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11 (11), 2100.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Neves, F. T., Aparicio, M. &amp; de Castro Neto, M. (2024). The impacts of open data and explainable AI on real estate price predictions in smart cities. </w:t>
      </w:r>
      <w:r>
        <w:rPr>
          <w:rFonts w:ascii="HY신명조" w:hAnsi="HY신명조" w:eastAsia="HY신명조" w:cs="HY신명조"/>
          <w:b w:val="0"/>
          <w:i/>
          <w:color w:val="000000"/>
          <w:sz w:val="22"/>
        </w:rPr>
        <w:t>Applied Sciences</w:t>
      </w:r>
      <w:r>
        <w:rPr>
          <w:rFonts w:ascii="HY신명조" w:hAnsi="HY신명조" w:eastAsia="HY신명조" w:cs="HY신명조"/>
          <w:b w:val="0"/>
          <w:i w:val="0"/>
          <w:color w:val="000000"/>
          <w:sz w:val="22"/>
        </w:rPr>
        <w:t>, 14 (5), 2209.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Ezil Sam Leni, A., Revathi, T. &amp; Devarajan, S. (2025). A robust ensemble-based framework for house price estimation: Integrating XG-Boost with SHAP and web deployment. </w:t>
      </w:r>
      <w:r>
        <w:rPr>
          <w:rFonts w:ascii="HY신명조" w:hAnsi="HY신명조" w:eastAsia="HY신명조" w:cs="HY신명조"/>
          <w:b w:val="0"/>
          <w:i/>
          <w:color w:val="000000"/>
          <w:sz w:val="22"/>
        </w:rPr>
        <w:t>ITM Web of Conferences</w:t>
      </w:r>
      <w:r>
        <w:rPr>
          <w:rFonts w:ascii="HY신명조" w:hAnsi="HY신명조" w:eastAsia="HY신명조" w:cs="HY신명조"/>
          <w:b w:val="0"/>
          <w:i w:val="0"/>
          <w:color w:val="000000"/>
          <w:sz w:val="22"/>
        </w:rPr>
        <w:t>, 79, 01023.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Ribeiro, M. T., Singh, S. &amp; Guestrin, C. (2016). "Why should I trust you?": Explaining the predictions of any classifier.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Rosen, S. (1974). Hedonic prices and implicit markets: Product differentiation in pure competition.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82 (1), 34-55.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Shahhosseini, M., Hu, G. &amp; Pham, H. (2022). Optimizing ensemble weights and hyperparameters of machine learning models for regression problems. </w:t>
      </w:r>
      <w:r>
        <w:rPr>
          <w:rFonts w:ascii="HY신명조" w:hAnsi="HY신명조" w:eastAsia="HY신명조" w:cs="HY신명조"/>
          <w:b w:val="0"/>
          <w:i/>
          <w:color w:val="000000"/>
          <w:sz w:val="22"/>
        </w:rPr>
        <w:t>Machine Learning with Applications</w:t>
      </w:r>
      <w:r>
        <w:rPr>
          <w:rFonts w:ascii="HY신명조" w:hAnsi="HY신명조" w:eastAsia="HY신명조" w:cs="HY신명조"/>
          <w:b w:val="0"/>
          <w:i w:val="0"/>
          <w:color w:val="000000"/>
          <w:sz w:val="22"/>
        </w:rPr>
        <w:t>, 7, 100251.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Tarasov, S. &amp; Dessoulavy-Śliwiński, B. (2025). Algorithm-driven hedonic real estate pricing – an explainable AI approach. </w:t>
      </w:r>
      <w:r>
        <w:rPr>
          <w:rFonts w:ascii="HY신명조" w:hAnsi="HY신명조" w:eastAsia="HY신명조" w:cs="HY신명조"/>
          <w:b w:val="0"/>
          <w:i/>
          <w:color w:val="000000"/>
          <w:sz w:val="22"/>
        </w:rPr>
        <w:t>Real Estate Management and Valuation</w:t>
      </w:r>
      <w:r>
        <w:rPr>
          <w:rFonts w:ascii="HY신명조" w:hAnsi="HY신명조" w:eastAsia="HY신명조" w:cs="HY신명조"/>
          <w:b w:val="0"/>
          <w:i w:val="0"/>
          <w:color w:val="000000"/>
          <w:sz w:val="22"/>
        </w:rPr>
        <w:t>, 33 (1), 22-34.</w:t>
      </w:r>
    </w:p>
    <w:p>
      <w:pPr>
        <w:pStyle w:val="Heading1"/>
        <w:keepNext/>
        <w:pageBreakBefore/>
        <w:spacing w:line="384" w:lineRule="auto" w:before="480" w:after="360"/>
        <w:ind w:firstLine="0"/>
        <w:jc w:val="center"/>
      </w:pPr>
      <w:bookmarkStart w:id="1062" w:name="bm_h_34"/>
      <w:r>
        <w:rPr>
          <w:rFonts w:ascii="HY신명조" w:hAnsi="HY신명조" w:eastAsia="HY신명조" w:cs="HY신명조"/>
          <w:b/>
          <w:i w:val="0"/>
          <w:color w:val="000000"/>
          <w:sz w:val="32"/>
        </w:rPr>
        <w:t>Abstract</w:t>
      </w:r>
      <w:bookmarkEnd w:id="1062"/>
    </w:p>
    <w:p>
      <w:pPr>
        <w:pStyle w:val="Heading2"/>
        <w:keepNext/>
        <w:spacing w:line="384" w:lineRule="auto" w:before="360" w:after="240"/>
        <w:ind w:firstLine="0"/>
        <w:jc w:val="left"/>
      </w:pPr>
      <w:bookmarkStart w:id="1063" w:name="bm_h_35"/>
      <w:r>
        <w:rPr>
          <w:rFonts w:ascii="HY신명조" w:hAnsi="HY신명조" w:eastAsia="HY신명조" w:cs="HY신명조"/>
          <w:b/>
          <w:i w:val="0"/>
          <w:color w:val="000000"/>
          <w:sz w:val="26"/>
        </w:rPr>
        <w:t>An Analysis of Apartment Sale Price Structure in Seoul: Focusing on Distance-Based Accessibility and Spatiotemporal Heterogeneity</w:t>
      </w:r>
      <w:bookmarkEnd w:id="1063"/>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This study analyzes the structure of apartment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Keywords: Apartment sale price, distance-based accessibility, temporal consistency, spatiotemporal heterogeneity, Seoul apartment market, predictive contribution</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lowerRoman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decimal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HY신명조" w:hAnsi="HY신명조"/>
      <w:sz w:val="22"/>
      <w:rFonts w:ascii="HY신명조" w:hAnsi="HY신명조" w:eastAsia="HY신명조" w:cs="HY신명조"/>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