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(강등 미발생)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정하도록 유도한다. 이를 위해 20건씩 동시에 큐에 넣었다.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4와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5에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ec16e856f6561d5a77f8611105de99594c53c394.png"/><Relationship Id="rId13" Type="http://schemas.openxmlformats.org/officeDocument/2006/relationships/image" Target="media/bad6c330e3290ec8400bd71d39b69c32b4d93e9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2026-05-01T09:32:08.714Z</dcterms:created>
  <dcterms:modified xsi:type="dcterms:W3CDTF">2026-05-01T09:32:08.715Z</dcterms:modified>
</cp:coreProperties>
</file>

<file path=docProps/custom.xml><?xml version="1.0" encoding="utf-8"?>
<Properties xmlns="http://schemas.openxmlformats.org/officeDocument/2006/custom-properties" xmlns:vt="http://schemas.openxmlformats.org/officeDocument/2006/docPropsVTypes"/>
</file>