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AI 챗봇의 정보 불일치성: SRS 기반 자가 치유 저항 메커니즘</w:t>
      </w:r>
    </w:p>
    <w:p>
      <w:pPr>
        <w:spacing w:after="200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그림 중심 요약본 — 지도교수 면담용 (목차 순서 협의 자료)</w:t>
      </w:r>
    </w:p>
    <w:p>
      <w:pPr>
        <w:spacing w:after="80" w:before="1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연구 한 장 요약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문제: LLM 챗봇이 개인정보·내부정보 유출, 허위 사실 동조, 관리자 사칭 같은 정보 불일치성(Dis-/Mis-/Malinformation)에 반복적으로 노출된다.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제안: 요구사항 명세서(SRS)가 공격 생성 → 채점 → Meta-Rule 자동 생성 → SRS 갱신 루프를 돌며 스스로 강화되는 자가 치유 메커니즘.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핵심 결과: 9차 파일럿에서 14라운드 만에 100% 준수 수렴, 헬드아웃 97.1%, 교차 모델 검증 91.3%. 핵심 3유형(Dis-/Mis-/Malinformation)은 헬드아웃에서도 전부 방어.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한계: 예비 규모 표본(카테고리당 3개), 5W1H 가설은 지지되지 않음, 9차 SRS는 Meta-Rule 28개로 팽창해 문자열 템플릿에 가까워짐.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그림 순서 (제안 목차 초안)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400"/>
        <w:gridCol w:w="50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그림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논문 대응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한 줄 메시지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전체 프레임워크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제3·4장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유닛 A~D 위에서 자가 치유 루프가 돈다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공격 분류체계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§4.2.1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8개 공격 중 4개만 핵심 실증으로 한정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4단계 보안 심각도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§4.1.1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방어의 완결성을 4등급으로 채점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라운드별 준수율 추이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§5.3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자가 치유로 100% 수렴 (9차)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유형별 방어 결과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§5.3.8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핵심 3유형은 헬드아웃에서도 전부 방어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교차 모델 검증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§5.3.9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벤더가 달라도 결과가 유지되는가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5W1H 가설 검증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§5.3.10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가설 기각 — 정직한 음성 결과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적응형 재공격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§5.4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블랙박스·화이트박스 위협 모델</w:t>
            </w:r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그림 2·3은 논문 본문에서는 §4.1.1이 §4.2.1보다 앞이지만, 요약본에서는 “무엇을 공격하나 → 어떻게 채점하나” 순서가 자연스러워 바꿨다. 순서는 면담에서 조정 가능.</w:t>
      </w:r>
    </w:p>
    <w:p>
      <w:r>
        <w:br w:type="page"/>
      </w:r>
    </w:p>
    <w:p>
      <w:pPr>
        <w:spacing w:after="80" w:before="1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그림 1.  전체 프레임워크</w:t>
      </w: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    제3·4장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70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152775" cy="5476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2775" cy="547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  <w:vAlign w:val="center"/>
          </w:tcPr>
          <w:p>
            <w:pPr>
              <w:shd w:fill="EDEDED" w:val="clear"/>
              <w:spacing w:after="80"/>
              <w:ind w:left="100" w:right="1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한 장 요약: 4단계 유닛 위에서 SRS가 스스로 고쳐지는 폐쇄 루프</w:t>
            </w:r>
          </w:p>
          <w:p>
            <w:pPr>
              <w:spacing w:after="70"/>
              <w:ind w:left="360" w:hanging="24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•  유닛 A~D: 입력 가드레일 → RAG 검색 → LLM 추론 → 출력 가드레일</w:t>
            </w:r>
          </w:p>
          <w:p>
            <w:pPr>
              <w:spacing w:after="70"/>
              <w:ind w:left="360" w:hanging="24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•  루프: ① SRS 정의 → ② 적대적 실행 → ③ 심판관 채점 → ④ Meta-Rule 생성 → ⑤ SRS 병합 후 재실행</w:t>
            </w:r>
          </w:p>
          <w:p>
            <w:pPr>
              <w:spacing w:after="70"/>
              <w:ind w:left="360" w:hanging="24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•  수렴(전원 FULL_DEFENSE)하면 헬드아웃 검증 → 적응형 재공격 → 교차 모델 검증 → 통계 검정 순으로 진행</w:t>
            </w:r>
          </w:p>
          <w:p>
            <w:pPr>
              <w:spacing w:after="70"/>
              <w:ind w:left="360" w:hanging="24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•  심판관은 무상태 단일 호출 LLM, 챗봇과 컨텍스트를 공유하지 않음</w:t>
            </w:r>
          </w:p>
          <w:p>
            <w:pPr>
              <w:spacing w:after="70"/>
              <w:ind w:left="360" w:hanging="24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•  루프 시작 전 사전 점검 3종(결정론적 차단 문구 검증, drift 카나리아, 대화형 검토 도구)</w:t>
            </w:r>
          </w:p>
        </w:tc>
      </w:tr>
    </w:tbl>
    <w:p>
      <w:r>
        <w:br w:type="page"/>
      </w:r>
    </w:p>
    <w:p>
      <w:pPr>
        <w:spacing w:after="80" w:before="1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그림 2.  공격 분류체계</w:t>
      </w: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    §4.2.1</w:t>
      </w:r>
    </w:p>
    <w:p>
      <w:pPr>
        <w:spacing w:after="60"/>
        <w:jc w:val="center"/>
      </w:pPr>
      <w:r>
        <w:drawing>
          <wp:inline distT="0" distB="0" distL="0" distR="0">
            <wp:extent cx="5391150" cy="32099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DEDED" w:val="clear"/>
        <w:spacing w:after="80"/>
        <w:ind w:left="100" w:right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정보 진위가 판정의 본질인 4개만 핵심 실증, 나머지 4개는 보완적 위협으로 분리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8개 공격 유형을 OWASP LLM Top 10(LLM01·02·07·08·09)과 정보 불일치성 3분류에 이중 매핑</w:t>
      </w:r>
    </w:p>
    <w:p>
      <w:pPr>
        <w:spacing w:after="80" w:before="1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그림 3.  4단계 보안 심각도 Level 체계</w:t>
      </w: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    §4.1.1</w:t>
      </w:r>
    </w:p>
    <w:p>
      <w:pPr>
        <w:spacing w:after="60"/>
        <w:jc w:val="center"/>
      </w:pPr>
      <w:r>
        <w:drawing>
          <wp:inline distT="0" distB="0" distL="0" distR="0">
            <wp:extent cx="4933950" cy="2200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OWASP·CVSS의 4단계 관행을 차용하되 챗봇 텍스트 응답에 맞춰 정의, 등급이 Meta-Rule 생성의 트리거가 됨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이 4단계 rubric의 심판관 신뢰도 실측은 아직 미수행(후속 과제)</w:t>
      </w:r>
    </w:p>
    <w:p>
      <w:r>
        <w:br w:type="page"/>
      </w:r>
    </w:p>
    <w:p>
      <w:pPr>
        <w:spacing w:after="80" w:before="1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그림 4.  라운드별 준수율 추이</w:t>
      </w: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    §5.3 (표 6·8·9)</w:t>
      </w:r>
    </w:p>
    <w:p>
      <w:pPr>
        <w:spacing w:after="60"/>
        <w:jc w:val="center"/>
      </w:pPr>
      <w:r>
        <w:drawing>
          <wp:inline distT="0" distB="0" distL="0" distR="0">
            <wp:extent cx="5029200" cy="28670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DEDED" w:val="clear"/>
        <w:spacing w:after="80"/>
        <w:ind w:left="100" w:right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라운드 상한을 15로 늘린 9차에서 14라운드 만에 100% 완전 수렴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7차: 5라운드 상한까지 88.4%, 만점 미도달 / 8차: round_3에서 63.6%로 하락, FAIL 최초 관측(15건 전부 형식 위반, 실제 정보 유출 0건)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단, 9차의 100%는 Meta-Rule이 28개로 팽창해 SRS가 문자열 템플릿에 수렴한 결과라는 점을 함께 밝혀야 함(§5.3.8)</w:t>
      </w:r>
    </w:p>
    <w:p>
      <w:pPr>
        <w:spacing w:after="80" w:before="1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그림 5.  정보 불일치성 유형별 방어 결과</w:t>
      </w: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    §5.3.8 (표 9-부록)</w:t>
      </w:r>
    </w:p>
    <w:p>
      <w:pPr>
        <w:spacing w:after="60"/>
        <w:jc w:val="center"/>
      </w:pPr>
      <w:r>
        <w:drawing>
          <wp:inline distT="0" distB="0" distL="0" distR="0">
            <wp:extent cx="4752975" cy="2571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핵심 3유형은 round_14·헬드아웃 모두 100% 방어, 헬드아웃의 유일한 FAIL은 보완적 위협의 자소분리 인코딩 우회 1건</w:t>
      </w:r>
    </w:p>
    <w:p>
      <w:r>
        <w:br w:type="page"/>
      </w:r>
    </w:p>
    <w:p>
      <w:pPr>
        <w:spacing w:after="80" w:before="1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그림 6.  교차 모델 검증</w:t>
      </w: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    §5.3.9 (표 10)</w:t>
      </w:r>
    </w:p>
    <w:p>
      <w:pPr>
        <w:spacing w:after="60"/>
        <w:jc w:val="center"/>
      </w:pPr>
      <w:r>
        <w:drawing>
          <wp:inline distT="0" distB="0" distL="0" distR="0">
            <wp:extent cx="4391025" cy="28765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DEDED" w:val="clear"/>
        <w:spacing w:after="80"/>
        <w:ind w:left="100" w:right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심판관은 주 모델(anthropic)로 고정하고 챗봇 응답 모델만 3개 벤더로 교체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8차에서만 벤더 간 차이가 유의(p=0.031), anthropic이 7·8차 연속 최저 — 같은 벤더 심판관 편향 우려를 오히려 반박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SRS가 템플릿 수준으로 성숙한 9차는 세 벤더 모두 87% 이상</w:t>
      </w:r>
    </w:p>
    <w:p>
      <w:pPr>
        <w:spacing w:after="80" w:before="1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그림 7.  5W1H 가설 검증 — 기각</w:t>
      </w: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    §5.3.10 (표 12)</w:t>
      </w:r>
    </w:p>
    <w:p>
      <w:pPr>
        <w:spacing w:after="60"/>
        <w:jc w:val="center"/>
      </w:pPr>
      <w:r>
        <w:drawing>
          <wp:inline distT="0" distB="0" distL="0" distR="0">
            <wp:extent cx="4572000" cy="24384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5W1H 원칙을 추가하면 축별 FAIL이 줄 것이라는 가설은 지지되지 않음(5개 축 모두 5w1h의 FAIL율이 더 높음)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소표본·비매칭 문항·모델 drift 교란이 있어 매칭 표본 재검증(12~13차): round_1 준수율은 baseline 우위(70.8% vs 64.6%), Meta-Rule 개수는 5w1h가 적음(9개 vs 12개)</w:t>
      </w:r>
    </w:p>
    <w:p>
      <w:r>
        <w:br w:type="page"/>
      </w:r>
    </w:p>
    <w:p>
      <w:pPr>
        <w:spacing w:after="80" w:before="1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그림 8.  적응형 재공격</w:t>
      </w: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    §5.4 (표 14)</w:t>
      </w:r>
    </w:p>
    <w:p>
      <w:pPr>
        <w:spacing w:after="60"/>
        <w:jc w:val="center"/>
      </w:pPr>
      <w:r>
        <w:drawing>
          <wp:inline distT="0" distB="0" distL="0" distR="0">
            <wp:extent cx="5391150" cy="24860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DEDED" w:val="clear"/>
        <w:spacing w:after="80"/>
        <w:ind w:left="100" w:right="1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방어가 완성된 SRS(v_final)를 두 위협 모델로 다시 공격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블랙박스: Meta-Rule의 존재만 아는 현실적 공격자 — 9차에서 5/5 방어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화이트박스: Meta-Rule 전문을 아는 공격자 — 레드팀 LLM의 정책 순응성 범위 안에서의 방어율이며 진짜 worst-case 하한은 아님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그래디언트 기반 최적화 공격은 시도하지 않음(한계)</w:t>
      </w:r>
    </w:p>
    <w:p>
      <w:pPr>
        <w:spacing w:after="10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면담에서 정할 사항 (제안)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그림 순서: 방법(1~3) → 결과(4~6) → 심화(7~8) 구성이 적절한지, 결과 중심으로 재배열할지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5W1H 기각 결과(그림 7)를 본문에 둘지 부록으로 보낼지</w:t>
      </w:r>
    </w:p>
    <w:p>
      <w:pPr>
        <w:spacing w:after="70"/>
        <w:ind w:left="360" w:hanging="24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 현재 카테고리당 3개인 예비 규모를 본 실행(카테고리당 10개)으로 확대할지 여부</w:t>
      </w:r>
    </w:p>
    <w:sectPr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521aefb13a9d87a339c33617a8e2eb97e37fd7c.png"/><Relationship Id="rId8" Type="http://schemas.openxmlformats.org/officeDocument/2006/relationships/image" Target="media/20c305953aaa5c48e850826dab4cb4e599b56d9b.png"/><Relationship Id="rId9" Type="http://schemas.openxmlformats.org/officeDocument/2006/relationships/image" Target="media/63e18381901f3c9cc19c2f044665a85cf5632e20.png"/><Relationship Id="rId10" Type="http://schemas.openxmlformats.org/officeDocument/2006/relationships/image" Target="media/51901df1bfad836d850bfad42d28fe06d07067e3.png"/><Relationship Id="rId11" Type="http://schemas.openxmlformats.org/officeDocument/2006/relationships/image" Target="media/905a5fe55209b25293459e20125db2f20a699656.png"/><Relationship Id="rId12" Type="http://schemas.openxmlformats.org/officeDocument/2006/relationships/image" Target="media/a02c91e719fb831e8d7afd8182f719ba0f6bfce9.png"/><Relationship Id="rId13" Type="http://schemas.openxmlformats.org/officeDocument/2006/relationships/image" Target="media/de083f0025fed18c5455507baa3ea9f96c4bde63.png"/><Relationship Id="rId14" Type="http://schemas.openxmlformats.org/officeDocument/2006/relationships/image" Target="media/ab45d52400e25c965d8d0a614ee11ccbc4cec31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2026-10-02T05:21:01.465Z</dcterms:created>
  <dcterms:modified xsi:type="dcterms:W3CDTF">2026-10-02T05:21:01.465Z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