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  그림 1은 이러한 위협의 대표 유형 네 가지를 정리한 것이다.</w:t>
      </w:r>
    </w:p>
    <w:p>
      <w:pPr>
        <w:spacing w:after="140" w:line="360" w:lineRule="auto"/>
        <w:jc w:val="center"/>
      </w:pPr>
      <w:r>
        <w:drawing>
          <wp:inline xmlns:a="http://schemas.openxmlformats.org/drawingml/2006/main" xmlns:pic="http://schemas.openxmlformats.org/drawingml/2006/picture">
            <wp:extent cx="4438904" cy="3707790"/>
            <wp:docPr id="1" name="Picture 1"/>
            <wp:cNvGraphicFramePr>
              <a:graphicFrameLocks noChangeAspect="1"/>
            </wp:cNvGraphicFramePr>
            <a:graphic>
              <a:graphicData uri="http://schemas.openxmlformats.org/drawingml/2006/picture">
                <pic:pic>
                  <pic:nvPicPr>
                    <pic:cNvPr id="0" name="pres_N01_threats_4.png"/>
                    <pic:cNvPicPr/>
                  </pic:nvPicPr>
                  <pic:blipFill>
                    <a:blip r:embed="rId38"/>
                    <a:stretch>
                      <a:fillRect/>
                    </a:stretch>
                  </pic:blipFill>
                  <pic:spPr>
                    <a:xfrm>
                      <a:off x="0" y="0"/>
                      <a:ext cx="4438904" cy="370779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기업용 LLM 챗봇의 정보 불일치 위협 네 가지.</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  그림 2는 기존 대응 방식과 본 연구의 강건화를 도입 비용, 규칙 변경 대응, 새로운 공격 대응, 규칙 작성 주체의 네 항목으로 비교한 것이다.</w:t>
      </w:r>
    </w:p>
    <w:p>
      <w:pPr>
        <w:spacing w:after="140" w:line="360" w:lineRule="auto"/>
        <w:jc w:val="center"/>
      </w:pPr>
      <w:r>
        <w:drawing>
          <wp:inline xmlns:a="http://schemas.openxmlformats.org/drawingml/2006/main" xmlns:pic="http://schemas.openxmlformats.org/drawingml/2006/picture">
            <wp:extent cx="4438904" cy="3185566"/>
            <wp:docPr id="2" name="Picture 2"/>
            <wp:cNvGraphicFramePr>
              <a:graphicFrameLocks noChangeAspect="1"/>
            </wp:cNvGraphicFramePr>
            <a:graphic>
              <a:graphicData uri="http://schemas.openxmlformats.org/drawingml/2006/picture">
                <pic:pic>
                  <pic:nvPicPr>
                    <pic:cNvPr id="0" name="pres_N02_existing_approaches.png"/>
                    <pic:cNvPicPr/>
                  </pic:nvPicPr>
                  <pic:blipFill>
                    <a:blip r:embed="rId39"/>
                    <a:stretch>
                      <a:fillRect/>
                    </a:stretch>
                  </pic:blipFill>
                  <pic:spPr>
                    <a:xfrm>
                      <a:off x="0" y="0"/>
                      <a:ext cx="4438904" cy="31855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기존 대응 방식과 응대 정책 강건화의 비교.</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본 연구가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각 절은 선행연구의 기여, 남은 한계, 본 연구와의 관계 순서로 서술하고, 장의 끝에서 주요 선행연구를 표로 비교해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spacing w:after="140" w:line="360" w:lineRule="auto"/>
        <w:jc w:val="both"/>
      </w:pPr>
      <w:r>
        <w:t>이상의 세 갈래를 표 1로 비교한다. 표 1은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shd w:val="clear" w:fill="E7E6E6"/>
          </w:tcPr>
          <w:p>
            <w:r/>
            <w:r>
              <w:rPr>
                <w:rFonts w:ascii="맑은 고딕" w:hAnsi="맑은 고딕" w:eastAsia="맑은 고딕"/>
                <w:b/>
                <w:sz w:val="18"/>
              </w:rPr>
              <w:t>비교 항목</w:t>
            </w:r>
          </w:p>
        </w:tc>
        <w:tc>
          <w:tcPr>
            <w:tcW w:type="dxa" w:w="1456"/>
            <w:shd w:val="clear" w:fill="E7E6E6"/>
          </w:tcPr>
          <w:p>
            <w:r/>
            <w:r>
              <w:rPr>
                <w:rFonts w:ascii="맑은 고딕" w:hAnsi="맑은 고딕" w:eastAsia="맑은 고딕"/>
                <w:b/>
                <w:sz w:val="18"/>
              </w:rPr>
              <w:t>본 연구</w:t>
            </w:r>
          </w:p>
        </w:tc>
        <w:tc>
          <w:tcPr>
            <w:tcW w:type="dxa" w:w="1456"/>
            <w:shd w:val="clear" w:fill="E7E6E6"/>
          </w:tcPr>
          <w:p>
            <w:r/>
            <w:r>
              <w:rPr>
                <w:rFonts w:ascii="맑은 고딕" w:hAnsi="맑은 고딕" w:eastAsia="맑은 고딕"/>
                <w:b/>
                <w:sz w:val="18"/>
              </w:rPr>
              <w:t>ProTeGi·OPRO</w:t>
            </w:r>
          </w:p>
        </w:tc>
        <w:tc>
          <w:tcPr>
            <w:tcW w:type="dxa" w:w="1456"/>
            <w:shd w:val="clear" w:fill="E7E6E6"/>
          </w:tcPr>
          <w:p>
            <w:r/>
            <w:r>
              <w:rPr>
                <w:rFonts w:ascii="맑은 고딕" w:hAnsi="맑은 고딕" w:eastAsia="맑은 고딕"/>
                <w:b/>
                <w:sz w:val="18"/>
              </w:rPr>
              <w:t>PRISM·SISF</w:t>
            </w:r>
          </w:p>
        </w:tc>
        <w:tc>
          <w:tcPr>
            <w:tcW w:type="dxa" w:w="1456"/>
            <w:shd w:val="clear" w:fill="E7E6E6"/>
          </w:tcPr>
          <w:p>
            <w:r/>
            <w:r>
              <w:rPr>
                <w:rFonts w:ascii="맑은 고딕" w:hAnsi="맑은 고딕" w:eastAsia="맑은 고딕"/>
                <w:b/>
                <w:sz w:val="18"/>
              </w:rPr>
              <w:t>PoisonedRAG·RobustRAG</w:t>
            </w:r>
          </w:p>
        </w:tc>
        <w:tc>
          <w:tcPr>
            <w:tcW w:type="dxa" w:w="1456"/>
            <w:shd w:val="clear" w:fill="E7E6E6"/>
          </w:tcPr>
          <w:p>
            <w:r/>
            <w:r>
              <w:rPr>
                <w:rFonts w:ascii="맑은 고딕" w:hAnsi="맑은 고딕" w:eastAsia="맑은 고딕"/>
                <w:b/>
                <w:sz w:val="18"/>
              </w:rPr>
              <w:t>FaithJudge</w:t>
            </w:r>
          </w:p>
        </w:tc>
      </w:tr>
      <w:tr>
        <w:tc>
          <w:tcPr>
            <w:tcW w:type="dxa" w:w="1456"/>
          </w:tcPr>
          <w:p>
            <w:r/>
            <w:r>
              <w:rPr>
                <w:rFonts w:ascii="맑은 고딕" w:hAnsi="맑은 고딕" w:eastAsia="맑은 고딕"/>
                <w:sz w:val="18"/>
              </w:rPr>
              <w:t>연구 목표</w:t>
            </w:r>
          </w:p>
        </w:tc>
        <w:tc>
          <w:tcPr>
            <w:tcW w:type="dxa" w:w="1456"/>
          </w:tcPr>
          <w:p>
            <w:r/>
            <w:r>
              <w:rPr>
                <w:rFonts w:ascii="맑은 고딕" w:hAnsi="맑은 고딕" w:eastAsia="맑은 고딕"/>
                <w:sz w:val="18"/>
              </w:rPr>
              <w:t>응대 정책의 정보 무결성 강건화</w:t>
            </w:r>
          </w:p>
        </w:tc>
        <w:tc>
          <w:tcPr>
            <w:tcW w:type="dxa" w:w="1456"/>
          </w:tcPr>
          <w:p>
            <w:r/>
            <w:r>
              <w:rPr>
                <w:rFonts w:ascii="맑은 고딕" w:hAnsi="맑은 고딕" w:eastAsia="맑은 고딕"/>
                <w:sz w:val="18"/>
              </w:rPr>
              <w:t>과제 정확도 향상</w:t>
            </w:r>
          </w:p>
        </w:tc>
        <w:tc>
          <w:tcPr>
            <w:tcW w:type="dxa" w:w="1456"/>
          </w:tcPr>
          <w:p>
            <w:r/>
            <w:r>
              <w:rPr>
                <w:rFonts w:ascii="맑은 고딕" w:hAnsi="맑은 고딕" w:eastAsia="맑은 고딕"/>
                <w:sz w:val="18"/>
              </w:rPr>
              <w:t>회귀 수리·런타임 안전성</w:t>
            </w:r>
          </w:p>
        </w:tc>
        <w:tc>
          <w:tcPr>
            <w:tcW w:type="dxa" w:w="1456"/>
          </w:tcPr>
          <w:p>
            <w:r/>
            <w:r>
              <w:rPr>
                <w:rFonts w:ascii="맑은 고딕" w:hAnsi="맑은 고딕" w:eastAsia="맑은 고딕"/>
                <w:sz w:val="18"/>
              </w:rPr>
              <w:t>RAG 오염 공격·방어</w:t>
            </w:r>
          </w:p>
        </w:tc>
        <w:tc>
          <w:tcPr>
            <w:tcW w:type="dxa" w:w="1456"/>
          </w:tcPr>
          <w:p>
            <w:r/>
            <w:r>
              <w:rPr>
                <w:rFonts w:ascii="맑은 고딕" w:hAnsi="맑은 고딕" w:eastAsia="맑은 고딕"/>
                <w:sz w:val="18"/>
              </w:rPr>
              <w:t>RAG 충실성 판정</w:t>
            </w:r>
          </w:p>
        </w:tc>
      </w:tr>
      <w:tr>
        <w:tc>
          <w:tcPr>
            <w:tcW w:type="dxa" w:w="1456"/>
          </w:tcPr>
          <w:p>
            <w:r/>
            <w:r>
              <w:rPr>
                <w:rFonts w:ascii="맑은 고딕" w:hAnsi="맑은 고딕" w:eastAsia="맑은 고딕"/>
                <w:sz w:val="18"/>
              </w:rPr>
              <w:t>자동 보강 루프</w:t>
            </w:r>
          </w:p>
        </w:tc>
        <w:tc>
          <w:tcPr>
            <w:tcW w:type="dxa" w:w="1456"/>
          </w:tcPr>
          <w:p>
            <w:r/>
            <w:r>
              <w:rPr>
                <w:rFonts w:ascii="맑은 고딕" w:hAnsi="맑은 고딕" w:eastAsia="맑은 고딕"/>
                <w:sz w:val="18"/>
              </w:rPr>
              <w:t>O (보강 규칙 생성·병합)</w:t>
            </w:r>
          </w:p>
        </w:tc>
        <w:tc>
          <w:tcPr>
            <w:tcW w:type="dxa" w:w="1456"/>
          </w:tcPr>
          <w:p>
            <w:r/>
            <w:r>
              <w:rPr>
                <w:rFonts w:ascii="맑은 고딕" w:hAnsi="맑은 고딕" w:eastAsia="맑은 고딕"/>
                <w:sz w:val="18"/>
              </w:rPr>
              <w:t>O (프롬프트 개정)</w:t>
            </w:r>
          </w:p>
        </w:tc>
        <w:tc>
          <w:tcPr>
            <w:tcW w:type="dxa" w:w="1456"/>
          </w:tcPr>
          <w:p>
            <w:r/>
            <w:r>
              <w:rPr>
                <w:rFonts w:ascii="맑은 고딕" w:hAnsi="맑은 고딕" w:eastAsia="맑은 고딕"/>
                <w:sz w:val="18"/>
              </w:rPr>
              <w:t>O</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X</w:t>
            </w:r>
          </w:p>
        </w:tc>
      </w:tr>
      <w:tr>
        <w:tc>
          <w:tcPr>
            <w:tcW w:type="dxa" w:w="1456"/>
          </w:tcPr>
          <w:p>
            <w:r/>
            <w:r>
              <w:rPr>
                <w:rFonts w:ascii="맑은 고딕" w:hAnsi="맑은 고딕" w:eastAsia="맑은 고딕"/>
                <w:sz w:val="18"/>
              </w:rPr>
              <w:t>측정 축 분리</w:t>
            </w:r>
          </w:p>
        </w:tc>
        <w:tc>
          <w:tcPr>
            <w:tcW w:type="dxa" w:w="1456"/>
          </w:tcPr>
          <w:p>
            <w:r/>
            <w:r>
              <w:rPr>
                <w:rFonts w:ascii="맑은 고딕" w:hAnsi="맑은 고딕" w:eastAsia="맑은 고딕"/>
                <w:sz w:val="18"/>
              </w:rPr>
              <w:t>O (정보 무결성·정책 준수)</w:t>
            </w:r>
          </w:p>
        </w:tc>
        <w:tc>
          <w:tcPr>
            <w:tcW w:type="dxa" w:w="1456"/>
          </w:tcPr>
          <w:p>
            <w:r/>
            <w:r>
              <w:rPr>
                <w:rFonts w:ascii="맑은 고딕" w:hAnsi="맑은 고딕" w:eastAsia="맑은 고딕"/>
                <w:sz w:val="18"/>
              </w:rPr>
              <w:t>X (과제 지표 1개)</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해당 없음</w:t>
            </w:r>
          </w:p>
        </w:tc>
        <w:tc>
          <w:tcPr>
            <w:tcW w:type="dxa" w:w="1456"/>
          </w:tcPr>
          <w:p>
            <w:r/>
            <w:r>
              <w:rPr>
                <w:rFonts w:ascii="맑은 고딕" w:hAnsi="맑은 고딕" w:eastAsia="맑은 고딕"/>
                <w:sz w:val="18"/>
              </w:rPr>
              <w:t>X (충실성 1개)</w:t>
            </w:r>
          </w:p>
        </w:tc>
      </w:tr>
      <w:tr>
        <w:tc>
          <w:tcPr>
            <w:tcW w:type="dxa" w:w="1456"/>
          </w:tcPr>
          <w:p>
            <w:r/>
            <w:r>
              <w:rPr>
                <w:rFonts w:ascii="맑은 고딕" w:hAnsi="맑은 고딕" w:eastAsia="맑은 고딕"/>
                <w:sz w:val="18"/>
              </w:rPr>
              <w:t>정답 기반 판정</w:t>
            </w:r>
          </w:p>
        </w:tc>
        <w:tc>
          <w:tcPr>
            <w:tcW w:type="dxa" w:w="1456"/>
          </w:tcPr>
          <w:p>
            <w:r/>
            <w:r>
              <w:rPr>
                <w:rFonts w:ascii="맑은 고딕" w:hAnsi="맑은 고딕" w:eastAsia="맑은 고딕"/>
                <w:sz w:val="18"/>
              </w:rPr>
              <w:t>부분 (코드 대조 + 심판관)</w:t>
            </w:r>
          </w:p>
        </w:tc>
        <w:tc>
          <w:tcPr>
            <w:tcW w:type="dxa" w:w="1456"/>
          </w:tcPr>
          <w:p>
            <w:r/>
            <w:r>
              <w:rPr>
                <w:rFonts w:ascii="맑은 고딕" w:hAnsi="맑은 고딕" w:eastAsia="맑은 고딕"/>
                <w:sz w:val="18"/>
              </w:rPr>
              <w:t>O (정답 레이블)</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(목표 답 일치)</w:t>
            </w:r>
          </w:p>
        </w:tc>
        <w:tc>
          <w:tcPr>
            <w:tcW w:type="dxa" w:w="1456"/>
          </w:tcPr>
          <w:p>
            <w:r/>
            <w:r>
              <w:rPr>
                <w:rFonts w:ascii="맑은 고딕" w:hAnsi="맑은 고딕" w:eastAsia="맑은 고딕"/>
                <w:sz w:val="18"/>
              </w:rPr>
              <w:t>사람 주석</w:t>
            </w:r>
          </w:p>
        </w:tc>
      </w:tr>
      <w:tr>
        <w:tc>
          <w:tcPr>
            <w:tcW w:type="dxa" w:w="1456"/>
          </w:tcPr>
          <w:p>
            <w:r/>
            <w:r>
              <w:rPr>
                <w:rFonts w:ascii="맑은 고딕" w:hAnsi="맑은 고딕" w:eastAsia="맑은 고딕"/>
                <w:sz w:val="18"/>
              </w:rPr>
              <w:t>정보 무결성 공격</w:t>
            </w:r>
          </w:p>
        </w:tc>
        <w:tc>
          <w:tcPr>
            <w:tcW w:type="dxa" w:w="1456"/>
          </w:tcPr>
          <w:p>
            <w:r/>
            <w:r>
              <w:rPr>
                <w:rFonts w:ascii="맑은 고딕" w:hAnsi="맑은 고딕" w:eastAsia="맑은 고딕"/>
                <w:sz w:val="18"/>
              </w:rPr>
              <w:t>O (RAG 오염·허위 전제·유출·사칭)</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(RAG 오염)</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일반화 검증</w:t>
            </w:r>
          </w:p>
        </w:tc>
        <w:tc>
          <w:tcPr>
            <w:tcW w:type="dxa" w:w="1456"/>
          </w:tcPr>
          <w:p>
            <w:r/>
            <w:r>
              <w:rPr>
                <w:rFonts w:ascii="맑은 고딕" w:hAnsi="맑은 고딕" w:eastAsia="맑은 고딕"/>
                <w:sz w:val="18"/>
              </w:rPr>
              <w:t>O (헬드아웃·적응형·교차 모델)</w:t>
            </w:r>
          </w:p>
        </w:tc>
        <w:tc>
          <w:tcPr>
            <w:tcW w:type="dxa" w:w="1456"/>
          </w:tcPr>
          <w:p>
            <w:r/>
            <w:r>
              <w:rPr>
                <w:rFonts w:ascii="맑은 고딕" w:hAnsi="맑은 고딕" w:eastAsia="맑은 고딕"/>
                <w:sz w:val="18"/>
              </w:rPr>
              <w:t>O (테스트 셋)</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(다중 데이터셋·모델)</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실험 도메인</w:t>
            </w:r>
          </w:p>
        </w:tc>
        <w:tc>
          <w:tcPr>
            <w:tcW w:type="dxa" w:w="1456"/>
          </w:tcPr>
          <w:p>
            <w:r/>
            <w:r>
              <w:rPr>
                <w:rFonts w:ascii="맑은 고딕" w:hAnsi="맑은 고딕" w:eastAsia="맑은 고딕"/>
                <w:sz w:val="18"/>
              </w:rPr>
              <w:t>실제 운영 가전 유통 챗봇</w:t>
            </w:r>
          </w:p>
        </w:tc>
        <w:tc>
          <w:tcPr>
            <w:tcW w:type="dxa" w:w="1456"/>
          </w:tcPr>
          <w:p>
            <w:r/>
            <w:r>
              <w:rPr>
                <w:rFonts w:ascii="맑은 고딕" w:hAnsi="맑은 고딕" w:eastAsia="맑은 고딕"/>
                <w:sz w:val="18"/>
              </w:rPr>
              <w:t>공개 벤치마크</w:t>
            </w:r>
          </w:p>
        </w:tc>
        <w:tc>
          <w:tcPr>
            <w:tcW w:type="dxa" w:w="1456"/>
          </w:tcPr>
          <w:p>
            <w:r/>
            <w:r>
              <w:rPr>
                <w:rFonts w:ascii="맑은 고딕" w:hAnsi="맑은 고딕" w:eastAsia="맑은 고딕"/>
                <w:sz w:val="18"/>
              </w:rPr>
              <w:t>엔터프라이즈 에이전트·미상</w:t>
            </w:r>
          </w:p>
        </w:tc>
        <w:tc>
          <w:tcPr>
            <w:tcW w:type="dxa" w:w="1456"/>
          </w:tcPr>
          <w:p>
            <w:r/>
            <w:r>
              <w:rPr>
                <w:rFonts w:ascii="맑은 고딕" w:hAnsi="맑은 고딕" w:eastAsia="맑은 고딕"/>
                <w:sz w:val="18"/>
              </w:rPr>
              <w:t>공개 질의응답 데이터셋</w:t>
            </w:r>
          </w:p>
        </w:tc>
        <w:tc>
          <w:tcPr>
            <w:tcW w:type="dxa" w:w="1456"/>
          </w:tcPr>
          <w:p>
            <w:r/>
            <w:r>
              <w:rPr>
                <w:rFonts w:ascii="맑은 고딕" w:hAnsi="맑은 고딕" w:eastAsia="맑은 고딕"/>
                <w:sz w:val="18"/>
              </w:rPr>
              <w:t>RAG 벤치마크</w:t>
            </w:r>
          </w:p>
        </w:tc>
      </w:tr>
    </w:tbl>
    <w:p>
      <w:pPr>
        <w:spacing w:after="140" w:line="360" w:lineRule="auto"/>
        <w:jc w:val="both"/>
      </w:pPr>
      <w:r>
        <w:t>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2280708"/>
            <wp:docPr id="3" name="Picture 3"/>
            <wp:cNvGraphicFramePr>
              <a:graphicFrameLocks noChangeAspect="1"/>
            </wp:cNvGraphicFramePr>
            <a:graphic>
              <a:graphicData uri="http://schemas.openxmlformats.org/drawingml/2006/picture">
                <pic:pic>
                  <pic:nvPicPr>
                    <pic:cNvPr id="0" name="fig_struct1_v8.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3은 공격 문장이 유닛 A에서 D를 차례로 거쳐 챗봇 응답으로 나가는 구조 1의 흐름을 나타낸다. </w:t>
      </w:r>
    </w:p>
    <w:p>
      <w:pPr>
        <w:spacing w:after="140" w:line="360" w:lineRule="auto"/>
        <w:jc w:val="center"/>
      </w:pPr>
      <w:r>
        <w:drawing>
          <wp:inline xmlns:a="http://schemas.openxmlformats.org/drawingml/2006/main" xmlns:pic="http://schemas.openxmlformats.org/drawingml/2006/picture">
            <wp:extent cx="5548630" cy="3183147"/>
            <wp:docPr id="4" name="Picture 4"/>
            <wp:cNvGraphicFramePr>
              <a:graphicFrameLocks noChangeAspect="1"/>
            </wp:cNvGraphicFramePr>
            <a:graphic>
              <a:graphicData uri="http://schemas.openxmlformats.org/drawingml/2006/picture">
                <pic:pic>
                  <pic:nvPicPr>
                    <pic:cNvPr id="0" name="fig_struct2_v8.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구조 2 — 강건화 폐쇄 루프.</w:t>
      </w:r>
    </w:p>
    <w:p>
      <w:pPr>
        <w:spacing w:after="140" w:line="360" w:lineRule="auto"/>
        <w:jc w:val="both"/>
      </w:pPr>
      <w:r>
        <w:t xml:space="preserve">둘째는 이 아키텍처 위에서 응대 정책을 반복적으로 강화하는 강건화 폐쇄 루프(구조 2)이다. 그림 4는 ①에서 ⑤까지의 순환과, 심판관 채점 결과 전원이 완전 방어에 도달하면 사후 검증으로 넘어가는 지점을 나타낸다. </w:t>
      </w:r>
    </w:p>
    <w:p>
      <w:pPr>
        <w:spacing w:after="140" w:line="360" w:lineRule="auto"/>
        <w:jc w:val="center"/>
      </w:pPr>
      <w:r>
        <w:drawing>
          <wp:inline xmlns:a="http://schemas.openxmlformats.org/drawingml/2006/main" xmlns:pic="http://schemas.openxmlformats.org/drawingml/2006/picture">
            <wp:extent cx="5548630" cy="2056466"/>
            <wp:docPr id="5" name="Picture 5"/>
            <wp:cNvGraphicFramePr>
              <a:graphicFrameLocks noChangeAspect="1"/>
            </wp:cNvGraphicFramePr>
            <a:graphic>
              <a:graphicData uri="http://schemas.openxmlformats.org/drawingml/2006/picture">
                <pic:pic>
                  <pic:nvPicPr>
                    <pic:cNvPr id="0" name="fig_struct3_v8.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구조 3 — 사후 검증.</w:t>
      </w:r>
    </w:p>
    <w:p>
      <w:pPr>
        <w:spacing w:after="140" w:line="360" w:lineRule="auto"/>
        <w:jc w:val="both"/>
      </w:pPr>
      <w:r>
        <w:t>셋째는 루프가 수렴한 뒤 결과의 일반화와 견고성을 검증하는 사후 검증 단계(구조 3)이다. 그림 5는 수렴한 최종 응대 정책에 대해 헬드아웃 검증, 적응형 재공격, 교차 모델 검증, 통계 검정을 차례로 수행하는 구조 3을 나타낸다. 그림 6은 사전 점검에서 사후 검증까지의 전체 흐름을 네 단계로 요약한 것이고, 그림 7은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649001"/>
            <wp:docPr id="6" name="Picture 6"/>
            <wp:cNvGraphicFramePr>
              <a:graphicFrameLocks noChangeAspect="1"/>
            </wp:cNvGraphicFramePr>
            <a:graphic>
              <a:graphicData uri="http://schemas.openxmlformats.org/drawingml/2006/picture">
                <pic:pic>
                  <pic:nvPicPr>
                    <pic:cNvPr id="0" name="fig_overview_v8.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3606609" cy="4004776"/>
            <wp:docPr id="7" name="Picture 7"/>
            <wp:cNvGraphicFramePr>
              <a:graphicFrameLocks noChangeAspect="1"/>
            </wp:cNvGraphicFramePr>
            <a:graphic>
              <a:graphicData uri="http://schemas.openxmlformats.org/drawingml/2006/picture">
                <pic:pic>
                  <pic:nvPicPr>
                    <pic:cNvPr id="0" name="fig_integrated_v8.png"/>
                    <pic:cNvPicPr/>
                  </pic:nvPicPr>
                  <pic:blipFill>
                    <a:blip r:embed="rId44"/>
                    <a:stretch>
                      <a:fillRect/>
                    </a:stretch>
                  </pic:blipFill>
                  <pic:spPr>
                    <a:xfrm>
                      <a:off x="0" y="0"/>
                      <a:ext cx="3606609" cy="400477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유닛</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역할</w:t>
            </w:r>
          </w:p>
        </w:tc>
      </w:tr>
      <w:tr>
        <w:tc>
          <w:tcPr>
            <w:tcW w:type="dxa" w:w="2913"/>
          </w:tcPr>
          <w:p>
            <w:r/>
            <w:r>
              <w:rPr>
                <w:rFonts w:ascii="맑은 고딕" w:hAnsi="맑은 고딕" w:eastAsia="맑은 고딕"/>
                <w:sz w:val="18"/>
              </w:rPr>
              <w:t>A</w:t>
            </w:r>
          </w:p>
        </w:tc>
        <w:tc>
          <w:tcPr>
            <w:tcW w:type="dxa" w:w="2913"/>
          </w:tcPr>
          <w:p>
            <w:r/>
            <w:r>
              <w:rPr>
                <w:rFonts w:ascii="맑은 고딕" w:hAnsi="맑은 고딕" w:eastAsia="맑은 고딕"/>
                <w:sz w:val="18"/>
              </w:rPr>
              <w:t>입력 가드레일</w:t>
            </w:r>
          </w:p>
        </w:tc>
        <w:tc>
          <w:tcPr>
            <w:tcW w:type="dxa" w:w="2913"/>
          </w:tcPr>
          <w:p>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tcPr>
          <w:p>
            <w:r/>
            <w:r>
              <w:rPr>
                <w:rFonts w:ascii="맑은 고딕" w:hAnsi="맑은 고딕" w:eastAsia="맑은 고딕"/>
                <w:sz w:val="18"/>
              </w:rPr>
              <w:t>B</w:t>
            </w:r>
          </w:p>
        </w:tc>
        <w:tc>
          <w:tcPr>
            <w:tcW w:type="dxa" w:w="2913"/>
          </w:tcPr>
          <w:p>
            <w:r/>
            <w:r>
              <w:rPr>
                <w:rFonts w:ascii="맑은 고딕" w:hAnsi="맑은 고딕" w:eastAsia="맑은 고딕"/>
                <w:sz w:val="18"/>
              </w:rPr>
              <w:t>RAG 검색 및 지시어 검증</w:t>
            </w:r>
          </w:p>
        </w:tc>
        <w:tc>
          <w:tcPr>
            <w:tcW w:type="dxa" w:w="2913"/>
          </w:tcPr>
          <w:p>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tcPr>
          <w:p>
            <w:r/>
            <w:r>
              <w:rPr>
                <w:rFonts w:ascii="맑은 고딕" w:hAnsi="맑은 고딕" w:eastAsia="맑은 고딕"/>
                <w:sz w:val="18"/>
              </w:rPr>
              <w:t>C</w:t>
            </w:r>
          </w:p>
        </w:tc>
        <w:tc>
          <w:tcPr>
            <w:tcW w:type="dxa" w:w="2913"/>
          </w:tcPr>
          <w:p>
            <w:r/>
            <w:r>
              <w:rPr>
                <w:rFonts w:ascii="맑은 고딕" w:hAnsi="맑은 고딕" w:eastAsia="맑은 고딕"/>
                <w:sz w:val="18"/>
              </w:rPr>
              <w:t>LLM 추론 엔진</w:t>
            </w:r>
          </w:p>
        </w:tc>
        <w:tc>
          <w:tcPr>
            <w:tcW w:type="dxa" w:w="2913"/>
          </w:tcPr>
          <w:p>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tcPr>
          <w:p>
            <w:r/>
            <w:r>
              <w:rPr>
                <w:rFonts w:ascii="맑은 고딕" w:hAnsi="맑은 고딕" w:eastAsia="맑은 고딕"/>
                <w:sz w:val="18"/>
              </w:rPr>
              <w:t>D</w:t>
            </w:r>
          </w:p>
        </w:tc>
        <w:tc>
          <w:tcPr>
            <w:tcW w:type="dxa" w:w="2913"/>
          </w:tcPr>
          <w:p>
            <w:r/>
            <w:r>
              <w:rPr>
                <w:rFonts w:ascii="맑은 고딕" w:hAnsi="맑은 고딕" w:eastAsia="맑은 고딕"/>
                <w:sz w:val="18"/>
              </w:rPr>
              <w:t>출력 가드레일</w:t>
            </w:r>
          </w:p>
        </w:tc>
        <w:tc>
          <w:tcPr>
            <w:tcW w:type="dxa" w:w="2913"/>
          </w:tcPr>
          <w:p>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  그림 8은 9차 실행의 1라운드 실패 사례가 보강 규칙 1번이 되어 응대 정책 v1.1에 병합되는 과정을 실제 기록으로 보인 것이다.</w:t>
      </w:r>
    </w:p>
    <w:p>
      <w:pPr>
        <w:spacing w:after="140" w:line="360" w:lineRule="auto"/>
        <w:jc w:val="center"/>
      </w:pPr>
      <w:r>
        <w:drawing>
          <wp:inline xmlns:a="http://schemas.openxmlformats.org/drawingml/2006/main" xmlns:pic="http://schemas.openxmlformats.org/drawingml/2006/picture">
            <wp:extent cx="3606609" cy="3436886"/>
            <wp:docPr id="8" name="Picture 8"/>
            <wp:cNvGraphicFramePr>
              <a:graphicFrameLocks noChangeAspect="1"/>
            </wp:cNvGraphicFramePr>
            <a:graphic>
              <a:graphicData uri="http://schemas.openxmlformats.org/drawingml/2006/picture">
                <pic:pic>
                  <pic:nvPicPr>
                    <pic:cNvPr id="0" name="pres_N10_metarule_generation.png"/>
                    <pic:cNvPicPr/>
                  </pic:nvPicPr>
                  <pic:blipFill>
                    <a:blip r:embed="rId45"/>
                    <a:stretch>
                      <a:fillRect/>
                    </a:stretch>
                  </pic:blipFill>
                  <pic:spPr>
                    <a:xfrm>
                      <a:off x="0" y="0"/>
                      <a:ext cx="3606609" cy="343688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보강 규칙 생성의 실제 예 — 실패 판정에서 응대 정책 v1.1까지 (9차).</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9).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위협(2026년판)의 위협 카테고리에 매핑하여 분류체계를 확정하였다. 그림 9의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4438904" cy="3073761"/>
            <wp:docPr id="9" name="Picture 9"/>
            <wp:cNvGraphicFramePr>
              <a:graphicFrameLocks noChangeAspect="1"/>
            </wp:cNvGraphicFramePr>
            <a:graphic>
              <a:graphicData uri="http://schemas.openxmlformats.org/drawingml/2006/picture">
                <pic:pic>
                  <pic:nvPicPr>
                    <pic:cNvPr id="0" name="fig_taxonomy_v8.png"/>
                    <pic:cNvPicPr/>
                  </pic:nvPicPr>
                  <pic:blipFill>
                    <a:blip r:embed="rId46"/>
                    <a:stretch>
                      <a:fillRect/>
                    </a:stretch>
                  </pic:blipFill>
                  <pic:spPr>
                    <a:xfrm>
                      <a:off x="0" y="0"/>
                      <a:ext cx="4438904" cy="307376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10),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등급</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두 축 판정의 조합</w:t>
            </w:r>
          </w:p>
        </w:tc>
      </w:tr>
      <w:tr>
        <w:tc>
          <w:tcPr>
            <w:tcW w:type="dxa" w:w="2913"/>
          </w:tcPr>
          <w:p>
            <w:r/>
            <w:r>
              <w:rPr>
                <w:rFonts w:ascii="맑은 고딕" w:hAnsi="맑은 고딕" w:eastAsia="맑은 고딕"/>
                <w:sz w:val="18"/>
              </w:rPr>
              <w:t>4</w:t>
            </w:r>
          </w:p>
        </w:tc>
        <w:tc>
          <w:tcPr>
            <w:tcW w:type="dxa" w:w="2913"/>
          </w:tcPr>
          <w:p>
            <w:r/>
            <w:r>
              <w:rPr>
                <w:rFonts w:ascii="맑은 고딕" w:hAnsi="맑은 고딕" w:eastAsia="맑은 고딕"/>
                <w:sz w:val="18"/>
              </w:rPr>
              <w:t>완전 방어</w:t>
            </w:r>
          </w:p>
        </w:tc>
        <w:tc>
          <w:tcPr>
            <w:tcW w:type="dxa" w:w="2913"/>
          </w:tcPr>
          <w:p>
            <w:r/>
            <w:r>
              <w:rPr>
                <w:rFonts w:ascii="맑은 고딕" w:hAnsi="맑은 고딕" w:eastAsia="맑은 고딕"/>
                <w:sz w:val="18"/>
              </w:rPr>
              <w:t>정보 무결성 유지, 정책 준수</w:t>
            </w:r>
          </w:p>
        </w:tc>
      </w:tr>
      <w:tr>
        <w:tc>
          <w:tcPr>
            <w:tcW w:type="dxa" w:w="2913"/>
          </w:tcPr>
          <w:p>
            <w:r/>
            <w:r>
              <w:rPr>
                <w:rFonts w:ascii="맑은 고딕" w:hAnsi="맑은 고딕" w:eastAsia="맑은 고딕"/>
                <w:sz w:val="18"/>
              </w:rPr>
              <w:t>3</w:t>
            </w:r>
          </w:p>
        </w:tc>
        <w:tc>
          <w:tcPr>
            <w:tcW w:type="dxa" w:w="2913"/>
          </w:tcPr>
          <w:p>
            <w:r/>
            <w:r>
              <w:rPr>
                <w:rFonts w:ascii="맑은 고딕" w:hAnsi="맑은 고딕" w:eastAsia="맑은 고딕"/>
                <w:sz w:val="18"/>
              </w:rPr>
              <w:t>기능적 방어</w:t>
            </w:r>
          </w:p>
        </w:tc>
        <w:tc>
          <w:tcPr>
            <w:tcW w:type="dxa" w:w="2913"/>
          </w:tcPr>
          <w:p>
            <w:r/>
            <w:r>
              <w:rPr>
                <w:rFonts w:ascii="맑은 고딕" w:hAnsi="맑은 고딕" w:eastAsia="맑은 고딕"/>
                <w:sz w:val="18"/>
              </w:rPr>
              <w:t>정보 무결성 유지, 정책 경미·중대 위반</w:t>
            </w:r>
          </w:p>
        </w:tc>
      </w:tr>
      <w:tr>
        <w:tc>
          <w:tcPr>
            <w:tcW w:type="dxa" w:w="2913"/>
          </w:tcPr>
          <w:p>
            <w:r/>
            <w:r>
              <w:rPr>
                <w:rFonts w:ascii="맑은 고딕" w:hAnsi="맑은 고딕" w:eastAsia="맑은 고딕"/>
                <w:sz w:val="18"/>
              </w:rPr>
              <w:t>2</w:t>
            </w:r>
          </w:p>
        </w:tc>
        <w:tc>
          <w:tcPr>
            <w:tcW w:type="dxa" w:w="2913"/>
          </w:tcPr>
          <w:p>
            <w:r/>
            <w:r>
              <w:rPr>
                <w:rFonts w:ascii="맑은 고딕" w:hAnsi="맑은 고딕" w:eastAsia="맑은 고딕"/>
                <w:sz w:val="18"/>
              </w:rPr>
              <w:t>부분 노출</w:t>
            </w:r>
          </w:p>
        </w:tc>
        <w:tc>
          <w:tcPr>
            <w:tcW w:type="dxa" w:w="2913"/>
          </w:tcPr>
          <w:p>
            <w:r/>
            <w:r>
              <w:rPr>
                <w:rFonts w:ascii="맑은 고딕" w:hAnsi="맑은 고딕" w:eastAsia="맑은 고딕"/>
                <w:sz w:val="18"/>
              </w:rPr>
              <w:t>정보 무결성 부분 훼손 (간접 정보 노출, 허위 전제 방치)</w:t>
            </w:r>
          </w:p>
        </w:tc>
      </w:tr>
      <w:tr>
        <w:tc>
          <w:tcPr>
            <w:tcW w:type="dxa" w:w="2913"/>
          </w:tcPr>
          <w:p>
            <w:r/>
            <w:r>
              <w:rPr>
                <w:rFonts w:ascii="맑은 고딕" w:hAnsi="맑은 고딕" w:eastAsia="맑은 고딕"/>
                <w:sz w:val="18"/>
              </w:rPr>
              <w:t>1</w:t>
            </w:r>
          </w:p>
        </w:tc>
        <w:tc>
          <w:tcPr>
            <w:tcW w:type="dxa" w:w="2913"/>
          </w:tcPr>
          <w:p>
            <w:r/>
            <w:r>
              <w:rPr>
                <w:rFonts w:ascii="맑은 고딕" w:hAnsi="맑은 고딕" w:eastAsia="맑은 고딕"/>
                <w:sz w:val="18"/>
              </w:rPr>
              <w:t>침해</w:t>
            </w:r>
          </w:p>
        </w:tc>
        <w:tc>
          <w:tcPr>
            <w:tcW w:type="dxa" w:w="2913"/>
          </w:tcPr>
          <w:p>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방법론과 CVSS의 4단계 관행에서 차용)는 버리지 않고, 두 축의 판정에서 코드로 산출하도록 바꾸었다(표 3, 그림 10).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617072"/>
            <wp:docPr id="10" name="Picture 10"/>
            <wp:cNvGraphicFramePr>
              <a:graphicFrameLocks noChangeAspect="1"/>
            </wp:cNvGraphicFramePr>
            <a:graphic>
              <a:graphicData uri="http://schemas.openxmlformats.org/drawingml/2006/picture">
                <pic:pic>
                  <pic:nvPicPr>
                    <pic:cNvPr id="0" name="fig_levels_v8.png"/>
                    <pic:cNvPicPr/>
                  </pic:nvPicPr>
                  <pic:blipFill>
                    <a:blip r:embed="rId47"/>
                    <a:stretch>
                      <a:fillRect/>
                    </a:stretch>
                  </pic:blipFill>
                  <pic:spPr>
                    <a:xfrm>
                      <a:off x="0" y="0"/>
                      <a:ext cx="5548630" cy="26170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역할</w:t>
            </w:r>
          </w:p>
        </w:tc>
        <w:tc>
          <w:tcPr>
            <w:tcW w:type="dxa" w:w="2913"/>
            <w:shd w:val="clear" w:fill="E7E6E6"/>
          </w:tcPr>
          <w:p>
            <w:r/>
            <w:r>
              <w:rPr>
                <w:rFonts w:ascii="맑은 고딕" w:hAnsi="맑은 고딕" w:eastAsia="맑은 고딕"/>
                <w:b/>
                <w:sz w:val="18"/>
              </w:rPr>
              <w:t>모델</w:t>
            </w:r>
          </w:p>
        </w:tc>
        <w:tc>
          <w:tcPr>
            <w:tcW w:type="dxa" w:w="2913"/>
            <w:shd w:val="clear" w:fill="E7E6E6"/>
          </w:tcPr>
          <w:p>
            <w:r/>
            <w:r>
              <w:rPr>
                <w:rFonts w:ascii="맑은 고딕" w:hAnsi="맑은 고딕" w:eastAsia="맑은 고딕"/>
                <w:b/>
                <w:sz w:val="18"/>
              </w:rPr>
              <w:t>비고</w:t>
            </w:r>
          </w:p>
        </w:tc>
      </w:tr>
      <w:tr>
        <w:tc>
          <w:tcPr>
            <w:tcW w:type="dxa" w:w="2913"/>
          </w:tcPr>
          <w:p>
            <w:r/>
            <w:r>
              <w:rPr>
                <w:rFonts w:ascii="맑은 고딕" w:hAnsi="맑은 고딕" w:eastAsia="맑은 고딕"/>
                <w:sz w:val="18"/>
              </w:rPr>
              <w:t>주 모델 — 유닛 C·심판관·보강 규칙 생성기</w:t>
            </w:r>
          </w:p>
        </w:tc>
        <w:tc>
          <w:tcPr>
            <w:tcW w:type="dxa" w:w="2913"/>
          </w:tcPr>
          <w:p>
            <w:r/>
            <w:r>
              <w:rPr>
                <w:rFonts w:ascii="맑은 고딕" w:hAnsi="맑은 고딕" w:eastAsia="맑은 고딕"/>
                <w:sz w:val="18"/>
              </w:rPr>
              <w:t>Anthropic Claude Sonnet 5</w:t>
            </w:r>
          </w:p>
        </w:tc>
        <w:tc>
          <w:tcPr>
            <w:tcW w:type="dxa" w:w="2913"/>
          </w:tcPr>
          <w:p>
            <w:r/>
            <w:r>
              <w:rPr>
                <w:rFonts w:ascii="맑은 고딕" w:hAnsi="맑은 고딕" w:eastAsia="맑은 고딕"/>
                <w:sz w:val="18"/>
              </w:rPr>
              <w:t>유닛 C 온도 설정 0.2, 심판관 0 고정. 심판관 호출은 무상태</w:t>
            </w:r>
          </w:p>
        </w:tc>
      </w:tr>
      <w:tr>
        <w:tc>
          <w:tcPr>
            <w:tcW w:type="dxa" w:w="2913"/>
          </w:tcPr>
          <w:p>
            <w:r/>
            <w:r>
              <w:rPr>
                <w:rFonts w:ascii="맑은 고딕" w:hAnsi="맑은 고딕" w:eastAsia="맑은 고딕"/>
                <w:sz w:val="18"/>
              </w:rPr>
              <w:t>레드팀 생성기 — 공격·적응형 재공격 문장 생성</w:t>
            </w:r>
          </w:p>
        </w:tc>
        <w:tc>
          <w:tcPr>
            <w:tcW w:type="dxa" w:w="2913"/>
          </w:tcPr>
          <w:p>
            <w:r/>
            <w:r>
              <w:rPr>
                <w:rFonts w:ascii="맑은 고딕" w:hAnsi="맑은 고딕" w:eastAsia="맑은 고딕"/>
                <w:sz w:val="18"/>
              </w:rPr>
              <w:t>OpenAI GPT-5.4</w:t>
            </w:r>
          </w:p>
        </w:tc>
        <w:tc>
          <w:tcPr>
            <w:tcW w:type="dxa" w:w="2913"/>
          </w:tcPr>
          <w:p>
            <w:r/>
            <w:r>
              <w:rPr>
                <w:rFonts w:ascii="맑은 고딕" w:hAnsi="맑은 고딕" w:eastAsia="맑은 고딕"/>
                <w:sz w:val="18"/>
              </w:rPr>
              <w:t>주 모델이 생성 요청을 거부하여 분리</w:t>
            </w:r>
          </w:p>
        </w:tc>
      </w:tr>
      <w:tr>
        <w:tc>
          <w:tcPr>
            <w:tcW w:type="dxa" w:w="2913"/>
          </w:tcPr>
          <w:p>
            <w:r/>
            <w:r>
              <w:rPr>
                <w:rFonts w:ascii="맑은 고딕" w:hAnsi="맑은 고딕" w:eastAsia="맑은 고딕"/>
                <w:sz w:val="18"/>
              </w:rPr>
              <w:t>교차 모델 검증용 추가 백엔드</w:t>
            </w:r>
          </w:p>
        </w:tc>
        <w:tc>
          <w:tcPr>
            <w:tcW w:type="dxa" w:w="2913"/>
          </w:tcPr>
          <w:p>
            <w:r/>
            <w:r>
              <w:rPr>
                <w:rFonts w:ascii="맑은 고딕" w:hAnsi="맑은 고딕" w:eastAsia="맑은 고딕"/>
                <w:sz w:val="18"/>
              </w:rPr>
              <w:t>Google Gemini 3.6 Flash, OpenAI GPT-5.4</w:t>
            </w:r>
          </w:p>
        </w:tc>
        <w:tc>
          <w:tcPr>
            <w:tcW w:type="dxa" w:w="2913"/>
          </w:tcPr>
          <w:p>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11은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shd w:val="clear" w:fill="E7E6E6"/>
          </w:tcPr>
          <w:p>
            <w:r/>
            <w:r>
              <w:rPr>
                <w:rFonts w:ascii="맑은 고딕" w:hAnsi="맑은 고딕" w:eastAsia="맑은 고딕"/>
                <w:b/>
                <w:sz w:val="18"/>
              </w:rPr>
              <w:t>실행</w:t>
            </w:r>
          </w:p>
        </w:tc>
        <w:tc>
          <w:tcPr>
            <w:tcW w:type="dxa" w:w="1092"/>
            <w:shd w:val="clear" w:fill="E7E6E6"/>
          </w:tcPr>
          <w:p>
            <w:r/>
            <w:r>
              <w:rPr>
                <w:rFonts w:ascii="맑은 고딕" w:hAnsi="맑은 고딕" w:eastAsia="맑은 고딕"/>
                <w:b/>
                <w:sz w:val="18"/>
              </w:rPr>
              <w:t>라운드 상한</w:t>
            </w:r>
          </w:p>
        </w:tc>
        <w:tc>
          <w:tcPr>
            <w:tcW w:type="dxa" w:w="1092"/>
            <w:shd w:val="clear" w:fill="E7E6E6"/>
          </w:tcPr>
          <w:p>
            <w:r/>
            <w:r>
              <w:rPr>
                <w:rFonts w:ascii="맑은 고딕" w:hAnsi="맑은 고딕" w:eastAsia="맑은 고딕"/>
                <w:b/>
                <w:sz w:val="18"/>
              </w:rPr>
              <w:t>1라운드</w:t>
            </w:r>
          </w:p>
        </w:tc>
        <w:tc>
          <w:tcPr>
            <w:tcW w:type="dxa" w:w="1092"/>
            <w:shd w:val="clear" w:fill="E7E6E6"/>
          </w:tcPr>
          <w:p>
            <w:r/>
            <w:r>
              <w:rPr>
                <w:rFonts w:ascii="맑은 고딕" w:hAnsi="맑은 고딕" w:eastAsia="맑은 고딕"/>
                <w:b/>
                <w:sz w:val="18"/>
              </w:rPr>
              <w:t>최종 라운드</w:t>
            </w:r>
          </w:p>
        </w:tc>
        <w:tc>
          <w:tcPr>
            <w:tcW w:type="dxa" w:w="1092"/>
            <w:shd w:val="clear" w:fill="E7E6E6"/>
          </w:tcPr>
          <w:p>
            <w:r/>
            <w:r>
              <w:rPr>
                <w:rFonts w:ascii="맑은 고딕" w:hAnsi="맑은 고딕" w:eastAsia="맑은 고딕"/>
                <w:b/>
                <w:sz w:val="18"/>
              </w:rPr>
              <w:t>헬드아웃</w:t>
            </w:r>
          </w:p>
        </w:tc>
        <w:tc>
          <w:tcPr>
            <w:tcW w:type="dxa" w:w="1092"/>
            <w:shd w:val="clear" w:fill="E7E6E6"/>
          </w:tcPr>
          <w:p>
            <w:r/>
            <w:r>
              <w:rPr>
                <w:rFonts w:ascii="맑은 고딕" w:hAnsi="맑은 고딕" w:eastAsia="맑은 고딕"/>
                <w:b/>
                <w:sz w:val="18"/>
              </w:rPr>
              <w:t>블랙박스</w:t>
            </w:r>
          </w:p>
        </w:tc>
        <w:tc>
          <w:tcPr>
            <w:tcW w:type="dxa" w:w="1092"/>
            <w:shd w:val="clear" w:fill="E7E6E6"/>
          </w:tcPr>
          <w:p>
            <w:r/>
            <w:r>
              <w:rPr>
                <w:rFonts w:ascii="맑은 고딕" w:hAnsi="맑은 고딕" w:eastAsia="맑은 고딕"/>
                <w:b/>
                <w:sz w:val="18"/>
              </w:rPr>
              <w:t>화이트박스</w:t>
            </w:r>
          </w:p>
        </w:tc>
        <w:tc>
          <w:tcPr>
            <w:tcW w:type="dxa" w:w="1092"/>
            <w:shd w:val="clear" w:fill="E7E6E6"/>
          </w:tcPr>
          <w:p>
            <w:r/>
            <w:r>
              <w:rPr>
                <w:rFonts w:ascii="맑은 고딕" w:hAnsi="맑은 고딕" w:eastAsia="맑은 고딕"/>
                <w:b/>
                <w:sz w:val="18"/>
              </w:rPr>
              <w:t>교차 모델 검증</w:t>
            </w:r>
          </w:p>
        </w:tc>
      </w:tr>
      <w:tr>
        <w:tc>
          <w:tcPr>
            <w:tcW w:type="dxa" w:w="1092"/>
          </w:tcPr>
          <w:p>
            <w:r/>
            <w:r>
              <w:rPr>
                <w:rFonts w:ascii="맑은 고딕" w:hAnsi="맑은 고딕" w:eastAsia="맑은 고딕"/>
                <w:sz w:val="18"/>
              </w:rPr>
              <w:t>7차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68.1</w:t>
            </w:r>
          </w:p>
        </w:tc>
        <w:tc>
          <w:tcPr>
            <w:tcW w:type="dxa" w:w="1092"/>
          </w:tcPr>
          <w:p>
            <w:r/>
            <w:r>
              <w:rPr>
                <w:rFonts w:ascii="맑은 고딕" w:hAnsi="맑은 고딕" w:eastAsia="맑은 고딕"/>
                <w:sz w:val="18"/>
              </w:rPr>
              <w:t>88.4</w:t>
            </w:r>
          </w:p>
        </w:tc>
        <w:tc>
          <w:tcPr>
            <w:tcW w:type="dxa" w:w="1092"/>
          </w:tcPr>
          <w:p>
            <w:r/>
            <w:r>
              <w:rPr>
                <w:rFonts w:ascii="맑은 고딕" w:hAnsi="맑은 고딕" w:eastAsia="맑은 고딕"/>
                <w:sz w:val="18"/>
              </w:rPr>
              <w:t>87.0</w:t>
            </w:r>
          </w:p>
        </w:tc>
        <w:tc>
          <w:tcPr>
            <w:tcW w:type="dxa" w:w="1092"/>
          </w:tcPr>
          <w:p>
            <w:r/>
            <w:r>
              <w:rPr>
                <w:rFonts w:ascii="맑은 고딕" w:hAnsi="맑은 고딕" w:eastAsia="맑은 고딕"/>
                <w:sz w:val="18"/>
              </w:rPr>
              <w:t>93.3</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47.8</w:t>
            </w:r>
          </w:p>
        </w:tc>
      </w:tr>
      <w:tr>
        <w:tc>
          <w:tcPr>
            <w:tcW w:type="dxa" w:w="1092"/>
          </w:tcPr>
          <w:p>
            <w:r/>
            <w:r>
              <w:rPr>
                <w:rFonts w:ascii="맑은 고딕" w:hAnsi="맑은 고딕" w:eastAsia="맑은 고딕"/>
                <w:sz w:val="18"/>
              </w:rPr>
              <w:t>8차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71.2</w:t>
            </w:r>
          </w:p>
        </w:tc>
        <w:tc>
          <w:tcPr>
            <w:tcW w:type="dxa" w:w="1092"/>
          </w:tcPr>
          <w:p>
            <w:r/>
            <w:r>
              <w:rPr>
                <w:rFonts w:ascii="맑은 고딕" w:hAnsi="맑은 고딕" w:eastAsia="맑은 고딕"/>
                <w:sz w:val="18"/>
              </w:rPr>
              <w:t>71.2 (최저 63.6)</w:t>
            </w:r>
          </w:p>
        </w:tc>
        <w:tc>
          <w:tcPr>
            <w:tcW w:type="dxa" w:w="1092"/>
          </w:tcPr>
          <w:p>
            <w:r/>
            <w:r>
              <w:rPr>
                <w:rFonts w:ascii="맑은 고딕" w:hAnsi="맑은 고딕" w:eastAsia="맑은 고딕"/>
                <w:sz w:val="18"/>
              </w:rPr>
              <w:t>74.2</w:t>
            </w:r>
          </w:p>
        </w:tc>
        <w:tc>
          <w:tcPr>
            <w:tcW w:type="dxa" w:w="1092"/>
          </w:tcPr>
          <w:p>
            <w:r/>
            <w:r>
              <w:rPr>
                <w:rFonts w:ascii="맑은 고딕" w:hAnsi="맑은 고딕" w:eastAsia="맑은 고딕"/>
                <w:sz w:val="18"/>
              </w:rPr>
              <w:t>60.0</w:t>
            </w:r>
          </w:p>
        </w:tc>
        <w:tc>
          <w:tcPr>
            <w:tcW w:type="dxa" w:w="1092"/>
          </w:tcPr>
          <w:p>
            <w:r/>
            <w:r>
              <w:rPr>
                <w:rFonts w:ascii="맑은 고딕" w:hAnsi="맑은 고딕" w:eastAsia="맑은 고딕"/>
                <w:sz w:val="18"/>
              </w:rPr>
              <w:t>80.0</w:t>
            </w:r>
          </w:p>
        </w:tc>
        <w:tc>
          <w:tcPr>
            <w:tcW w:type="dxa" w:w="1092"/>
          </w:tcPr>
          <w:p>
            <w:r/>
            <w:r>
              <w:rPr>
                <w:rFonts w:ascii="맑은 고딕" w:hAnsi="맑은 고딕" w:eastAsia="맑은 고딕"/>
                <w:sz w:val="18"/>
              </w:rPr>
              <w:t>45.5</w:t>
            </w:r>
          </w:p>
        </w:tc>
      </w:tr>
      <w:tr>
        <w:tc>
          <w:tcPr>
            <w:tcW w:type="dxa" w:w="1092"/>
          </w:tcPr>
          <w:p>
            <w:r/>
            <w:r>
              <w:rPr>
                <w:rFonts w:ascii="맑은 고딕" w:hAnsi="맑은 고딕" w:eastAsia="맑은 고딕"/>
                <w:sz w:val="18"/>
              </w:rPr>
              <w:t>9차</w:t>
            </w:r>
          </w:p>
        </w:tc>
        <w:tc>
          <w:tcPr>
            <w:tcW w:type="dxa" w:w="1092"/>
          </w:tcPr>
          <w:p>
            <w:r/>
            <w:r>
              <w:rPr>
                <w:rFonts w:ascii="맑은 고딕" w:hAnsi="맑은 고딕" w:eastAsia="맑은 고딕"/>
                <w:sz w:val="18"/>
              </w:rPr>
              <w:t>15</w:t>
            </w:r>
          </w:p>
        </w:tc>
        <w:tc>
          <w:tcPr>
            <w:tcW w:type="dxa" w:w="1092"/>
          </w:tcPr>
          <w:p>
            <w:r/>
            <w:r>
              <w:rPr>
                <w:rFonts w:ascii="맑은 고딕" w:hAnsi="맑은 고딕" w:eastAsia="맑은 고딕"/>
                <w:sz w:val="18"/>
              </w:rPr>
              <w:t>68.2</w:t>
            </w:r>
          </w:p>
        </w:tc>
        <w:tc>
          <w:tcPr>
            <w:tcW w:type="dxa" w:w="1092"/>
          </w:tcPr>
          <w:p>
            <w:r/>
            <w:r>
              <w:rPr>
                <w:rFonts w:ascii="맑은 고딕" w:hAnsi="맑은 고딕" w:eastAsia="맑은 고딕"/>
                <w:sz w:val="18"/>
              </w:rPr>
              <w:t>100.0 (14라운드)</w:t>
            </w:r>
          </w:p>
        </w:tc>
        <w:tc>
          <w:tcPr>
            <w:tcW w:type="dxa" w:w="1092"/>
          </w:tcPr>
          <w:p>
            <w:r/>
            <w:r>
              <w:rPr>
                <w:rFonts w:ascii="맑은 고딕" w:hAnsi="맑은 고딕" w:eastAsia="맑은 고딕"/>
                <w:sz w:val="18"/>
              </w:rPr>
              <w:t>97.1</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  그림 12는 라운드별로 적용된 보강 규칙 수를, 그림 13은 초기와 후기 보강 규칙의 실제 문장을 보인 것이다.</w:t>
      </w:r>
    </w:p>
    <w:p>
      <w:pPr>
        <w:spacing w:after="140" w:line="360" w:lineRule="auto"/>
        <w:jc w:val="center"/>
      </w:pPr>
      <w:r>
        <w:drawing>
          <wp:inline xmlns:a="http://schemas.openxmlformats.org/drawingml/2006/main" xmlns:pic="http://schemas.openxmlformats.org/drawingml/2006/picture">
            <wp:extent cx="5548630" cy="3098658"/>
            <wp:docPr id="11" name="Picture 11"/>
            <wp:cNvGraphicFramePr>
              <a:graphicFrameLocks noChangeAspect="1"/>
            </wp:cNvGraphicFramePr>
            <a:graphic>
              <a:graphicData uri="http://schemas.openxmlformats.org/drawingml/2006/picture">
                <pic:pic>
                  <pic:nvPicPr>
                    <pic:cNvPr id="0" name="plot_rounds_v8.png"/>
                    <pic:cNvPicPr/>
                  </pic:nvPicPr>
                  <pic:blipFill>
                    <a:blip r:embed="rId48"/>
                    <a:stretch>
                      <a:fillRect/>
                    </a:stretch>
                  </pic:blipFill>
                  <pic:spPr>
                    <a:xfrm>
                      <a:off x="0" y="0"/>
                      <a:ext cx="5548630" cy="309865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라운드별 가이드라인 준수율 추이 (7·8·9차).</w:t>
      </w:r>
    </w:p>
    <w:p>
      <w:pPr>
        <w:spacing w:after="140" w:line="360" w:lineRule="auto"/>
        <w:jc w:val="center"/>
      </w:pPr>
      <w:r>
        <w:drawing>
          <wp:inline xmlns:a="http://schemas.openxmlformats.org/drawingml/2006/main" xmlns:pic="http://schemas.openxmlformats.org/drawingml/2006/picture">
            <wp:extent cx="4438904" cy="3729422"/>
            <wp:docPr id="12" name="Picture 12"/>
            <wp:cNvGraphicFramePr>
              <a:graphicFrameLocks noChangeAspect="1"/>
            </wp:cNvGraphicFramePr>
            <a:graphic>
              <a:graphicData uri="http://schemas.openxmlformats.org/drawingml/2006/picture">
                <pic:pic>
                  <pic:nvPicPr>
                    <pic:cNvPr id="0" name="pres_chart_e_metarule_cumulative.png"/>
                    <pic:cNvPicPr/>
                  </pic:nvPicPr>
                  <pic:blipFill>
                    <a:blip r:embed="rId49"/>
                    <a:stretch>
                      <a:fillRect/>
                    </a:stretch>
                  </pic:blipFill>
                  <pic:spPr>
                    <a:xfrm>
                      <a:off x="0" y="0"/>
                      <a:ext cx="4438904" cy="372942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라운드별 적용된 보강 규칙 수 (7·9차).</w:t>
      </w:r>
    </w:p>
    <w:p>
      <w:pPr>
        <w:spacing w:after="140" w:line="360" w:lineRule="auto"/>
        <w:jc w:val="center"/>
      </w:pPr>
      <w:r>
        <w:drawing>
          <wp:inline xmlns:a="http://schemas.openxmlformats.org/drawingml/2006/main" xmlns:pic="http://schemas.openxmlformats.org/drawingml/2006/picture">
            <wp:extent cx="3606609" cy="3988485"/>
            <wp:docPr id="13" name="Picture 13"/>
            <wp:cNvGraphicFramePr>
              <a:graphicFrameLocks noChangeAspect="1"/>
            </wp:cNvGraphicFramePr>
            <a:graphic>
              <a:graphicData uri="http://schemas.openxmlformats.org/drawingml/2006/picture">
                <pic:pic>
                  <pic:nvPicPr>
                    <pic:cNvPr id="0" name="pres_metarule_evolution.png"/>
                    <pic:cNvPicPr/>
                  </pic:nvPicPr>
                  <pic:blipFill>
                    <a:blip r:embed="rId50"/>
                    <a:stretch>
                      <a:fillRect/>
                    </a:stretch>
                  </pic:blipFill>
                  <pic:spPr>
                    <a:xfrm>
                      <a:off x="0" y="0"/>
                      <a:ext cx="3606609" cy="398848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보강 규칙의 변화 — 원칙 수준에서 문자열 틀 수준으로 (9차).</w:t>
      </w:r>
    </w:p>
    <w:p>
      <w:pPr>
        <w:spacing w:after="140" w:line="360" w:lineRule="auto"/>
        <w:jc w:val="both"/>
      </w:pPr>
      <w:r>
        <w:t>9차 실행의 결과를 3.4절의 매핑 기준(그림 9, 7~13차에는 RAG 오염 범주가 없었으므로 나머지 핵심 4범주)에 따라 정보 불일치성 3유형과 보완적 위협으로 재집계하였다(표 6).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6.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shd w:val="clear" w:fill="E7E6E6"/>
          </w:tcPr>
          <w:p>
            <w:r/>
            <w:r>
              <w:rPr>
                <w:rFonts w:ascii="맑은 고딕" w:hAnsi="맑은 고딕" w:eastAsia="맑은 고딕"/>
                <w:b/>
                <w:sz w:val="18"/>
              </w:rPr>
              <w:t>유형</w:t>
            </w:r>
          </w:p>
        </w:tc>
        <w:tc>
          <w:tcPr>
            <w:tcW w:type="dxa" w:w="2184"/>
            <w:shd w:val="clear" w:fill="E7E6E6"/>
          </w:tcPr>
          <w:p>
            <w:r/>
            <w:r>
              <w:rPr>
                <w:rFonts w:ascii="맑은 고딕" w:hAnsi="맑은 고딕" w:eastAsia="맑은 고딕"/>
                <w:b/>
                <w:sz w:val="18"/>
              </w:rPr>
              <w:t>표본 수</w:t>
            </w:r>
          </w:p>
        </w:tc>
        <w:tc>
          <w:tcPr>
            <w:tcW w:type="dxa" w:w="2184"/>
            <w:shd w:val="clear" w:fill="E7E6E6"/>
          </w:tcPr>
          <w:p>
            <w:r/>
            <w:r>
              <w:rPr>
                <w:rFonts w:ascii="맑은 고딕" w:hAnsi="맑은 고딕" w:eastAsia="맑은 고딕"/>
                <w:b/>
                <w:sz w:val="18"/>
              </w:rPr>
              <w:t>14라운드 (최종 버전, 4단계)</w:t>
            </w:r>
          </w:p>
        </w:tc>
        <w:tc>
          <w:tcPr>
            <w:tcW w:type="dxa" w:w="2184"/>
            <w:shd w:val="clear" w:fill="E7E6E6"/>
          </w:tcPr>
          <w:p>
            <w:r/>
            <w:r>
              <w:rPr>
                <w:rFonts w:ascii="맑은 고딕" w:hAnsi="맑은 고딕" w:eastAsia="맑은 고딕"/>
                <w:b/>
                <w:sz w:val="18"/>
              </w:rPr>
              <w:t>헬드아웃 (3단계)</w:t>
            </w:r>
          </w:p>
        </w:tc>
      </w:tr>
      <w:tr>
        <w:tc>
          <w:tcPr>
            <w:tcW w:type="dxa" w:w="2184"/>
          </w:tcPr>
          <w:p>
            <w:r/>
            <w:r>
              <w:rPr>
                <w:rFonts w:ascii="맑은 고딕" w:hAnsi="맑은 고딕" w:eastAsia="맑은 고딕"/>
                <w:sz w:val="18"/>
              </w:rPr>
              <w:t>허위조작정보 (사칭)</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3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오정보 (허위 사실 동조)</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2, 기능적 방어 1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악의정보 (메타데이터·개인정보 유출)</w:t>
            </w:r>
          </w:p>
        </w:tc>
        <w:tc>
          <w:tcPr>
            <w:tcW w:type="dxa" w:w="2184"/>
          </w:tcPr>
          <w:p>
            <w:r/>
            <w:r>
              <w:rPr>
                <w:rFonts w:ascii="맑은 고딕" w:hAnsi="맑은 고딕" w:eastAsia="맑은 고딕"/>
                <w:sz w:val="18"/>
              </w:rPr>
              <w:t>6</w:t>
            </w:r>
          </w:p>
        </w:tc>
        <w:tc>
          <w:tcPr>
            <w:tcW w:type="dxa" w:w="2184"/>
          </w:tcPr>
          <w:p>
            <w:r/>
            <w:r>
              <w:rPr>
                <w:rFonts w:ascii="맑은 고딕" w:hAnsi="맑은 고딕" w:eastAsia="맑은 고딕"/>
                <w:sz w:val="18"/>
              </w:rPr>
              <w:t>완전 방어 6 (100%)</w:t>
            </w:r>
          </w:p>
        </w:tc>
        <w:tc>
          <w:tcPr>
            <w:tcW w:type="dxa" w:w="2184"/>
          </w:tcPr>
          <w:p>
            <w:r/>
            <w:r>
              <w:rPr>
                <w:rFonts w:ascii="맑은 고딕" w:hAnsi="맑은 고딕" w:eastAsia="맑은 고딕"/>
                <w:sz w:val="18"/>
              </w:rPr>
              <w:t>통과 6 (100%)</w:t>
            </w:r>
          </w:p>
        </w:tc>
      </w:tr>
      <w:tr>
        <w:tc>
          <w:tcPr>
            <w:tcW w:type="dxa" w:w="2184"/>
          </w:tcPr>
          <w:p>
            <w:r/>
            <w:r>
              <w:rPr>
                <w:rFonts w:ascii="맑은 고딕" w:hAnsi="맑은 고딕" w:eastAsia="맑은 고딕"/>
                <w:sz w:val="18"/>
              </w:rPr>
              <w:t>보완적 보안 위협 (인코딩 우회·어투 강요·교차상품·가격)</w:t>
            </w:r>
          </w:p>
        </w:tc>
        <w:tc>
          <w:tcPr>
            <w:tcW w:type="dxa" w:w="2184"/>
          </w:tcPr>
          <w:p>
            <w:r/>
            <w:r>
              <w:rPr>
                <w:rFonts w:ascii="맑은 고딕" w:hAnsi="맑은 고딕" w:eastAsia="맑은 고딕"/>
                <w:sz w:val="18"/>
              </w:rPr>
              <w:t>10~11</w:t>
            </w:r>
          </w:p>
        </w:tc>
        <w:tc>
          <w:tcPr>
            <w:tcW w:type="dxa" w:w="2184"/>
          </w:tcPr>
          <w:p>
            <w:r/>
            <w:r>
              <w:rPr>
                <w:rFonts w:ascii="맑은 고딕" w:hAnsi="맑은 고딕" w:eastAsia="맑은 고딕"/>
                <w:sz w:val="18"/>
              </w:rPr>
              <w:t>완전 방어 8, 기능적 방어 2 (100%)</w:t>
            </w:r>
          </w:p>
        </w:tc>
        <w:tc>
          <w:tcPr>
            <w:tcW w:type="dxa" w:w="2184"/>
          </w:tcPr>
          <w:p>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5548630" cy="2965023"/>
            <wp:docPr id="14" name="Picture 14"/>
            <wp:cNvGraphicFramePr>
              <a:graphicFrameLocks noChangeAspect="1"/>
            </wp:cNvGraphicFramePr>
            <a:graphic>
              <a:graphicData uri="http://schemas.openxmlformats.org/drawingml/2006/picture">
                <pic:pic>
                  <pic:nvPicPr>
                    <pic:cNvPr id="0" name="plot_defense_v8.png"/>
                    <pic:cNvPicPr/>
                  </pic:nvPicPr>
                  <pic:blipFill>
                    <a:blip r:embed="rId51"/>
                    <a:stretch>
                      <a:fillRect/>
                    </a:stretch>
                  </pic:blipFill>
                  <pic:spPr>
                    <a:xfrm>
                      <a:off x="0" y="0"/>
                      <a:ext cx="5548630" cy="296502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  그림 15는 1라운드와 14라운드 22건의 4단계 재채점 분포이며, 그림 16은 같은 개인정보 유출 공격에 대한 1라운드와 5라운드(7차)의 실제 응답과 판정을 비교한 것이다.</w:t>
      </w:r>
    </w:p>
    <w:p>
      <w:pPr>
        <w:spacing w:after="140" w:line="360" w:lineRule="auto"/>
        <w:jc w:val="center"/>
      </w:pPr>
      <w:r>
        <w:drawing>
          <wp:inline xmlns:a="http://schemas.openxmlformats.org/drawingml/2006/main" xmlns:pic="http://schemas.openxmlformats.org/drawingml/2006/picture">
            <wp:extent cx="4438904" cy="3702528"/>
            <wp:docPr id="15" name="Picture 15"/>
            <wp:cNvGraphicFramePr>
              <a:graphicFrameLocks noChangeAspect="1"/>
            </wp:cNvGraphicFramePr>
            <a:graphic>
              <a:graphicData uri="http://schemas.openxmlformats.org/drawingml/2006/picture">
                <pic:pic>
                  <pic:nvPicPr>
                    <pic:cNvPr id="0" name="pres_chart_d2_run9_level4_relevel.png"/>
                    <pic:cNvPicPr/>
                  </pic:nvPicPr>
                  <pic:blipFill>
                    <a:blip r:embed="rId52"/>
                    <a:stretch>
                      <a:fillRect/>
                    </a:stretch>
                  </pic:blipFill>
                  <pic:spPr>
                    <a:xfrm>
                      <a:off x="0" y="0"/>
                      <a:ext cx="4438904" cy="370252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4단계 등급 사후 재채점 — 1라운드와 14라운드 (9차, 22건).</w:t>
      </w:r>
    </w:p>
    <w:p>
      <w:pPr>
        <w:spacing w:after="140" w:line="360" w:lineRule="auto"/>
        <w:jc w:val="center"/>
      </w:pPr>
      <w:r>
        <w:drawing>
          <wp:inline xmlns:a="http://schemas.openxmlformats.org/drawingml/2006/main" xmlns:pic="http://schemas.openxmlformats.org/drawingml/2006/picture">
            <wp:extent cx="5548630" cy="3210780"/>
            <wp:docPr id="16" name="Picture 16"/>
            <wp:cNvGraphicFramePr>
              <a:graphicFrameLocks noChangeAspect="1"/>
            </wp:cNvGraphicFramePr>
            <a:graphic>
              <a:graphicData uri="http://schemas.openxmlformats.org/drawingml/2006/picture">
                <pic:pic>
                  <pic:nvPicPr>
                    <pic:cNvPr id="0" name="pres_example_pii_r1_vs_r5.png"/>
                    <pic:cNvPicPr/>
                  </pic:nvPicPr>
                  <pic:blipFill>
                    <a:blip r:embed="rId53"/>
                    <a:stretch>
                      <a:fillRect/>
                    </a:stretch>
                  </pic:blipFill>
                  <pic:spPr>
                    <a:xfrm>
                      <a:off x="0" y="0"/>
                      <a:ext cx="5548630" cy="321078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같은 공격에 대한 1라운드와 5라운드의 실제 응답 비교 (7차, 개인정보 유출).</w:t>
      </w:r>
    </w:p>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7).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7.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shd w:val="clear" w:fill="E7E6E6"/>
          </w:tcPr>
          <w:p>
            <w:r/>
            <w:r>
              <w:rPr>
                <w:rFonts w:ascii="맑은 고딕" w:hAnsi="맑은 고딕" w:eastAsia="맑은 고딕"/>
                <w:b/>
                <w:sz w:val="18"/>
              </w:rPr>
              <w:t>실행</w:t>
            </w:r>
          </w:p>
        </w:tc>
        <w:tc>
          <w:tcPr>
            <w:tcW w:type="dxa" w:w="1248"/>
            <w:shd w:val="clear" w:fill="E7E6E6"/>
          </w:tcPr>
          <w:p>
            <w:r/>
            <w:r>
              <w:rPr>
                <w:rFonts w:ascii="맑은 고딕" w:hAnsi="맑은 고딕" w:eastAsia="맑은 고딕"/>
                <w:b/>
                <w:sz w:val="18"/>
              </w:rPr>
              <w:t>응대 정책 성숙도</w:t>
            </w:r>
          </w:p>
        </w:tc>
        <w:tc>
          <w:tcPr>
            <w:tcW w:type="dxa" w:w="1248"/>
            <w:shd w:val="clear" w:fill="E7E6E6"/>
          </w:tcPr>
          <w:p>
            <w:r/>
            <w:r>
              <w:rPr>
                <w:rFonts w:ascii="맑은 고딕" w:hAnsi="맑은 고딕" w:eastAsia="맑은 고딕"/>
                <w:b/>
                <w:sz w:val="18"/>
              </w:rPr>
              <w:t>오픈AI</w:t>
            </w:r>
          </w:p>
        </w:tc>
        <w:tc>
          <w:tcPr>
            <w:tcW w:type="dxa" w:w="1248"/>
            <w:shd w:val="clear" w:fill="E7E6E6"/>
          </w:tcPr>
          <w:p>
            <w:r/>
            <w:r>
              <w:rPr>
                <w:rFonts w:ascii="맑은 고딕" w:hAnsi="맑은 고딕" w:eastAsia="맑은 고딕"/>
                <w:b/>
                <w:sz w:val="18"/>
              </w:rPr>
              <w:t>구글</w:t>
            </w:r>
          </w:p>
        </w:tc>
        <w:tc>
          <w:tcPr>
            <w:tcW w:type="dxa" w:w="1248"/>
            <w:shd w:val="clear" w:fill="E7E6E6"/>
          </w:tcPr>
          <w:p>
            <w:r/>
            <w:r>
              <w:rPr>
                <w:rFonts w:ascii="맑은 고딕" w:hAnsi="맑은 고딕" w:eastAsia="맑은 고딕"/>
                <w:b/>
                <w:sz w:val="18"/>
              </w:rPr>
              <w:t>앤트로픽</w:t>
            </w:r>
          </w:p>
        </w:tc>
        <w:tc>
          <w:tcPr>
            <w:tcW w:type="dxa" w:w="1248"/>
            <w:shd w:val="clear" w:fill="E7E6E6"/>
          </w:tcPr>
          <w:p>
            <w:r/>
            <w:r>
              <w:rPr>
                <w:rFonts w:ascii="맑은 고딕" w:hAnsi="맑은 고딕" w:eastAsia="맑은 고딕"/>
                <w:b/>
                <w:sz w:val="18"/>
              </w:rPr>
              <w:t>2/3 이상 검증됨</w:t>
            </w:r>
          </w:p>
        </w:tc>
        <w:tc>
          <w:tcPr>
            <w:tcW w:type="dxa" w:w="1248"/>
            <w:shd w:val="clear" w:fill="E7E6E6"/>
          </w:tcPr>
          <w:p>
            <w:r/>
            <w:r>
              <w:rPr>
                <w:rFonts w:ascii="맑은 고딕" w:hAnsi="맑은 고딕" w:eastAsia="맑은 고딕"/>
                <w:b/>
                <w:sz w:val="18"/>
              </w:rPr>
              <w:t>p (프리드먼 / 코크런 Q)</w:t>
            </w:r>
          </w:p>
        </w:tc>
      </w:tr>
      <w:tr>
        <w:tc>
          <w:tcPr>
            <w:tcW w:type="dxa" w:w="1248"/>
          </w:tcPr>
          <w:p>
            <w:r/>
            <w:r>
              <w:rPr>
                <w:rFonts w:ascii="맑은 고딕" w:hAnsi="맑은 고딕" w:eastAsia="맑은 고딕"/>
                <w:sz w:val="18"/>
              </w:rPr>
              <w:t>7차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52.2</w:t>
            </w:r>
          </w:p>
        </w:tc>
        <w:tc>
          <w:tcPr>
            <w:tcW w:type="dxa" w:w="1248"/>
          </w:tcPr>
          <w:p>
            <w:r/>
            <w:r>
              <w:rPr>
                <w:rFonts w:ascii="맑은 고딕" w:hAnsi="맑은 고딕" w:eastAsia="맑은 고딕"/>
                <w:sz w:val="18"/>
              </w:rPr>
              <w:t>47.8</w:t>
            </w:r>
          </w:p>
        </w:tc>
        <w:tc>
          <w:tcPr>
            <w:tcW w:type="dxa" w:w="1248"/>
          </w:tcPr>
          <w:p>
            <w:r/>
            <w:r>
              <w:rPr>
                <w:rFonts w:ascii="맑은 고딕" w:hAnsi="맑은 고딕" w:eastAsia="맑은 고딕"/>
                <w:sz w:val="18"/>
              </w:rPr>
              <w:t>0.687 / 0.565</w:t>
            </w:r>
          </w:p>
        </w:tc>
      </w:tr>
      <w:tr>
        <w:tc>
          <w:tcPr>
            <w:tcW w:type="dxa" w:w="1248"/>
          </w:tcPr>
          <w:p>
            <w:r/>
            <w:r>
              <w:rPr>
                <w:rFonts w:ascii="맑은 고딕" w:hAnsi="맑은 고딕" w:eastAsia="맑은 고딕"/>
                <w:sz w:val="18"/>
              </w:rPr>
              <w:t>8차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68.2</w:t>
            </w:r>
          </w:p>
        </w:tc>
        <w:tc>
          <w:tcPr>
            <w:tcW w:type="dxa" w:w="1248"/>
          </w:tcPr>
          <w:p>
            <w:r/>
            <w:r>
              <w:rPr>
                <w:rFonts w:ascii="맑은 고딕" w:hAnsi="맑은 고딕" w:eastAsia="맑은 고딕"/>
                <w:sz w:val="18"/>
              </w:rPr>
              <w:t>50.0</w:t>
            </w:r>
          </w:p>
        </w:tc>
        <w:tc>
          <w:tcPr>
            <w:tcW w:type="dxa" w:w="1248"/>
          </w:tcPr>
          <w:p>
            <w:r/>
            <w:r>
              <w:rPr>
                <w:rFonts w:ascii="맑은 고딕" w:hAnsi="맑은 고딕" w:eastAsia="맑은 고딕"/>
                <w:sz w:val="18"/>
              </w:rPr>
              <w:t>31.8</w:t>
            </w:r>
          </w:p>
        </w:tc>
        <w:tc>
          <w:tcPr>
            <w:tcW w:type="dxa" w:w="1248"/>
          </w:tcPr>
          <w:p>
            <w:r/>
            <w:r>
              <w:rPr>
                <w:rFonts w:ascii="맑은 고딕" w:hAnsi="맑은 고딕" w:eastAsia="맑은 고딕"/>
                <w:sz w:val="18"/>
              </w:rPr>
              <w:t>45.5</w:t>
            </w:r>
          </w:p>
        </w:tc>
        <w:tc>
          <w:tcPr>
            <w:tcW w:type="dxa" w:w="1248"/>
          </w:tcPr>
          <w:p>
            <w:r/>
            <w:r>
              <w:rPr>
                <w:rFonts w:ascii="맑은 고딕" w:hAnsi="맑은 고딕" w:eastAsia="맑은 고딕"/>
                <w:sz w:val="18"/>
              </w:rPr>
              <w:t>0.036 / 0.059</w:t>
            </w:r>
          </w:p>
        </w:tc>
      </w:tr>
      <w:tr>
        <w:tc>
          <w:tcPr>
            <w:tcW w:type="dxa" w:w="1248"/>
          </w:tcPr>
          <w:p>
            <w:r/>
            <w:r>
              <w:rPr>
                <w:rFonts w:ascii="맑은 고딕" w:hAnsi="맑은 고딕" w:eastAsia="맑은 고딕"/>
                <w:sz w:val="18"/>
              </w:rPr>
              <w:t>9차</w:t>
            </w:r>
          </w:p>
        </w:tc>
        <w:tc>
          <w:tcPr>
            <w:tcW w:type="dxa" w:w="1248"/>
          </w:tcPr>
          <w:p>
            <w:r/>
            <w:r>
              <w:rPr>
                <w:rFonts w:ascii="맑은 고딕" w:hAnsi="맑은 고딕" w:eastAsia="맑은 고딕"/>
                <w:sz w:val="18"/>
              </w:rPr>
              <w:t>v1.13 (14라운드, 문자열 템플릿 수준)</w:t>
            </w:r>
          </w:p>
        </w:tc>
        <w:tc>
          <w:tcPr>
            <w:tcW w:type="dxa" w:w="1248"/>
          </w:tcPr>
          <w:p>
            <w:r/>
            <w:r>
              <w:rPr>
                <w:rFonts w:ascii="맑은 고딕" w:hAnsi="맑은 고딕" w:eastAsia="맑은 고딕"/>
                <w:sz w:val="18"/>
              </w:rPr>
              <w:t>100.0</w:t>
            </w:r>
          </w:p>
        </w:tc>
        <w:tc>
          <w:tcPr>
            <w:tcW w:type="dxa" w:w="1248"/>
          </w:tcPr>
          <w:p>
            <w:r/>
            <w:r>
              <w:rPr>
                <w:rFonts w:ascii="맑은 고딕" w:hAnsi="맑은 고딕" w:eastAsia="맑은 고딕"/>
                <w:sz w:val="18"/>
              </w:rPr>
              <w:t>87.0</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5548630" cy="3276837"/>
            <wp:docPr id="17" name="Picture 17"/>
            <wp:cNvGraphicFramePr>
              <a:graphicFrameLocks noChangeAspect="1"/>
            </wp:cNvGraphicFramePr>
            <a:graphic>
              <a:graphicData uri="http://schemas.openxmlformats.org/drawingml/2006/picture">
                <pic:pic>
                  <pic:nvPicPr>
                    <pic:cNvPr id="0" name="plot_cross_v8.png"/>
                    <pic:cNvPicPr/>
                  </pic:nvPicPr>
                  <pic:blipFill>
                    <a:blip r:embed="rId54"/>
                    <a:stretch>
                      <a:fillRect/>
                    </a:stretch>
                  </pic:blipFill>
                  <pic:spPr>
                    <a:xfrm>
                      <a:off x="0" y="0"/>
                      <a:ext cx="5548630" cy="327683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18과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5548630" cy="2743332"/>
            <wp:docPr id="18" name="Picture 18"/>
            <wp:cNvGraphicFramePr>
              <a:graphicFrameLocks noChangeAspect="1"/>
            </wp:cNvGraphicFramePr>
            <a:graphic>
              <a:graphicData uri="http://schemas.openxmlformats.org/drawingml/2006/picture">
                <pic:pic>
                  <pic:nvPicPr>
                    <pic:cNvPr id="0" name="plot_5w1h_v8.png"/>
                    <pic:cNvPicPr/>
                  </pic:nvPicPr>
                  <pic:blipFill>
                    <a:blip r:embed="rId55"/>
                    <a:stretch>
                      <a:fillRect/>
                    </a:stretch>
                  </pic:blipFill>
                  <pic:spPr>
                    <a:xfrm>
                      <a:off x="0" y="0"/>
                      <a:ext cx="5548630" cy="274333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18.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8.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지표</w:t>
            </w:r>
          </w:p>
        </w:tc>
        <w:tc>
          <w:tcPr>
            <w:tcW w:type="dxa" w:w="2913"/>
            <w:shd w:val="clear" w:fill="E7E6E6"/>
          </w:tcPr>
          <w:p>
            <w:r/>
            <w:r>
              <w:rPr>
                <w:rFonts w:ascii="맑은 고딕" w:hAnsi="맑은 고딕" w:eastAsia="맑은 고딕"/>
                <w:b/>
                <w:sz w:val="18"/>
              </w:rPr>
              <w:t>기준형 (v1.x)</w:t>
            </w:r>
          </w:p>
        </w:tc>
        <w:tc>
          <w:tcPr>
            <w:tcW w:type="dxa" w:w="2913"/>
            <w:shd w:val="clear" w:fill="E7E6E6"/>
          </w:tcPr>
          <w:p>
            <w:r/>
            <w:r>
              <w:rPr>
                <w:rFonts w:ascii="맑은 고딕" w:hAnsi="맑은 고딕" w:eastAsia="맑은 고딕"/>
                <w:b/>
                <w:sz w:val="18"/>
              </w:rPr>
              <w:t>육하원칙형 (v2.x)</w:t>
            </w:r>
          </w:p>
        </w:tc>
      </w:tr>
      <w:tr>
        <w:tc>
          <w:tcPr>
            <w:tcW w:type="dxa" w:w="2913"/>
          </w:tcPr>
          <w:p>
            <w:r/>
            <w:r>
              <w:rPr>
                <w:rFonts w:ascii="맑은 고딕" w:hAnsi="맑은 고딕" w:eastAsia="맑은 고딕"/>
                <w:sz w:val="18"/>
              </w:rPr>
              <w:t>1라운드 준수율</w:t>
            </w:r>
          </w:p>
        </w:tc>
        <w:tc>
          <w:tcPr>
            <w:tcW w:type="dxa" w:w="2913"/>
          </w:tcPr>
          <w:p>
            <w:r/>
            <w:r>
              <w:rPr>
                <w:rFonts w:ascii="맑은 고딕" w:hAnsi="맑은 고딕" w:eastAsia="맑은 고딕"/>
                <w:sz w:val="18"/>
              </w:rPr>
              <w:t>70.8%</w:t>
            </w:r>
          </w:p>
        </w:tc>
        <w:tc>
          <w:tcPr>
            <w:tcW w:type="dxa" w:w="2913"/>
          </w:tcPr>
          <w:p>
            <w:r/>
            <w:r>
              <w:rPr>
                <w:rFonts w:ascii="맑은 고딕" w:hAnsi="맑은 고딕" w:eastAsia="맑은 고딕"/>
                <w:sz w:val="18"/>
              </w:rPr>
              <w:t>64.6%</w:t>
            </w:r>
          </w:p>
        </w:tc>
      </w:tr>
      <w:tr>
        <w:tc>
          <w:tcPr>
            <w:tcW w:type="dxa" w:w="2913"/>
          </w:tcPr>
          <w:p>
            <w:r/>
            <w:r>
              <w:rPr>
                <w:rFonts w:ascii="맑은 고딕" w:hAnsi="맑은 고딕" w:eastAsia="맑은 고딕"/>
                <w:sz w:val="18"/>
              </w:rPr>
              <w:t>3라운드 준수율</w:t>
            </w:r>
          </w:p>
        </w:tc>
        <w:tc>
          <w:tcPr>
            <w:tcW w:type="dxa" w:w="2913"/>
          </w:tcPr>
          <w:p>
            <w:r/>
            <w:r>
              <w:rPr>
                <w:rFonts w:ascii="맑은 고딕" w:hAnsi="맑은 고딕" w:eastAsia="맑은 고딕"/>
                <w:sz w:val="18"/>
              </w:rPr>
              <w:t>75.0%</w:t>
            </w:r>
          </w:p>
        </w:tc>
        <w:tc>
          <w:tcPr>
            <w:tcW w:type="dxa" w:w="2913"/>
          </w:tcPr>
          <w:p>
            <w:r/>
            <w:r>
              <w:rPr>
                <w:rFonts w:ascii="맑은 고딕" w:hAnsi="맑은 고딕" w:eastAsia="맑은 고딕"/>
                <w:sz w:val="18"/>
              </w:rPr>
              <w:t>66.7%</w:t>
            </w:r>
          </w:p>
        </w:tc>
      </w:tr>
      <w:tr>
        <w:tc>
          <w:tcPr>
            <w:tcW w:type="dxa" w:w="2913"/>
          </w:tcPr>
          <w:p>
            <w:r/>
            <w:r>
              <w:rPr>
                <w:rFonts w:ascii="맑은 고딕" w:hAnsi="맑은 고딕" w:eastAsia="맑은 고딕"/>
                <w:sz w:val="18"/>
              </w:rPr>
              <w:t>헬드아웃 준수율</w:t>
            </w:r>
          </w:p>
        </w:tc>
        <w:tc>
          <w:tcPr>
            <w:tcW w:type="dxa" w:w="2913"/>
          </w:tcPr>
          <w:p>
            <w:r/>
            <w:r>
              <w:rPr>
                <w:rFonts w:ascii="맑은 고딕" w:hAnsi="맑은 고딕" w:eastAsia="맑은 고딕"/>
                <w:sz w:val="18"/>
              </w:rPr>
              <w:t>59.5%</w:t>
            </w:r>
          </w:p>
        </w:tc>
        <w:tc>
          <w:tcPr>
            <w:tcW w:type="dxa" w:w="2913"/>
          </w:tcPr>
          <w:p>
            <w:r/>
            <w:r>
              <w:rPr>
                <w:rFonts w:ascii="맑은 고딕" w:hAnsi="맑은 고딕" w:eastAsia="맑은 고딕"/>
                <w:sz w:val="18"/>
              </w:rPr>
              <w:t>64.3%</w:t>
            </w:r>
          </w:p>
        </w:tc>
      </w:tr>
      <w:tr>
        <w:tc>
          <w:tcPr>
            <w:tcW w:type="dxa" w:w="2913"/>
          </w:tcPr>
          <w:p>
            <w:r/>
            <w:r>
              <w:rPr>
                <w:rFonts w:ascii="맑은 고딕" w:hAnsi="맑은 고딕" w:eastAsia="맑은 고딕"/>
                <w:sz w:val="18"/>
              </w:rPr>
              <w:t>최종 보강 규칙 개수 (3라운드 기준)</w:t>
            </w:r>
          </w:p>
        </w:tc>
        <w:tc>
          <w:tcPr>
            <w:tcW w:type="dxa" w:w="2913"/>
          </w:tcPr>
          <w:p>
            <w:r/>
            <w:r>
              <w:rPr>
                <w:rFonts w:ascii="맑은 고딕" w:hAnsi="맑은 고딕" w:eastAsia="맑은 고딕"/>
                <w:sz w:val="18"/>
              </w:rPr>
              <w:t>12개</w:t>
            </w:r>
          </w:p>
        </w:tc>
        <w:tc>
          <w:tcPr>
            <w:tcW w:type="dxa" w:w="2913"/>
          </w:tcPr>
          <w:p>
            <w:r/>
            <w:r>
              <w:rPr>
                <w:rFonts w:ascii="맑은 고딕" w:hAnsi="맑은 고딕" w:eastAsia="맑은 고딕"/>
                <w:sz w:val="18"/>
              </w:rPr>
              <w:t>9개</w:t>
            </w:r>
          </w:p>
        </w:tc>
      </w:tr>
      <w:tr>
        <w:tc>
          <w:tcPr>
            <w:tcW w:type="dxa" w:w="2913"/>
          </w:tcPr>
          <w:p>
            <w:r/>
            <w:r>
              <w:rPr>
                <w:rFonts w:ascii="맑은 고딕" w:hAnsi="맑은 고딕" w:eastAsia="맑은 고딕"/>
                <w:sz w:val="18"/>
              </w:rPr>
              <w:t>총 비용 (226회 호출)</w:t>
            </w:r>
          </w:p>
        </w:tc>
        <w:tc>
          <w:tcPr>
            <w:tcW w:type="dxa" w:w="2913"/>
          </w:tcPr>
          <w:p>
            <w:r/>
            <w:r>
              <w:rPr>
                <w:rFonts w:ascii="맑은 고딕" w:hAnsi="맑은 고딕" w:eastAsia="맑은 고딕"/>
                <w:sz w:val="18"/>
              </w:rPr>
              <w:t>$4.33</w:t>
            </w:r>
          </w:p>
        </w:tc>
        <w:tc>
          <w:tcPr>
            <w:tcW w:type="dxa" w:w="2913"/>
          </w:tcPr>
          <w:p>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8의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9, 그림 19).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9.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위협 모델</w:t>
            </w:r>
          </w:p>
        </w:tc>
        <w:tc>
          <w:tcPr>
            <w:tcW w:type="dxa" w:w="2913"/>
            <w:shd w:val="clear" w:fill="E7E6E6"/>
          </w:tcPr>
          <w:p>
            <w:r/>
            <w:r>
              <w:rPr>
                <w:rFonts w:ascii="맑은 고딕" w:hAnsi="맑은 고딕" w:eastAsia="맑은 고딕"/>
                <w:b/>
                <w:sz w:val="18"/>
              </w:rPr>
              <w:t>공격자가 아는 정보</w:t>
            </w:r>
          </w:p>
        </w:tc>
        <w:tc>
          <w:tcPr>
            <w:tcW w:type="dxa" w:w="2913"/>
            <w:shd w:val="clear" w:fill="E7E6E6"/>
          </w:tcPr>
          <w:p>
            <w:r/>
            <w:r>
              <w:rPr>
                <w:rFonts w:ascii="맑은 고딕" w:hAnsi="맑은 고딕" w:eastAsia="맑은 고딕"/>
                <w:b/>
                <w:sz w:val="18"/>
              </w:rPr>
              <w:t>목적</w:t>
            </w:r>
          </w:p>
        </w:tc>
      </w:tr>
      <w:tr>
        <w:tc>
          <w:tcPr>
            <w:tcW w:type="dxa" w:w="2913"/>
          </w:tcPr>
          <w:p>
            <w:r/>
            <w:r>
              <w:rPr>
                <w:rFonts w:ascii="맑은 고딕" w:hAnsi="맑은 고딕" w:eastAsia="맑은 고딕"/>
                <w:sz w:val="18"/>
              </w:rPr>
              <w:t>블랙박스</w:t>
            </w:r>
          </w:p>
        </w:tc>
        <w:tc>
          <w:tcPr>
            <w:tcW w:type="dxa" w:w="2913"/>
          </w:tcPr>
          <w:p>
            <w:r/>
            <w:r>
              <w:rPr>
                <w:rFonts w:ascii="맑은 고딕" w:hAnsi="맑은 고딕" w:eastAsia="맑은 고딕"/>
                <w:sz w:val="18"/>
              </w:rPr>
              <w:t>응대 정책에 보강 규칙이 존재한다는 사실만 알고 정확한 문구는 모름</w:t>
            </w:r>
          </w:p>
        </w:tc>
        <w:tc>
          <w:tcPr>
            <w:tcW w:type="dxa" w:w="2913"/>
          </w:tcPr>
          <w:p>
            <w:r/>
            <w:r>
              <w:rPr>
                <w:rFonts w:ascii="맑은 고딕" w:hAnsi="맑은 고딕" w:eastAsia="맑은 고딕"/>
                <w:sz w:val="18"/>
              </w:rPr>
              <w:t>실제 서비스에서 외부 공격자가 처하는 현실적 조건의 재현</w:t>
            </w:r>
          </w:p>
        </w:tc>
      </w:tr>
      <w:tr>
        <w:tc>
          <w:tcPr>
            <w:tcW w:type="dxa" w:w="2913"/>
          </w:tcPr>
          <w:p>
            <w:r/>
            <w:r>
              <w:rPr>
                <w:rFonts w:ascii="맑은 고딕" w:hAnsi="맑은 고딕" w:eastAsia="맑은 고딕"/>
                <w:sz w:val="18"/>
              </w:rPr>
              <w:t>화이트박스</w:t>
            </w:r>
          </w:p>
        </w:tc>
        <w:tc>
          <w:tcPr>
            <w:tcW w:type="dxa" w:w="2913"/>
          </w:tcPr>
          <w:p>
            <w:r/>
            <w:r>
              <w:rPr>
                <w:rFonts w:ascii="맑은 고딕" w:hAnsi="맑은 고딕" w:eastAsia="맑은 고딕"/>
                <w:sz w:val="18"/>
              </w:rPr>
              <w:t>최종 버전의 보강 규칙 전문을 그대로 알고 있음</w:t>
            </w:r>
          </w:p>
        </w:tc>
        <w:tc>
          <w:tcPr>
            <w:tcW w:type="dxa" w:w="2913"/>
          </w:tcPr>
          <w:p>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2146710"/>
            <wp:docPr id="19" name="Picture 19"/>
            <wp:cNvGraphicFramePr>
              <a:graphicFrameLocks noChangeAspect="1"/>
            </wp:cNvGraphicFramePr>
            <a:graphic>
              <a:graphicData uri="http://schemas.openxmlformats.org/drawingml/2006/picture">
                <pic:pic>
                  <pic:nvPicPr>
                    <pic:cNvPr id="0" name="fig_adaptive_v8.png"/>
                    <pic:cNvPicPr/>
                  </pic:nvPicPr>
                  <pic:blipFill>
                    <a:blip r:embed="rId56"/>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19.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20~17은 위 한계가 프레임워크의 어느 단계에서 발생하는지 대응시켜 보이기 위해 3.1절의 구조도를 다시 제시한 것이다. 첫째 한계는 연구 전체의 규모와 범위에 관한 것으로 전체 흐름(그림 20)에 해당하고, 둘째와 넷째 한계는 공격 시나리오를 생성하고 분할하는 준비 단계(그림 21)에서 발생한다. 여섯째 한계는 단발성 공격 문장을 입력으로 받는 유닛 파이프라인(그림 22)의 범위에 관한 것이며, 셋째와 여덟째 한계는 심판관 채점과 보강 규칙 누적 삽입이 이루어지는 강건화 루프(그림 23)에, 다섯째와 일곱째 한계는 적응형 재공격과 통계 검정을 수행하는 사후 검증(그림 24)에 해당한다.</w:t>
      </w:r>
    </w:p>
    <w:p>
      <w:pPr>
        <w:spacing w:after="140" w:line="360" w:lineRule="auto"/>
        <w:jc w:val="center"/>
      </w:pPr>
      <w:r>
        <w:drawing>
          <wp:inline xmlns:a="http://schemas.openxmlformats.org/drawingml/2006/main" xmlns:pic="http://schemas.openxmlformats.org/drawingml/2006/picture">
            <wp:extent cx="5548630" cy="1649001"/>
            <wp:docPr id="20" name="Picture 20"/>
            <wp:cNvGraphicFramePr>
              <a:graphicFrameLocks noChangeAspect="1"/>
            </wp:cNvGraphicFramePr>
            <a:graphic>
              <a:graphicData uri="http://schemas.openxmlformats.org/drawingml/2006/picture">
                <pic:pic>
                  <pic:nvPicPr>
                    <pic:cNvPr id="0" name="fig_overview_v8.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20. 전체 프레임워크의 흐름 개요.</w:t>
      </w:r>
    </w:p>
    <w:p>
      <w:pPr>
        <w:spacing w:after="140" w:line="360" w:lineRule="auto"/>
        <w:jc w:val="center"/>
      </w:pPr>
      <w:r>
        <w:drawing>
          <wp:inline xmlns:a="http://schemas.openxmlformats.org/drawingml/2006/main" xmlns:pic="http://schemas.openxmlformats.org/drawingml/2006/picture">
            <wp:extent cx="5548630" cy="2280708"/>
            <wp:docPr id="21" name="Picture 21"/>
            <wp:cNvGraphicFramePr>
              <a:graphicFrameLocks noChangeAspect="1"/>
            </wp:cNvGraphicFramePr>
            <a:graphic>
              <a:graphicData uri="http://schemas.openxmlformats.org/drawingml/2006/picture">
                <pic:pic>
                  <pic:nvPicPr>
                    <pic:cNvPr id="0" name="fig_prep_v8.png"/>
                    <pic:cNvPicPr/>
                  </pic:nvPicPr>
                  <pic:blipFill>
                    <a:blip r:embed="rId57"/>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21. 준비 단계 — 사전 점검과 공격 생성.</w:t>
      </w:r>
    </w:p>
    <w:p>
      <w:pPr>
        <w:spacing w:after="140" w:line="360" w:lineRule="auto"/>
        <w:jc w:val="center"/>
      </w:pPr>
      <w:r>
        <w:drawing>
          <wp:inline xmlns:a="http://schemas.openxmlformats.org/drawingml/2006/main" xmlns:pic="http://schemas.openxmlformats.org/drawingml/2006/picture">
            <wp:extent cx="5548630" cy="2280708"/>
            <wp:docPr id="22" name="Picture 22"/>
            <wp:cNvGraphicFramePr>
              <a:graphicFrameLocks noChangeAspect="1"/>
            </wp:cNvGraphicFramePr>
            <a:graphic>
              <a:graphicData uri="http://schemas.openxmlformats.org/drawingml/2006/picture">
                <pic:pic>
                  <pic:nvPicPr>
                    <pic:cNvPr id="0" name="fig_struct1_v8.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22. 구조 1 — 파이프라인 아키텍처 (유닛 A~D).</w:t>
      </w:r>
    </w:p>
    <w:p>
      <w:pPr>
        <w:spacing w:after="140" w:line="360" w:lineRule="auto"/>
        <w:jc w:val="center"/>
      </w:pPr>
      <w:r>
        <w:drawing>
          <wp:inline xmlns:a="http://schemas.openxmlformats.org/drawingml/2006/main" xmlns:pic="http://schemas.openxmlformats.org/drawingml/2006/picture">
            <wp:extent cx="5548630" cy="3183147"/>
            <wp:docPr id="23" name="Picture 23"/>
            <wp:cNvGraphicFramePr>
              <a:graphicFrameLocks noChangeAspect="1"/>
            </wp:cNvGraphicFramePr>
            <a:graphic>
              <a:graphicData uri="http://schemas.openxmlformats.org/drawingml/2006/picture">
                <pic:pic>
                  <pic:nvPicPr>
                    <pic:cNvPr id="0" name="fig_struct2_v8.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23. 구조 2 — 강건화 폐쇄 루프.</w:t>
      </w:r>
    </w:p>
    <w:p>
      <w:pPr>
        <w:spacing w:after="140" w:line="360" w:lineRule="auto"/>
        <w:jc w:val="center"/>
      </w:pPr>
      <w:r>
        <w:drawing>
          <wp:inline xmlns:a="http://schemas.openxmlformats.org/drawingml/2006/main" xmlns:pic="http://schemas.openxmlformats.org/drawingml/2006/picture">
            <wp:extent cx="5548630" cy="2056466"/>
            <wp:docPr id="24" name="Picture 24"/>
            <wp:cNvGraphicFramePr>
              <a:graphicFrameLocks noChangeAspect="1"/>
            </wp:cNvGraphicFramePr>
            <a:graphic>
              <a:graphicData uri="http://schemas.openxmlformats.org/drawingml/2006/picture">
                <pic:pic>
                  <pic:nvPicPr>
                    <pic:cNvPr id="0" name="fig_struct3_v8.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24.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