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1400"/>
        <w:jc w:val="center"/>
      </w:pPr>
      <w:r>
        <w:rPr>
          <w:b/>
          <w:bCs/>
          <w:color w:val="1F4E79"/>
          <w:sz w:val="40"/>
          <w:szCs w:val="40"/>
        </w:rPr>
        <w:t xml:space="preserve">Velocity, Injury Risk, and Franchise Value</w:t>
      </w:r>
    </w:p>
    <w:p>
      <w:pPr>
        <w:jc w:val="center"/>
      </w:pPr>
      <w:r>
        <w:rPr>
          <w:i/>
          <w:iCs/>
          <w:sz w:val="25"/>
          <w:szCs w:val="25"/>
        </w:rPr>
        <w:t xml:space="preserve">An exploratory LA Dodgers pitching and financial analysis</w:t>
      </w:r>
    </w:p>
    <w:p>
      <w:pPr>
        <w:spacing w:before="1000"/>
        <w:jc w:val="center"/>
      </w:pPr>
      <w:r>
        <w:rPr>
          <w:color w:val="555555"/>
          <w:sz w:val="19"/>
          <w:szCs w:val="19"/>
        </w:rPr>
        <w:t xml:space="preserve">Analysis edition — generated from processed data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50"/>
      </w:pPr>
      <w:r>
        <w:t xml:space="preserve">This project combines 184 pitcher-season observations (106 unique pitchers) with team financial data and a six-team comparison panel.</w:t>
      </w:r>
    </w:p>
    <w:p>
      <w:pPr>
        <w:pStyle w:val="ListParagraph"/>
        <w:numPr>
          <w:ilvl w:val="0"/>
          <w:numId w:val="2"/>
        </w:numPr>
      </w:pPr>
      <w:r>
        <w:t xml:space="preserve">A 1 mph velocity increase is associated with 4.24 in IL_days (p=&lt;0.001).</w:t>
      </w:r>
    </w:p>
    <w:p>
      <w:pPr>
        <w:pStyle w:val="ListParagraph"/>
        <w:numPr>
          <w:ilvl w:val="0"/>
          <w:numId w:val="2"/>
        </w:numPr>
      </w:pPr>
      <w:r>
        <w:t xml:space="preserve">A 1 mph velocity increase is associated with 0.0015 in WAR_per_IP (p=&lt;0.001).</w:t>
      </w:r>
    </w:p>
    <w:p>
      <w:pPr>
        <w:pStyle w:val="ListParagraph"/>
        <w:numPr>
          <w:ilvl w:val="0"/>
          <w:numId w:val="2"/>
        </w:numPr>
      </w:pPr>
      <w:r>
        <w:t xml:space="preserve">A 1 mph velocity increase is associated with 0.0080 in Postseason_WAR_proxy (p=0.075).</w:t>
      </w:r>
    </w:p>
    <w:p>
      <w:pPr>
        <w:pStyle w:val="ListParagraph"/>
        <w:numPr>
          <w:ilvl w:val="0"/>
          <w:numId w:val="2"/>
        </w:numPr>
      </w:pPr>
      <w:r>
        <w:t xml:space="preserve">Results are observational associations. They do not establish that velocity or the superstar strategy caused the outcomes.</w:t>
      </w:r>
    </w:p>
    <w:p>
      <w:pPr>
        <w:pStyle w:val="Heading1"/>
      </w:pPr>
      <w:r>
        <w:t xml:space="preserve">2. Data and design</w:t>
      </w:r>
    </w:p>
    <w:p>
      <w:pPr>
        <w:spacing w:after="150"/>
      </w:pPr>
      <w:r>
        <w:t xml:space="preserve">Pitcher-level models use player-clustered standard errors and exclude rows flagged for fewer than five innings. A sensitivity model controls for the prior observed season's IL days.</w:t>
      </w:r>
    </w:p>
    <w:p>
      <w:pPr>
        <w:spacing w:after="150"/>
      </w:pPr>
      <w:r>
        <w:t xml:space="preserve">The financial analysis compares LAD with NYY, BOS, NYM, CHC, and SFG using team and season fixed effects. Post equals one from 2024 onward.</w:t>
      </w:r>
    </w:p>
    <w:p>
      <w:pPr>
        <w:spacing w:after="150"/>
      </w:pPr>
      <w:r>
        <w:t xml:space="preserve">Important caveats: only six team clusters are available, pre-trends are imperfect, external financial values are estimates, and 2026 values are preliminary.</w:t>
      </w:r>
    </w:p>
    <w:p>
      <w:pPr>
        <w:pStyle w:val="Heading1"/>
      </w:pPr>
      <w:r>
        <w:t xml:space="preserve">3. Velocity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100"/>
        <w:gridCol w:w="2860"/>
      </w:tblGrid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Velocity bucket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Pitcher-seasons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 IL days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 WAR/IP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&lt;92 mph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21.8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0.0086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92-94 mph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21.4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0.0083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94-96 mph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26.2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0.0089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96+ mph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45.9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0.0127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Bucket counts and means above are computed from the processed pitcher dataset when this report is built.</w:t>
      </w:r>
    </w:p>
    <w:p>
      <w:pPr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chart1_velo_il.png" descr="chart1_velo_il.png" title="chart1_velo_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chart2_bucket.png" descr="chart2_bucket.png" title="chart2_buc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Team financial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Before 2024 mean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2024+ mean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$535.8M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$650.5M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+$114.7M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Operating income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$38.0M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$23.5M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-$14.5M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Team value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$3.60B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$6.15B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+$2.55B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CBT tax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$18.4M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$136.2M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+$117.8M</w:t>
            </w:r>
          </w:p>
        </w:tc>
      </w:tr>
    </w:tbl>
    <w:p>
      <w:pPr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chart3_cbt.png" descr="chart3_cbt.png" title="chart3_cb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 Difference-in-Differences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700"/>
        <w:gridCol w:w="28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Full-sample effect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Excl. 2020-21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+$97.4M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&lt;0.001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+$89.8M (p=&lt;0.001)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Team_Value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+$1.66B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&lt;0.001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+$1.62B (p=&lt;0.001)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Operating_Income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-$2.8M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0.955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+$35.0M (p=0.469)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OI_Margin_Pct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-13.17 pp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0.199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sz w:val="18"/>
                <w:szCs w:val="18"/>
              </w:rPr>
              <w:t xml:space="preserve">9.12 pp (p=0.365)</w:t>
            </w:r>
          </w:p>
        </w:tc>
      </w:tr>
    </w:tbl>
    <w:p>
      <w:pPr>
        <w:spacing w:after="150"/>
      </w:pPr>
      <w:r>
        <w:rPr>
          <w:b/>
          <w:bCs/>
          <w:color w:val="1F4E79"/>
        </w:rPr>
        <w:t xml:space="preserve">OI_Margin_Pct is stored as a proportion. Its coefficients are multiplied by 100 and reported above in percentage points (pp).</w:t>
      </w:r>
    </w:p>
    <w:p>
      <w:pPr>
        <w:jc w:val="center"/>
      </w:pPr>
      <w:r>
        <w:drawing>
          <wp:inline distT="0" distB="0" distL="0" distR="0">
            <wp:extent cx="4572000" cy="1828800"/>
            <wp:effectExtent t="0" r="0" b="0" l="0"/>
            <wp:docPr id="1" name="chart5_did_trend.png" descr="chart5_did_trend.png" title="chart5_did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191000" cy="2362200"/>
            <wp:effectExtent t="0" r="0" b="0" l="0"/>
            <wp:docPr id="1" name="chart6_event_study.png" descr="chart6_event_study.png" title="chart6_event_stu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Interpretation and limitations</w:t>
      </w:r>
    </w:p>
    <w:p>
      <w:pPr>
        <w:pStyle w:val="ListParagraph"/>
        <w:numPr>
          <w:ilvl w:val="0"/>
          <w:numId w:val="2"/>
        </w:numPr>
      </w:pPr>
      <w:r>
        <w:t xml:space="preserve">Higher velocity is associated with both greater injury burden and higher WAR efficiency.</w:t>
      </w:r>
    </w:p>
    <w:p>
      <w:pPr>
        <w:pStyle w:val="ListParagraph"/>
        <w:numPr>
          <w:ilvl w:val="0"/>
          <w:numId w:val="2"/>
        </w:numPr>
      </w:pPr>
      <w:r>
        <w:t xml:space="preserve">Revenue and team-value estimates rise relative to the selected peer group, while operating-income effects are not statistically distinguishable from zero.</w:t>
      </w:r>
    </w:p>
    <w:p>
      <w:pPr>
        <w:pStyle w:val="ListParagraph"/>
        <w:numPr>
          <w:ilvl w:val="0"/>
          <w:numId w:val="2"/>
        </w:numPr>
      </w:pPr>
      <w:r>
        <w:t xml:space="preserve">The DiD estimates are exploratory: six clusters limit conventional cluster-robust inference, and the parallel-trends assumption is not fully supported.</w:t>
      </w:r>
    </w:p>
    <w:p>
      <w:pPr>
        <w:pStyle w:val="ListParagraph"/>
        <w:numPr>
          <w:ilvl w:val="0"/>
          <w:numId w:val="2"/>
        </w:numPr>
      </w:pPr>
      <w:r>
        <w:t xml:space="preserve">The published IL snapshot can understate unresolved or unmatched stints; the live collection utility now right-censors open stints for future refreshes.</w:t>
      </w:r>
    </w:p>
    <w:p>
      <w:pPr>
        <w:spacing w:after="150"/>
      </w:pPr>
      <w:r>
        <w:t xml:space="preserve">The repository includes the processed datasets, scripts, workbook, figures, and documentation needed to inspect and rerun the analysis.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50"/>
    </w:pPr>
    <w:r>
      <w:rPr>
        <w:color w:val="777777"/>
        <w:sz w:val="16"/>
        <w:szCs w:val="16"/>
      </w:rPr>
      <w:t xml:space="preserve">Dodgers Pitching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7fcee89e47a11c330edbcde801bfa1e3f88f8c.png"/><Relationship Id="rId10" Type="http://schemas.openxmlformats.org/officeDocument/2006/relationships/image" Target="media/af5cd77dd1d32e4de766a9d69d3c11d091a20567.png"/><Relationship Id="rId11" Type="http://schemas.openxmlformats.org/officeDocument/2006/relationships/image" Target="media/e0f98b93b6afeda5c7419f74c53b58eb93ca4be5.png"/><Relationship Id="rId12" Type="http://schemas.openxmlformats.org/officeDocument/2006/relationships/image" Target="media/6781a15f8a258ea16c3bae2a5a582e00f585ab87.png"/><Relationship Id="rId13" Type="http://schemas.openxmlformats.org/officeDocument/2006/relationships/image" Target="media/d3cd55c225bf899ea40ea737f0a2225998df14a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2026-08-13T04:16:14.809Z</dcterms:created>
  <dcterms:modified xsi:type="dcterms:W3CDTF">2026-08-13T04:16:14.810Z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