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2A3DE8D7" w:rsidR="00740F49" w:rsidRPr="00866CC1" w:rsidRDefault="00E05A8A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B00E16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http://seongminmun.com/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74240E4C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3077DDBE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 w:rsidRPr="00866CC1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 w:rsidRPr="00866CC1">
              <w:rPr>
                <w:color w:val="7F7F7F" w:themeColor="text1" w:themeTint="80"/>
              </w:rPr>
              <w:t>anguage acquisition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>, Word segmentation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6C08D626" w14:textId="77777777" w:rsidR="006661A4" w:rsidRPr="00866CC1" w:rsidRDefault="006661A4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10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5A0E55B3" w14:textId="09272301" w:rsidR="009D13F6" w:rsidRPr="00866CC1" w:rsidRDefault="009D13F6" w:rsidP="008C09D3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A56261" w:rsidRPr="00866CC1" w14:paraId="1C7DB48E" w14:textId="77777777" w:rsidTr="008C09D3">
        <w:tc>
          <w:tcPr>
            <w:tcW w:w="1843" w:type="dxa"/>
          </w:tcPr>
          <w:p w14:paraId="47A5B647" w14:textId="1C56D238" w:rsidR="00B83D03" w:rsidRPr="00866CC1" w:rsidRDefault="00A56261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015471FC" w14:textId="69445731" w:rsidR="00E47115" w:rsidRPr="00866CC1" w:rsidRDefault="00E4711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2021 - PRESENT</w:t>
            </w:r>
          </w:p>
          <w:p w14:paraId="1FA570B2" w14:textId="5A357A69" w:rsidR="00E47115" w:rsidRPr="00866CC1" w:rsidRDefault="00E47115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</w:t>
            </w:r>
            <w:r w:rsidR="008F6EC2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220C3B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4AB39907" w14:textId="3C59E6E0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Université Paris Nanterre, MAR 2016 </w:t>
            </w:r>
            <w:r w:rsidR="00667A8D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-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3A3B11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 2021</w:t>
            </w:r>
          </w:p>
          <w:p w14:paraId="67028738" w14:textId="2C005439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language model-based recognition systems covering various topics (e.g.,</w:t>
            </w:r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2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imilarity-based estimator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ultiword parser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and data visualization systems (e.g.</w:t>
            </w:r>
            <w:r w:rsidR="0078746F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4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78746F" w:rsidRPr="00866CC1">
              <w:t xml:space="preserve"> </w:t>
            </w:r>
            <w:hyperlink r:id="rId15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C4C1C51" w14:textId="6FDBD824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</w:p>
          <w:p w14:paraId="4ADC7372" w14:textId="545406EE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0A89C202" w14:textId="536069FF" w:rsidR="008F6EC2" w:rsidRPr="00866CC1" w:rsidRDefault="008F6EC2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4DE5F8E2" w14:textId="1533CE70" w:rsidR="008F6EC2" w:rsidRPr="00866CC1" w:rsidRDefault="008F6EC2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689995BD" w14:textId="7E46DD66" w:rsidR="00B84C84" w:rsidRPr="00866CC1" w:rsidRDefault="00B84C8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lastRenderedPageBreak/>
              <w:t xml:space="preserve">Research Assistant, Université Paris 8,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</w:p>
          <w:p w14:paraId="67127522" w14:textId="7530CB70" w:rsidR="00B84C84" w:rsidRPr="00866CC1" w:rsidRDefault="00B84C8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670A5BD6" w14:textId="77777777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1372218C" w14:textId="2D932476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F61AB"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hyperlink r:id="rId21" w:history="1">
              <w:r w:rsidR="00CF61AB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SankyTree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F7509F7" w14:textId="127E5AE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1–11,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76FAE2AF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1D74B3D" w14:textId="5494E80C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 &amp; Lee, K. (2019). An improved study of multilevel semantic network visualization for analyzing sentiment word of movie review data. Applied Sciences, 9, 2419.</w:t>
            </w:r>
          </w:p>
          <w:p w14:paraId="0B6E19C9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Sentiment analysis, Recommendation system, Network visualization, Movie reviews, Korean</w:t>
            </w: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35101540" w14:textId="225E4E31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16EA6BC5" w14:textId="34017660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 &amp; Ko, E-S. (2022). Sound symbolism according to gender: Focusing on the names of residents' characters in the Animal Crossing game. Studies in Phonetics, Phonology and Morphology, 28(1).</w:t>
            </w:r>
          </w:p>
          <w:p w14:paraId="7B4CCBF4" w14:textId="69D45AC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7F018CE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42A6906B" w14:textId="5EBDB97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5CC79533" w14:textId="76ABFC77" w:rsidR="00292369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F01512C" w14:textId="77777777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11"/>
                <w:szCs w:val="11"/>
              </w:rPr>
            </w:pP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1B505630" w14:textId="28153848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02F58037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4375063" w14:textId="3093ED36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Classification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model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 Distributional semantic models, Context window size, Unsupervised learning, Singular Value Decomposition, Positive Pointwise Mutual Information, Similarity-based estimate</w:t>
            </w:r>
          </w:p>
          <w:p w14:paraId="35FFFD7F" w14:textId="38ACB28D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</w:p>
          <w:p w14:paraId="544A94A7" w14:textId="77777777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76E5D4CB" w14:textId="4FD61320" w:rsidR="00270B83" w:rsidRPr="00866CC1" w:rsidRDefault="00270B83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Paper presenting at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62A89C46" w14:textId="56B8886F" w:rsidR="005D0AAD" w:rsidRPr="00866CC1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conference, University of Ghent, Belgium.</w:t>
            </w:r>
          </w:p>
          <w:p w14:paraId="18BEF3D7" w14:textId="7F22D8D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1FA5776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 (ICKL22).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7F087EF7" w14:textId="5E530E8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03FBBF5F" w14:textId="41006062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467E5882" w14:textId="77777777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18"/>
                <w:szCs w:val="18"/>
              </w:rPr>
            </w:pP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63E9E92E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3BE4AAEB" w14:textId="4E80B5C7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14FB300C" w14:textId="07003F8A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036EF828" w14:textId="091348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43C9C50F" w14:textId="2E99996E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59FE7A7" w14:textId="77777777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248D52F9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52A6AB91" w14:textId="77301842" w:rsidR="00EC2D59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69FC5F74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7BA70696" w14:textId="0384F2BB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1EB3D248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7396E7D9" w14:textId="0ED57F45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071139B0" w14:textId="7286D19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922E16C" w14:textId="0A2ED12B" w:rsidR="00292369" w:rsidRPr="00866CC1" w:rsidRDefault="00292369" w:rsidP="00292369">
            <w:pPr>
              <w:pStyle w:val="ae"/>
              <w:widowControl/>
              <w:wordWrap/>
              <w:autoSpaceDE/>
              <w:autoSpaceDN/>
              <w:spacing w:after="120"/>
              <w:ind w:leftChars="0" w:left="714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411B056F" w14:textId="77777777" w:rsidR="00292369" w:rsidRPr="00866CC1" w:rsidRDefault="00292369" w:rsidP="00292369">
            <w:pPr>
              <w:pStyle w:val="ae"/>
              <w:widowControl/>
              <w:wordWrap/>
              <w:autoSpaceDE/>
              <w:autoSpaceDN/>
              <w:spacing w:after="120"/>
              <w:ind w:leftChars="0" w:left="714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30FCB23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F16EA4E" w14:textId="09538E3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3995F72C" w14:textId="126F0AA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4401F29" w14:textId="44AC509C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219D4FFC" w14:textId="2B122BD3" w:rsidR="00292369" w:rsidRPr="00866CC1" w:rsidRDefault="00292369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327F6BF" w14:textId="77777777" w:rsidR="00292369" w:rsidRPr="00866CC1" w:rsidRDefault="00292369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1F5D4D7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7EA23B6F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5D86970D" w14:textId="47A571E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9D1EFE1" w14:textId="61F9F43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4D1A56BE" w14:textId="77777777" w:rsidR="00292369" w:rsidRPr="00866CC1" w:rsidRDefault="00292369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6"/>
                <w:szCs w:val="16"/>
              </w:rPr>
            </w:pP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4674C" w14:textId="77777777" w:rsidR="00E05A8A" w:rsidRDefault="00E05A8A" w:rsidP="00724EA6">
      <w:r>
        <w:separator/>
      </w:r>
    </w:p>
  </w:endnote>
  <w:endnote w:type="continuationSeparator" w:id="0">
    <w:p w14:paraId="7AA1A598" w14:textId="77777777" w:rsidR="00E05A8A" w:rsidRDefault="00E05A8A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36CC" w14:textId="77777777" w:rsidR="00E05A8A" w:rsidRDefault="00E05A8A" w:rsidP="00724EA6">
      <w:r>
        <w:separator/>
      </w:r>
    </w:p>
  </w:footnote>
  <w:footnote w:type="continuationSeparator" w:id="0">
    <w:p w14:paraId="231AE886" w14:textId="77777777" w:rsidR="00E05A8A" w:rsidRDefault="00E05A8A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F01F8"/>
    <w:rsid w:val="002F70B0"/>
    <w:rsid w:val="00306677"/>
    <w:rsid w:val="00310460"/>
    <w:rsid w:val="003140AA"/>
    <w:rsid w:val="0031729A"/>
    <w:rsid w:val="003273B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4028B0"/>
    <w:rsid w:val="00442AB8"/>
    <w:rsid w:val="00460F7B"/>
    <w:rsid w:val="00465C55"/>
    <w:rsid w:val="00491014"/>
    <w:rsid w:val="004911C1"/>
    <w:rsid w:val="004C216A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43E54"/>
    <w:rsid w:val="00A56261"/>
    <w:rsid w:val="00A746C8"/>
    <w:rsid w:val="00A81601"/>
    <w:rsid w:val="00A864C5"/>
    <w:rsid w:val="00A8756A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Collaborator/SankyTre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osunbaby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uillaume-desagulier.netlify.app/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ongminmun.com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3425</Words>
  <Characters>19523</Characters>
  <Application>Microsoft Office Word</Application>
  <DocSecurity>0</DocSecurity>
  <Lines>162</Lines>
  <Paragraphs>45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12</cp:revision>
  <cp:lastPrinted>2020-11-27T16:45:00Z</cp:lastPrinted>
  <dcterms:created xsi:type="dcterms:W3CDTF">2022-03-03T02:57:00Z</dcterms:created>
  <dcterms:modified xsi:type="dcterms:W3CDTF">2022-04-20T05:00:00Z</dcterms:modified>
</cp:coreProperties>
</file>