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ACB1" w14:textId="0AA990E6" w:rsidR="003A595D" w:rsidRPr="00234418" w:rsidRDefault="00352F4B" w:rsidP="00605B5E">
      <w:pPr>
        <w:rPr>
          <w:rFonts w:ascii="Times New Roman" w:hAnsi="Times New Roman" w:cs="Times New Roman"/>
          <w:b/>
          <w:lang w:val="en-GB"/>
        </w:rPr>
      </w:pPr>
      <w:r w:rsidRPr="00234418">
        <w:rPr>
          <w:rFonts w:ascii="Times New Roman" w:hAnsi="Times New Roman" w:cs="Times New Roman"/>
          <w:b/>
          <w:lang w:val="en-GB"/>
        </w:rPr>
        <w:t xml:space="preserve">To what extent neural network models </w:t>
      </w:r>
      <w:r w:rsidR="00234418" w:rsidRPr="00234418">
        <w:rPr>
          <w:rFonts w:ascii="Times New Roman" w:hAnsi="Times New Roman" w:cs="Times New Roman"/>
          <w:b/>
          <w:lang w:val="en-GB"/>
        </w:rPr>
        <w:t>reveal</w:t>
      </w:r>
      <w:r w:rsidRPr="00234418">
        <w:rPr>
          <w:rFonts w:ascii="Times New Roman" w:hAnsi="Times New Roman" w:cs="Times New Roman"/>
          <w:b/>
          <w:lang w:val="en-GB"/>
        </w:rPr>
        <w:t xml:space="preserve"> </w:t>
      </w:r>
      <w:r w:rsidR="00234418">
        <w:rPr>
          <w:rFonts w:ascii="Times New Roman" w:hAnsi="Times New Roman" w:cs="Times New Roman"/>
          <w:b/>
          <w:lang w:val="en-GB"/>
        </w:rPr>
        <w:t>L2</w:t>
      </w:r>
      <w:r w:rsidRPr="00234418">
        <w:rPr>
          <w:rFonts w:ascii="Times New Roman" w:hAnsi="Times New Roman" w:cs="Times New Roman"/>
          <w:b/>
          <w:lang w:val="en-GB"/>
        </w:rPr>
        <w:t xml:space="preserve"> constructs? </w:t>
      </w:r>
      <w:r w:rsidR="00EB644A" w:rsidRPr="00234418">
        <w:rPr>
          <w:rFonts w:ascii="Times New Roman" w:hAnsi="Times New Roman" w:cs="Times New Roman"/>
          <w:b/>
          <w:lang w:val="en-GB"/>
        </w:rPr>
        <w:t>Relationship between t</w:t>
      </w:r>
      <w:r w:rsidRPr="00234418">
        <w:rPr>
          <w:rFonts w:ascii="Times New Roman" w:hAnsi="Times New Roman" w:cs="Times New Roman"/>
          <w:b/>
          <w:lang w:val="en-GB"/>
        </w:rPr>
        <w:t xml:space="preserve">ext similarity and learner </w:t>
      </w:r>
      <w:r w:rsidR="008A5475" w:rsidRPr="00234418">
        <w:rPr>
          <w:rFonts w:ascii="Times New Roman" w:hAnsi="Times New Roman" w:cs="Times New Roman"/>
          <w:b/>
          <w:lang w:val="en-GB"/>
        </w:rPr>
        <w:t>proficiency</w:t>
      </w:r>
    </w:p>
    <w:p w14:paraId="6FA51E4A" w14:textId="6D78EABA" w:rsidR="004F6371" w:rsidRPr="00234418" w:rsidRDefault="004F6371" w:rsidP="00605B5E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Gyu-Ho Shin (</w:t>
      </w:r>
      <w:proofErr w:type="spellStart"/>
      <w:r w:rsidRPr="00BA52B5">
        <w:rPr>
          <w:rFonts w:ascii="Times New Roman" w:hAnsi="Times New Roman" w:cs="Times New Roman"/>
          <w:spacing w:val="-2"/>
        </w:rPr>
        <w:t>Palacký</w:t>
      </w:r>
      <w:proofErr w:type="spellEnd"/>
      <w:r w:rsidRPr="00BA52B5">
        <w:rPr>
          <w:rFonts w:ascii="Times New Roman" w:hAnsi="Times New Roman" w:cs="Times New Roman"/>
          <w:spacing w:val="-2"/>
        </w:rPr>
        <w:t xml:space="preserve"> University Olomouc</w:t>
      </w:r>
      <w:r>
        <w:rPr>
          <w:rFonts w:ascii="Times New Roman" w:hAnsi="Times New Roman" w:cs="Times New Roman"/>
          <w:bCs/>
          <w:lang w:val="en-GB"/>
        </w:rPr>
        <w:t>), Boo Kyung Jung (</w:t>
      </w:r>
      <w:r>
        <w:rPr>
          <w:rFonts w:ascii="Times New Roman" w:hAnsi="Times New Roman" w:cs="Times New Roman"/>
          <w:spacing w:val="-2"/>
        </w:rPr>
        <w:t>University of Pittsburgh</w:t>
      </w:r>
      <w:r>
        <w:rPr>
          <w:rFonts w:ascii="Times New Roman" w:hAnsi="Times New Roman" w:cs="Times New Roman"/>
          <w:bCs/>
          <w:lang w:val="en-GB"/>
        </w:rPr>
        <w:t xml:space="preserve">), </w:t>
      </w:r>
      <w:proofErr w:type="spellStart"/>
      <w:r>
        <w:rPr>
          <w:rFonts w:ascii="Times New Roman" w:hAnsi="Times New Roman" w:cs="Times New Roman"/>
          <w:bCs/>
          <w:lang w:val="en-GB"/>
        </w:rPr>
        <w:t>Seongmin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Mun (</w:t>
      </w:r>
      <w:r w:rsidRPr="004F6371">
        <w:rPr>
          <w:rFonts w:ascii="Times New Roman" w:hAnsi="Times New Roman" w:cs="Times New Roman"/>
          <w:bCs/>
          <w:lang w:val="en-GB"/>
        </w:rPr>
        <w:t>Chosun University</w:t>
      </w:r>
      <w:r>
        <w:rPr>
          <w:rFonts w:ascii="Times New Roman" w:hAnsi="Times New Roman" w:cs="Times New Roman"/>
          <w:bCs/>
          <w:lang w:val="en-GB"/>
        </w:rPr>
        <w:t>)</w:t>
      </w:r>
    </w:p>
    <w:p w14:paraId="59C97BEA" w14:textId="77777777" w:rsidR="003C7205" w:rsidRPr="00234418" w:rsidRDefault="003C7205" w:rsidP="00605B5E">
      <w:pPr>
        <w:rPr>
          <w:rFonts w:ascii="Times New Roman" w:hAnsi="Times New Roman" w:cs="Times New Roman"/>
          <w:bCs/>
          <w:lang w:val="en-GB"/>
        </w:rPr>
      </w:pPr>
    </w:p>
    <w:p w14:paraId="49BCA0AE" w14:textId="08CB9FDE" w:rsidR="00792D3A" w:rsidRPr="00234418" w:rsidRDefault="00E83833" w:rsidP="00605B5E">
      <w:pPr>
        <w:spacing w:after="120"/>
        <w:rPr>
          <w:rFonts w:ascii="Times New Roman" w:hAnsi="Times New Roman" w:cs="Times New Roman"/>
          <w:bCs/>
          <w:lang w:val="en-GB"/>
        </w:rPr>
      </w:pPr>
      <w:r w:rsidRPr="00234418">
        <w:rPr>
          <w:rFonts w:ascii="Times New Roman" w:hAnsi="Times New Roman" w:cs="Times New Roman"/>
          <w:bCs/>
          <w:lang w:val="en-GB"/>
        </w:rPr>
        <w:t xml:space="preserve">With the recent development of NLP techniques, a number of </w:t>
      </w:r>
      <w:r w:rsidR="00234418" w:rsidRPr="00234418">
        <w:rPr>
          <w:rFonts w:ascii="Times New Roman" w:hAnsi="Times New Roman" w:cs="Times New Roman"/>
          <w:bCs/>
          <w:lang w:val="en-GB"/>
        </w:rPr>
        <w:t>second language (</w:t>
      </w:r>
      <w:r w:rsidRPr="00234418">
        <w:rPr>
          <w:rFonts w:ascii="Times New Roman" w:hAnsi="Times New Roman" w:cs="Times New Roman"/>
          <w:bCs/>
          <w:lang w:val="en-GB"/>
        </w:rPr>
        <w:t>L2</w:t>
      </w:r>
      <w:r w:rsidR="00234418" w:rsidRPr="00234418">
        <w:rPr>
          <w:rFonts w:ascii="Times New Roman" w:hAnsi="Times New Roman" w:cs="Times New Roman"/>
          <w:bCs/>
          <w:lang w:val="en-GB"/>
        </w:rPr>
        <w:t>)</w:t>
      </w:r>
      <w:r w:rsidRPr="00234418">
        <w:rPr>
          <w:rFonts w:ascii="Times New Roman" w:hAnsi="Times New Roman" w:cs="Times New Roman"/>
          <w:bCs/>
          <w:lang w:val="en-GB"/>
        </w:rPr>
        <w:t xml:space="preserve"> studies utili</w:t>
      </w:r>
      <w:r w:rsidR="00234418" w:rsidRPr="00234418">
        <w:rPr>
          <w:rFonts w:ascii="Times New Roman" w:hAnsi="Times New Roman" w:cs="Times New Roman"/>
          <w:bCs/>
          <w:lang w:val="en-GB"/>
        </w:rPr>
        <w:t>s</w:t>
      </w:r>
      <w:r w:rsidRPr="00234418">
        <w:rPr>
          <w:rFonts w:ascii="Times New Roman" w:hAnsi="Times New Roman" w:cs="Times New Roman"/>
          <w:bCs/>
          <w:lang w:val="en-GB"/>
        </w:rPr>
        <w:t xml:space="preserve">e </w:t>
      </w:r>
      <w:r w:rsidR="00234418">
        <w:rPr>
          <w:rFonts w:ascii="Times New Roman" w:hAnsi="Times New Roman" w:cs="Times New Roman"/>
          <w:bCs/>
          <w:lang w:val="en-GB"/>
        </w:rPr>
        <w:t>these techniques</w:t>
      </w:r>
      <w:r w:rsidRPr="00234418">
        <w:rPr>
          <w:rFonts w:ascii="Times New Roman" w:hAnsi="Times New Roman" w:cs="Times New Roman"/>
          <w:bCs/>
          <w:lang w:val="en-GB"/>
        </w:rPr>
        <w:t xml:space="preserve"> to </w:t>
      </w:r>
      <w:r w:rsidR="00234418" w:rsidRPr="00234418">
        <w:rPr>
          <w:rFonts w:ascii="Times New Roman" w:hAnsi="Times New Roman" w:cs="Times New Roman"/>
          <w:bCs/>
          <w:lang w:val="en-GB"/>
        </w:rPr>
        <w:t>automatically analyse</w:t>
      </w:r>
      <w:r w:rsidRPr="00234418">
        <w:rPr>
          <w:rFonts w:ascii="Times New Roman" w:hAnsi="Times New Roman" w:cs="Times New Roman"/>
          <w:bCs/>
          <w:lang w:val="en-GB"/>
        </w:rPr>
        <w:t xml:space="preserve"> learner corp</w:t>
      </w:r>
      <w:r w:rsidR="00234418">
        <w:rPr>
          <w:rFonts w:ascii="Times New Roman" w:hAnsi="Times New Roman" w:cs="Times New Roman"/>
          <w:bCs/>
          <w:lang w:val="en-GB"/>
        </w:rPr>
        <w:t>ora</w:t>
      </w:r>
      <w:r w:rsidRPr="00234418">
        <w:rPr>
          <w:rFonts w:ascii="Times New Roman" w:hAnsi="Times New Roman" w:cs="Times New Roman"/>
          <w:bCs/>
          <w:lang w:val="en-GB"/>
        </w:rPr>
        <w:t xml:space="preserve"> (</w:t>
      </w:r>
      <w:proofErr w:type="spellStart"/>
      <w:r w:rsidRPr="00234418">
        <w:rPr>
          <w:rFonts w:ascii="Times New Roman" w:hAnsi="Times New Roman" w:cs="Times New Roman"/>
          <w:bCs/>
          <w:lang w:val="en-GB"/>
        </w:rPr>
        <w:t>Meurers</w:t>
      </w:r>
      <w:proofErr w:type="spellEnd"/>
      <w:r w:rsidRPr="00234418">
        <w:rPr>
          <w:rFonts w:ascii="Times New Roman" w:hAnsi="Times New Roman" w:cs="Times New Roman"/>
          <w:bCs/>
          <w:lang w:val="en-GB"/>
        </w:rPr>
        <w:t>, 2015). One area in learner corpus research is text quality, which concerns semantic</w:t>
      </w:r>
      <w:r w:rsidR="00234418" w:rsidRPr="004A243C">
        <w:rPr>
          <w:rFonts w:ascii="Times New Roman" w:hAnsi="Times New Roman" w:cs="Times New Roman"/>
          <w:spacing w:val="-2"/>
        </w:rPr>
        <w:t>–</w:t>
      </w:r>
      <w:r w:rsidRPr="00234418">
        <w:rPr>
          <w:rFonts w:ascii="Times New Roman" w:hAnsi="Times New Roman" w:cs="Times New Roman"/>
          <w:bCs/>
          <w:lang w:val="en-GB"/>
        </w:rPr>
        <w:t xml:space="preserve">pragmatic aspects of language use to </w:t>
      </w:r>
      <w:r w:rsidR="00234418">
        <w:rPr>
          <w:rFonts w:ascii="Times New Roman" w:hAnsi="Times New Roman" w:cs="Times New Roman"/>
          <w:bCs/>
          <w:lang w:val="en-GB"/>
        </w:rPr>
        <w:t>influence</w:t>
      </w:r>
      <w:r w:rsidRPr="00234418">
        <w:rPr>
          <w:rFonts w:ascii="Times New Roman" w:hAnsi="Times New Roman" w:cs="Times New Roman"/>
          <w:bCs/>
          <w:lang w:val="en-GB"/>
        </w:rPr>
        <w:t xml:space="preserve"> overall text quality (e.g., Crossley et al., 2019). Despite increasing interests in employing </w:t>
      </w:r>
      <w:r w:rsidR="00234418">
        <w:rPr>
          <w:rFonts w:ascii="Times New Roman" w:hAnsi="Times New Roman" w:cs="Times New Roman"/>
          <w:bCs/>
          <w:lang w:val="en-GB"/>
        </w:rPr>
        <w:t xml:space="preserve">various </w:t>
      </w:r>
      <w:r w:rsidRPr="00234418">
        <w:rPr>
          <w:rFonts w:ascii="Times New Roman" w:hAnsi="Times New Roman" w:cs="Times New Roman"/>
          <w:bCs/>
          <w:lang w:val="en-GB"/>
        </w:rPr>
        <w:t xml:space="preserve">NLP techniques (e.g., </w:t>
      </w:r>
      <w:proofErr w:type="spellStart"/>
      <w:r w:rsidRPr="00234418">
        <w:rPr>
          <w:rFonts w:ascii="Times New Roman" w:hAnsi="Times New Roman" w:cs="Times New Roman"/>
          <w:bCs/>
          <w:lang w:val="en-GB"/>
        </w:rPr>
        <w:t>Dascalu</w:t>
      </w:r>
      <w:proofErr w:type="spellEnd"/>
      <w:r w:rsidRPr="00234418">
        <w:rPr>
          <w:rFonts w:ascii="Times New Roman" w:hAnsi="Times New Roman" w:cs="Times New Roman"/>
          <w:bCs/>
          <w:lang w:val="en-GB"/>
        </w:rPr>
        <w:t xml:space="preserve"> et al., 2017), little attention has been paid to how similarly/differently each technique reveals </w:t>
      </w:r>
      <w:r w:rsidR="00234418">
        <w:rPr>
          <w:rFonts w:ascii="Times New Roman" w:hAnsi="Times New Roman" w:cs="Times New Roman"/>
          <w:bCs/>
          <w:lang w:val="en-GB"/>
        </w:rPr>
        <w:t xml:space="preserve">L2 </w:t>
      </w:r>
      <w:r w:rsidRPr="00234418">
        <w:rPr>
          <w:rFonts w:ascii="Times New Roman" w:hAnsi="Times New Roman" w:cs="Times New Roman"/>
          <w:bCs/>
          <w:lang w:val="en-GB"/>
        </w:rPr>
        <w:t xml:space="preserve">constructs </w:t>
      </w:r>
      <w:r w:rsidR="00EB644A" w:rsidRPr="00234418">
        <w:rPr>
          <w:rFonts w:ascii="Times New Roman" w:hAnsi="Times New Roman" w:cs="Times New Roman"/>
          <w:bCs/>
          <w:lang w:val="en-GB"/>
        </w:rPr>
        <w:t>such as</w:t>
      </w:r>
      <w:r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EB644A" w:rsidRPr="00234418">
        <w:rPr>
          <w:rFonts w:ascii="Times New Roman" w:hAnsi="Times New Roman" w:cs="Times New Roman"/>
          <w:bCs/>
          <w:lang w:val="en-GB"/>
        </w:rPr>
        <w:t xml:space="preserve">learner </w:t>
      </w:r>
      <w:r w:rsidRPr="00234418">
        <w:rPr>
          <w:rFonts w:ascii="Times New Roman" w:hAnsi="Times New Roman" w:cs="Times New Roman"/>
          <w:bCs/>
          <w:lang w:val="en-GB"/>
        </w:rPr>
        <w:t>proficiency. In addition, NLP-based L2 research is heavily biased toward</w:t>
      </w:r>
      <w:r w:rsidR="00234418">
        <w:rPr>
          <w:rFonts w:ascii="Times New Roman" w:hAnsi="Times New Roman" w:cs="Times New Roman"/>
          <w:bCs/>
          <w:lang w:val="en-GB"/>
        </w:rPr>
        <w:t>s</w:t>
      </w:r>
      <w:r w:rsidRPr="00234418">
        <w:rPr>
          <w:rFonts w:ascii="Times New Roman" w:hAnsi="Times New Roman" w:cs="Times New Roman"/>
          <w:bCs/>
          <w:lang w:val="en-GB"/>
        </w:rPr>
        <w:t xml:space="preserve"> L2</w:t>
      </w:r>
      <w:r w:rsidR="00234418">
        <w:rPr>
          <w:rFonts w:ascii="Times New Roman" w:hAnsi="Times New Roman" w:cs="Times New Roman"/>
          <w:bCs/>
          <w:lang w:val="en-GB"/>
        </w:rPr>
        <w:t>-</w:t>
      </w:r>
      <w:r w:rsidRPr="00234418">
        <w:rPr>
          <w:rFonts w:ascii="Times New Roman" w:hAnsi="Times New Roman" w:cs="Times New Roman"/>
          <w:bCs/>
          <w:lang w:val="en-GB"/>
        </w:rPr>
        <w:t>English</w:t>
      </w:r>
      <w:r w:rsidR="00234418">
        <w:rPr>
          <w:rFonts w:ascii="Times New Roman" w:hAnsi="Times New Roman" w:cs="Times New Roman"/>
          <w:bCs/>
          <w:lang w:val="en-GB"/>
        </w:rPr>
        <w:t>, which does not ensure the generalisability of its implications</w:t>
      </w:r>
      <w:r w:rsidRPr="00234418">
        <w:rPr>
          <w:rFonts w:ascii="Times New Roman" w:hAnsi="Times New Roman" w:cs="Times New Roman"/>
          <w:bCs/>
          <w:lang w:val="en-GB"/>
        </w:rPr>
        <w:t xml:space="preserve">. Against this background, we investigate </w:t>
      </w:r>
      <w:r w:rsidR="003C7205" w:rsidRPr="00234418">
        <w:rPr>
          <w:rFonts w:ascii="Times New Roman" w:hAnsi="Times New Roman" w:cs="Times New Roman"/>
          <w:bCs/>
          <w:lang w:val="en-GB"/>
        </w:rPr>
        <w:t xml:space="preserve">the relationship between </w:t>
      </w:r>
      <w:r w:rsidR="00234418" w:rsidRPr="00234418">
        <w:rPr>
          <w:rFonts w:ascii="Times New Roman" w:hAnsi="Times New Roman" w:cs="Times New Roman"/>
          <w:bCs/>
          <w:lang w:val="en-GB"/>
        </w:rPr>
        <w:t xml:space="preserve">learner proficiency </w:t>
      </w:r>
      <w:r w:rsidR="00234418">
        <w:rPr>
          <w:rFonts w:ascii="Times New Roman" w:hAnsi="Times New Roman" w:cs="Times New Roman"/>
          <w:bCs/>
          <w:lang w:val="en-GB"/>
        </w:rPr>
        <w:t xml:space="preserve">and </w:t>
      </w:r>
      <w:r w:rsidR="003C7205" w:rsidRPr="00234418">
        <w:rPr>
          <w:rFonts w:ascii="Times New Roman" w:hAnsi="Times New Roman" w:cs="Times New Roman"/>
          <w:bCs/>
          <w:lang w:val="en-GB"/>
        </w:rPr>
        <w:t xml:space="preserve">text similarity 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of L2-Korean </w:t>
      </w:r>
      <w:r w:rsidR="00A167D0" w:rsidRPr="00234418">
        <w:rPr>
          <w:rFonts w:ascii="Times New Roman" w:hAnsi="Times New Roman" w:cs="Times New Roman"/>
          <w:bCs/>
          <w:lang w:val="en-GB"/>
        </w:rPr>
        <w:t xml:space="preserve">learners’ </w:t>
      </w:r>
      <w:r w:rsidR="00352F4B" w:rsidRPr="00234418">
        <w:rPr>
          <w:rFonts w:ascii="Times New Roman" w:hAnsi="Times New Roman" w:cs="Times New Roman"/>
          <w:bCs/>
          <w:lang w:val="en-GB"/>
        </w:rPr>
        <w:t>written production (relative to native speakers’ writing)</w:t>
      </w:r>
      <w:r w:rsidR="003C7205" w:rsidRPr="00234418">
        <w:rPr>
          <w:rFonts w:ascii="Times New Roman" w:hAnsi="Times New Roman" w:cs="Times New Roman"/>
          <w:bCs/>
          <w:lang w:val="en-GB"/>
        </w:rPr>
        <w:t xml:space="preserve"> measured </w:t>
      </w:r>
      <w:r w:rsidR="003A595D" w:rsidRPr="00234418">
        <w:rPr>
          <w:rFonts w:ascii="Times New Roman" w:hAnsi="Times New Roman" w:cs="Times New Roman"/>
          <w:bCs/>
          <w:lang w:val="en-GB"/>
        </w:rPr>
        <w:t xml:space="preserve">through </w:t>
      </w:r>
      <w:r w:rsidR="00352F4B" w:rsidRPr="00234418">
        <w:rPr>
          <w:rFonts w:ascii="Times New Roman" w:hAnsi="Times New Roman" w:cs="Times New Roman"/>
          <w:bCs/>
          <w:lang w:val="en-GB"/>
        </w:rPr>
        <w:t>neural network models</w:t>
      </w:r>
      <w:r w:rsidR="003F12E2" w:rsidRPr="00234418">
        <w:rPr>
          <w:rFonts w:ascii="Times New Roman" w:hAnsi="Times New Roman" w:cs="Times New Roman"/>
          <w:bCs/>
          <w:lang w:val="en-GB"/>
        </w:rPr>
        <w:t>.</w:t>
      </w:r>
      <w:r w:rsidR="003A595D" w:rsidRPr="00234418">
        <w:rPr>
          <w:rFonts w:ascii="Times New Roman" w:hAnsi="Times New Roman" w:cs="Times New Roman"/>
          <w:bCs/>
          <w:lang w:val="en-GB"/>
        </w:rPr>
        <w:t xml:space="preserve"> </w:t>
      </w:r>
    </w:p>
    <w:p w14:paraId="26AE5C68" w14:textId="06B2D9F4" w:rsidR="003C5F2C" w:rsidRPr="00234418" w:rsidRDefault="00792D3A" w:rsidP="00605B5E">
      <w:pPr>
        <w:spacing w:after="120"/>
        <w:rPr>
          <w:rFonts w:ascii="Times New Roman" w:hAnsi="Times New Roman" w:cs="Times New Roman"/>
          <w:bCs/>
          <w:lang w:val="en-GB"/>
        </w:rPr>
      </w:pPr>
      <w:r w:rsidRPr="00234418">
        <w:rPr>
          <w:rFonts w:ascii="Times New Roman" w:hAnsi="Times New Roman" w:cs="Times New Roman"/>
          <w:b/>
          <w:lang w:val="en-GB"/>
        </w:rPr>
        <w:t>Method</w:t>
      </w:r>
      <w:r w:rsidR="00A002C3" w:rsidRPr="00A002C3">
        <w:rPr>
          <w:rFonts w:ascii="Times New Roman" w:hAnsi="Times New Roman" w:cs="Times New Roman"/>
          <w:bCs/>
          <w:lang w:val="en-GB"/>
        </w:rPr>
        <w:t xml:space="preserve"> (Table 1)</w:t>
      </w:r>
      <w:r w:rsidRPr="00234418">
        <w:rPr>
          <w:rFonts w:ascii="Times New Roman" w:hAnsi="Times New Roman" w:cs="Times New Roman"/>
          <w:bCs/>
          <w:lang w:val="en-GB"/>
        </w:rPr>
        <w:t xml:space="preserve">. </w:t>
      </w:r>
      <w:r w:rsidR="00352F4B" w:rsidRPr="00234418">
        <w:rPr>
          <w:rFonts w:ascii="Times New Roman" w:hAnsi="Times New Roman" w:cs="Times New Roman"/>
          <w:bCs/>
          <w:lang w:val="en-GB"/>
        </w:rPr>
        <w:t>Thirty-six L1-</w:t>
      </w:r>
      <w:r w:rsidR="003C7205" w:rsidRPr="00234418">
        <w:rPr>
          <w:rFonts w:ascii="Times New Roman" w:hAnsi="Times New Roman" w:cs="Times New Roman"/>
          <w:bCs/>
          <w:lang w:val="en-GB"/>
        </w:rPr>
        <w:t>Chinese</w:t>
      </w:r>
      <w:r w:rsidR="003A595D" w:rsidRPr="00234418">
        <w:rPr>
          <w:rFonts w:ascii="Times New Roman" w:hAnsi="Times New Roman" w:cs="Times New Roman"/>
          <w:bCs/>
          <w:lang w:val="en-GB"/>
        </w:rPr>
        <w:t xml:space="preserve"> L2</w:t>
      </w:r>
      <w:r w:rsidR="00352F4B" w:rsidRPr="00234418">
        <w:rPr>
          <w:rFonts w:ascii="Times New Roman" w:hAnsi="Times New Roman" w:cs="Times New Roman"/>
          <w:bCs/>
          <w:lang w:val="en-GB"/>
        </w:rPr>
        <w:t>-</w:t>
      </w:r>
      <w:r w:rsidR="003A595D" w:rsidRPr="00234418">
        <w:rPr>
          <w:rFonts w:ascii="Times New Roman" w:hAnsi="Times New Roman" w:cs="Times New Roman"/>
          <w:bCs/>
          <w:lang w:val="en-GB"/>
        </w:rPr>
        <w:t xml:space="preserve">Korean 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learners </w:t>
      </w:r>
      <w:r w:rsidR="003C5F2C" w:rsidRPr="00234418">
        <w:rPr>
          <w:rFonts w:ascii="Times New Roman" w:hAnsi="Times New Roman" w:cs="Times New Roman"/>
          <w:bCs/>
          <w:lang w:val="en-GB"/>
        </w:rPr>
        <w:t>(age</w:t>
      </w:r>
      <w:r w:rsidR="00A167D0" w:rsidRPr="00234418">
        <w:rPr>
          <w:rFonts w:ascii="Times New Roman" w:hAnsi="Times New Roman" w:cs="Times New Roman"/>
          <w:bCs/>
          <w:lang w:val="en-GB"/>
        </w:rPr>
        <w:t>: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 mean</w:t>
      </w:r>
      <w:r w:rsidR="00EB644A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3C5F2C" w:rsidRPr="00234418">
        <w:rPr>
          <w:rFonts w:ascii="Times New Roman" w:hAnsi="Times New Roman" w:cs="Times New Roman"/>
          <w:bCs/>
          <w:lang w:val="en-GB"/>
        </w:rPr>
        <w:t>=</w:t>
      </w:r>
      <w:r w:rsidR="00EB644A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994639" w:rsidRPr="00234418">
        <w:rPr>
          <w:rFonts w:ascii="Times New Roman" w:hAnsi="Times New Roman" w:cs="Times New Roman"/>
          <w:bCs/>
          <w:lang w:val="en-GB"/>
        </w:rPr>
        <w:t>24.2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; </w:t>
      </w:r>
      <w:r w:rsidR="003C5F2C" w:rsidRPr="00234418">
        <w:rPr>
          <w:rFonts w:ascii="Times New Roman" w:hAnsi="Times New Roman" w:cs="Times New Roman"/>
          <w:bCs/>
          <w:i/>
          <w:iCs/>
          <w:lang w:val="en-GB"/>
        </w:rPr>
        <w:t>SD</w:t>
      </w:r>
      <w:r w:rsidR="00EB644A" w:rsidRPr="00234418">
        <w:rPr>
          <w:rFonts w:ascii="Times New Roman" w:hAnsi="Times New Roman" w:cs="Times New Roman"/>
          <w:bCs/>
          <w:i/>
          <w:iCs/>
          <w:lang w:val="en-GB"/>
        </w:rPr>
        <w:t xml:space="preserve"> </w:t>
      </w:r>
      <w:r w:rsidR="003C5F2C" w:rsidRPr="00234418">
        <w:rPr>
          <w:rFonts w:ascii="Times New Roman" w:hAnsi="Times New Roman" w:cs="Times New Roman"/>
          <w:bCs/>
          <w:lang w:val="en-GB"/>
        </w:rPr>
        <w:t>=</w:t>
      </w:r>
      <w:r w:rsidR="00EB644A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994639" w:rsidRPr="00234418">
        <w:rPr>
          <w:rFonts w:ascii="Times New Roman" w:hAnsi="Times New Roman" w:cs="Times New Roman"/>
          <w:bCs/>
          <w:lang w:val="en-GB"/>
        </w:rPr>
        <w:t>3.11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) </w:t>
      </w:r>
      <w:r w:rsidR="00A167D0" w:rsidRPr="00234418">
        <w:rPr>
          <w:rFonts w:ascii="Times New Roman" w:hAnsi="Times New Roman" w:cs="Times New Roman"/>
          <w:bCs/>
          <w:lang w:val="en-GB"/>
        </w:rPr>
        <w:t>were asked to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 writ</w:t>
      </w:r>
      <w:r w:rsidR="00A167D0" w:rsidRPr="00234418">
        <w:rPr>
          <w:rFonts w:ascii="Times New Roman" w:hAnsi="Times New Roman" w:cs="Times New Roman"/>
          <w:bCs/>
          <w:lang w:val="en-GB"/>
        </w:rPr>
        <w:t>e</w:t>
      </w:r>
      <w:r w:rsidR="003A595D" w:rsidRPr="00234418">
        <w:rPr>
          <w:rFonts w:ascii="Times New Roman" w:hAnsi="Times New Roman" w:cs="Times New Roman"/>
          <w:bCs/>
          <w:lang w:val="en-GB"/>
        </w:rPr>
        <w:t xml:space="preserve"> argumentative essays</w:t>
      </w:r>
      <w:r w:rsidR="00314011" w:rsidRPr="00234418">
        <w:rPr>
          <w:rFonts w:ascii="Times New Roman" w:hAnsi="Times New Roman" w:cs="Times New Roman"/>
          <w:bCs/>
          <w:lang w:val="en-GB"/>
        </w:rPr>
        <w:t xml:space="preserve"> on two </w:t>
      </w:r>
      <w:r w:rsidR="000C3EDA" w:rsidRPr="00234418">
        <w:rPr>
          <w:rFonts w:ascii="Times New Roman" w:hAnsi="Times New Roman" w:cs="Times New Roman"/>
          <w:bCs/>
          <w:lang w:val="en-GB"/>
        </w:rPr>
        <w:t>topics:</w:t>
      </w:r>
      <w:r w:rsidR="00314011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0C3EDA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preservation vs. exploitation of the nature</w:t>
      </w:r>
      <w:r w:rsid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  <w:r w:rsidR="000C3EDA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competition vs. cooperation</w:t>
      </w:r>
      <w:r w:rsidR="000C3ED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. </w:t>
      </w:r>
      <w:r w:rsidR="00A167D0" w:rsidRPr="00234418">
        <w:rPr>
          <w:rFonts w:ascii="Times New Roman" w:hAnsi="Times New Roman" w:cs="Times New Roman"/>
          <w:color w:val="000000" w:themeColor="text1"/>
          <w:lang w:val="en-GB"/>
        </w:rPr>
        <w:t>Learner</w:t>
      </w:r>
      <w:r w:rsidR="00352F4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p</w:t>
      </w:r>
      <w:r w:rsidR="000C3ED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roficiency was measured </w:t>
      </w:r>
      <w:r w:rsidR="00C340AE">
        <w:rPr>
          <w:rFonts w:ascii="Times New Roman" w:hAnsi="Times New Roman" w:cs="Times New Roman"/>
          <w:color w:val="000000" w:themeColor="text1"/>
          <w:lang w:val="en-GB"/>
        </w:rPr>
        <w:t xml:space="preserve">separately, </w:t>
      </w:r>
      <w:r w:rsidR="000C3EDA" w:rsidRPr="00234418">
        <w:rPr>
          <w:rFonts w:ascii="Times New Roman" w:hAnsi="Times New Roman" w:cs="Times New Roman"/>
          <w:color w:val="000000" w:themeColor="text1"/>
          <w:lang w:val="en-GB"/>
        </w:rPr>
        <w:t>using the Korean C-test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(</w:t>
      </w:r>
      <w:r w:rsidR="00E83833" w:rsidRPr="00234418">
        <w:rPr>
          <w:rFonts w:ascii="Times New Roman" w:hAnsi="Times New Roman" w:cs="Times New Roman"/>
          <w:color w:val="000000" w:themeColor="text1"/>
          <w:lang w:val="en-GB"/>
        </w:rPr>
        <w:t xml:space="preserve">Lee-Ellis, 2009;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ranging from 0 to 188; mean</w:t>
      </w:r>
      <w:r w:rsidR="00EB644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=</w:t>
      </w:r>
      <w:r w:rsidR="00EB644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94639" w:rsidRPr="00234418">
        <w:rPr>
          <w:rFonts w:ascii="Times New Roman" w:hAnsi="Times New Roman" w:cs="Times New Roman"/>
          <w:color w:val="000000" w:themeColor="text1"/>
          <w:lang w:val="en-GB"/>
        </w:rPr>
        <w:t>135.98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 xml:space="preserve">; </w:t>
      </w:r>
      <w:r w:rsidR="003C5F2C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SD</w:t>
      </w:r>
      <w:r w:rsidR="00EB644A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=</w:t>
      </w:r>
      <w:r w:rsidR="00EB644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94639" w:rsidRPr="00234418">
        <w:rPr>
          <w:rFonts w:ascii="Times New Roman" w:hAnsi="Times New Roman" w:cs="Times New Roman"/>
          <w:color w:val="000000" w:themeColor="text1"/>
          <w:lang w:val="en-GB"/>
        </w:rPr>
        <w:t>32.23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)</w:t>
      </w:r>
      <w:r w:rsidR="000C3EDA" w:rsidRPr="00234418">
        <w:rPr>
          <w:rFonts w:ascii="Times New Roman" w:hAnsi="Times New Roman" w:cs="Times New Roman"/>
          <w:lang w:val="en-GB"/>
        </w:rPr>
        <w:t xml:space="preserve">. </w:t>
      </w:r>
      <w:r w:rsidR="003F12E2" w:rsidRPr="00234418">
        <w:rPr>
          <w:rFonts w:ascii="Times New Roman" w:hAnsi="Times New Roman" w:cs="Times New Roman"/>
          <w:lang w:val="en-GB"/>
        </w:rPr>
        <w:t xml:space="preserve">Essays from 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10 native 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Korean </w:t>
      </w:r>
      <w:r w:rsidR="003F12E2" w:rsidRPr="00234418">
        <w:rPr>
          <w:rFonts w:ascii="Times New Roman" w:hAnsi="Times New Roman" w:cs="Times New Roman"/>
          <w:bCs/>
          <w:lang w:val="en-GB"/>
        </w:rPr>
        <w:t>speakers were collected as a reference text. After extract</w:t>
      </w:r>
      <w:r w:rsidR="00352F4B" w:rsidRPr="00234418">
        <w:rPr>
          <w:rFonts w:ascii="Times New Roman" w:hAnsi="Times New Roman" w:cs="Times New Roman"/>
          <w:bCs/>
          <w:lang w:val="en-GB"/>
        </w:rPr>
        <w:t>ing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 content words</w:t>
      </w:r>
      <w:r w:rsidR="00C340AE">
        <w:rPr>
          <w:rFonts w:ascii="Times New Roman" w:hAnsi="Times New Roman" w:cs="Times New Roman"/>
          <w:bCs/>
          <w:lang w:val="en-GB"/>
        </w:rPr>
        <w:t xml:space="preserve"> from the essays</w:t>
      </w:r>
      <w:r w:rsidR="00352F4B" w:rsidRPr="00234418">
        <w:rPr>
          <w:rFonts w:ascii="Times New Roman" w:hAnsi="Times New Roman" w:cs="Times New Roman"/>
          <w:bCs/>
          <w:lang w:val="en-GB"/>
        </w:rPr>
        <w:t>, we computed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 cosine similarity scores between 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individual </w:t>
      </w:r>
      <w:r w:rsidR="00A167D0" w:rsidRPr="00234418">
        <w:rPr>
          <w:rFonts w:ascii="Times New Roman" w:hAnsi="Times New Roman" w:cs="Times New Roman"/>
          <w:bCs/>
          <w:lang w:val="en-GB"/>
        </w:rPr>
        <w:t>learner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C340AE">
        <w:rPr>
          <w:rFonts w:ascii="Times New Roman" w:hAnsi="Times New Roman" w:cs="Times New Roman"/>
          <w:bCs/>
          <w:lang w:val="en-GB"/>
        </w:rPr>
        <w:t>writing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352F4B" w:rsidRPr="00234418">
        <w:rPr>
          <w:rFonts w:ascii="Times New Roman" w:hAnsi="Times New Roman" w:cs="Times New Roman"/>
          <w:bCs/>
          <w:lang w:val="en-GB"/>
        </w:rPr>
        <w:t>and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the 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reference text </w:t>
      </w:r>
      <w:r w:rsidR="00A167D0" w:rsidRPr="00234418">
        <w:rPr>
          <w:rFonts w:ascii="Times New Roman" w:hAnsi="Times New Roman" w:cs="Times New Roman"/>
          <w:bCs/>
          <w:lang w:val="en-GB"/>
        </w:rPr>
        <w:t>by employing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 two neural network models—</w:t>
      </w:r>
      <w:r w:rsidR="003F12E2" w:rsidRPr="00234418">
        <w:rPr>
          <w:rFonts w:ascii="Times New Roman" w:hAnsi="Times New Roman" w:cs="Times New Roman"/>
          <w:bCs/>
          <w:lang w:val="en-GB"/>
        </w:rPr>
        <w:t>W</w:t>
      </w:r>
      <w:r w:rsidR="00C340AE">
        <w:rPr>
          <w:rFonts w:ascii="Times New Roman" w:hAnsi="Times New Roman" w:cs="Times New Roman"/>
          <w:bCs/>
          <w:lang w:val="en-GB"/>
        </w:rPr>
        <w:t>ord</w:t>
      </w:r>
      <w:r w:rsidR="003F12E2" w:rsidRPr="00234418">
        <w:rPr>
          <w:rFonts w:ascii="Times New Roman" w:hAnsi="Times New Roman" w:cs="Times New Roman"/>
          <w:bCs/>
          <w:lang w:val="en-GB"/>
        </w:rPr>
        <w:t>2V</w:t>
      </w:r>
      <w:r w:rsidR="00C340AE">
        <w:rPr>
          <w:rFonts w:ascii="Times New Roman" w:hAnsi="Times New Roman" w:cs="Times New Roman"/>
          <w:bCs/>
          <w:lang w:val="en-GB"/>
        </w:rPr>
        <w:t>ec</w:t>
      </w:r>
      <w:r w:rsidR="00352F4B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CC619E" w:rsidRPr="00234418">
        <w:rPr>
          <w:rFonts w:ascii="Times New Roman" w:hAnsi="Times New Roman" w:cs="Times New Roman"/>
          <w:bCs/>
          <w:lang w:val="en-GB"/>
        </w:rPr>
        <w:t>(</w:t>
      </w:r>
      <w:proofErr w:type="spellStart"/>
      <w:r w:rsidR="00EB644A" w:rsidRPr="00234418">
        <w:rPr>
          <w:rFonts w:ascii="Times New Roman" w:hAnsi="Times New Roman" w:cs="Times New Roman"/>
          <w:bCs/>
          <w:lang w:val="en-GB"/>
        </w:rPr>
        <w:t>Mikolov</w:t>
      </w:r>
      <w:proofErr w:type="spellEnd"/>
      <w:r w:rsidR="00EB644A" w:rsidRPr="00234418">
        <w:rPr>
          <w:rFonts w:ascii="Times New Roman" w:hAnsi="Times New Roman" w:cs="Times New Roman"/>
          <w:bCs/>
          <w:lang w:val="en-GB"/>
        </w:rPr>
        <w:t xml:space="preserve"> et al., 2013; </w:t>
      </w:r>
      <w:r w:rsidR="00CE7506" w:rsidRPr="00234418">
        <w:rPr>
          <w:rFonts w:ascii="Times New Roman" w:hAnsi="Times New Roman" w:cs="Times New Roman"/>
          <w:bCs/>
          <w:lang w:val="en-GB"/>
        </w:rPr>
        <w:t>bag-of-words; context-independent</w:t>
      </w:r>
      <w:r w:rsidR="00CC619E" w:rsidRPr="00234418">
        <w:rPr>
          <w:rFonts w:ascii="Times New Roman" w:hAnsi="Times New Roman" w:cs="Times New Roman"/>
          <w:bCs/>
          <w:lang w:val="en-GB"/>
        </w:rPr>
        <w:t xml:space="preserve">) </w:t>
      </w:r>
      <w:r w:rsidR="00352F4B" w:rsidRPr="00234418">
        <w:rPr>
          <w:rFonts w:ascii="Times New Roman" w:hAnsi="Times New Roman" w:cs="Times New Roman"/>
          <w:bCs/>
          <w:lang w:val="en-GB"/>
        </w:rPr>
        <w:t>and</w:t>
      </w:r>
      <w:r w:rsidR="003F12E2" w:rsidRPr="00234418">
        <w:rPr>
          <w:rFonts w:ascii="Times New Roman" w:hAnsi="Times New Roman" w:cs="Times New Roman"/>
          <w:bCs/>
          <w:lang w:val="en-GB"/>
        </w:rPr>
        <w:t xml:space="preserve"> BERT</w:t>
      </w:r>
      <w:r w:rsidR="00CC619E" w:rsidRPr="00234418">
        <w:rPr>
          <w:rFonts w:ascii="Times New Roman" w:hAnsi="Times New Roman" w:cs="Times New Roman"/>
          <w:bCs/>
          <w:lang w:val="en-GB"/>
        </w:rPr>
        <w:t xml:space="preserve"> (</w:t>
      </w:r>
      <w:r w:rsidR="00EB644A" w:rsidRPr="00234418">
        <w:rPr>
          <w:rFonts w:ascii="Times New Roman" w:hAnsi="Times New Roman" w:cs="Times New Roman"/>
          <w:bCs/>
          <w:lang w:val="en-GB"/>
        </w:rPr>
        <w:t xml:space="preserve">Devlin et al., 2018; </w:t>
      </w:r>
      <w:r w:rsidR="00CE7506" w:rsidRPr="00234418">
        <w:rPr>
          <w:rFonts w:ascii="Times New Roman" w:hAnsi="Times New Roman" w:cs="Times New Roman"/>
          <w:bCs/>
          <w:lang w:val="en-GB"/>
        </w:rPr>
        <w:t>transformer; context-dependent</w:t>
      </w:r>
      <w:r w:rsidR="00CC619E" w:rsidRPr="00234418">
        <w:rPr>
          <w:rFonts w:ascii="Times New Roman" w:hAnsi="Times New Roman" w:cs="Times New Roman"/>
          <w:bCs/>
          <w:lang w:val="en-GB"/>
        </w:rPr>
        <w:t>)</w:t>
      </w:r>
      <w:r w:rsidR="003F12E2" w:rsidRPr="00234418">
        <w:rPr>
          <w:rFonts w:ascii="Times New Roman" w:hAnsi="Times New Roman" w:cs="Times New Roman"/>
          <w:bCs/>
          <w:lang w:val="en-GB"/>
        </w:rPr>
        <w:t>.</w:t>
      </w:r>
      <w:r w:rsidR="00984904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The similarity scores (predictor) and proficiency scores (outcome) were then submitted to </w:t>
      </w:r>
      <w:r w:rsidR="00984904" w:rsidRPr="00234418">
        <w:rPr>
          <w:rFonts w:ascii="Times New Roman" w:hAnsi="Times New Roman" w:cs="Times New Roman"/>
          <w:bCs/>
          <w:lang w:val="en-GB"/>
        </w:rPr>
        <w:t>linear regression model</w:t>
      </w:r>
      <w:r w:rsidR="00A167D0" w:rsidRPr="00234418">
        <w:rPr>
          <w:rFonts w:ascii="Times New Roman" w:hAnsi="Times New Roman" w:cs="Times New Roman"/>
          <w:bCs/>
          <w:lang w:val="en-GB"/>
        </w:rPr>
        <w:t>s</w:t>
      </w:r>
      <w:r w:rsidR="00984904" w:rsidRPr="00234418">
        <w:rPr>
          <w:rFonts w:ascii="Times New Roman" w:hAnsi="Times New Roman" w:cs="Times New Roman"/>
          <w:bCs/>
          <w:lang w:val="en-GB"/>
        </w:rPr>
        <w:t xml:space="preserve">. </w:t>
      </w:r>
    </w:p>
    <w:p w14:paraId="3067938F" w14:textId="39F2C761" w:rsidR="003C5F2C" w:rsidRPr="00234418" w:rsidRDefault="00DF0105" w:rsidP="00605B5E">
      <w:pPr>
        <w:spacing w:after="120"/>
        <w:rPr>
          <w:rFonts w:ascii="Times New Roman" w:hAnsi="Times New Roman" w:cs="Times New Roman"/>
          <w:bCs/>
          <w:lang w:val="en-GB"/>
        </w:rPr>
      </w:pPr>
      <w:r w:rsidRPr="00C340AE">
        <w:rPr>
          <w:rFonts w:ascii="Times New Roman" w:hAnsi="Times New Roman" w:cs="Times New Roman"/>
          <w:b/>
          <w:lang w:val="en-GB"/>
        </w:rPr>
        <w:t>Results</w:t>
      </w:r>
      <w:r w:rsidR="00A002C3">
        <w:rPr>
          <w:rFonts w:ascii="Times New Roman" w:hAnsi="Times New Roman" w:cs="Times New Roman"/>
          <w:bCs/>
          <w:lang w:val="en-GB"/>
        </w:rPr>
        <w:t xml:space="preserve"> (Figure 1 &amp; Table 2)</w:t>
      </w:r>
      <w:r w:rsidRPr="00234418">
        <w:rPr>
          <w:rFonts w:ascii="Times New Roman" w:hAnsi="Times New Roman" w:cs="Times New Roman"/>
          <w:bCs/>
          <w:lang w:val="en-GB"/>
        </w:rPr>
        <w:t xml:space="preserve">. </w:t>
      </w:r>
      <w:r w:rsidR="00C340AE">
        <w:rPr>
          <w:rFonts w:ascii="Times New Roman" w:hAnsi="Times New Roman" w:cs="Times New Roman"/>
          <w:bCs/>
          <w:lang w:val="en-GB"/>
        </w:rPr>
        <w:t xml:space="preserve">The </w:t>
      </w:r>
      <w:r w:rsidR="00C340AE" w:rsidRPr="00234418">
        <w:rPr>
          <w:rFonts w:ascii="Times New Roman" w:hAnsi="Times New Roman" w:cs="Times New Roman"/>
          <w:bCs/>
          <w:lang w:val="en-GB"/>
        </w:rPr>
        <w:t>W</w:t>
      </w:r>
      <w:r w:rsidR="00C340AE">
        <w:rPr>
          <w:rFonts w:ascii="Times New Roman" w:hAnsi="Times New Roman" w:cs="Times New Roman"/>
          <w:bCs/>
          <w:lang w:val="en-GB"/>
        </w:rPr>
        <w:t>ord</w:t>
      </w:r>
      <w:r w:rsidR="00C340AE" w:rsidRPr="00234418">
        <w:rPr>
          <w:rFonts w:ascii="Times New Roman" w:hAnsi="Times New Roman" w:cs="Times New Roman"/>
          <w:bCs/>
          <w:lang w:val="en-GB"/>
        </w:rPr>
        <w:t>2V</w:t>
      </w:r>
      <w:r w:rsidR="00C340AE">
        <w:rPr>
          <w:rFonts w:ascii="Times New Roman" w:hAnsi="Times New Roman" w:cs="Times New Roman"/>
          <w:bCs/>
          <w:lang w:val="en-GB"/>
        </w:rPr>
        <w:t>ec</w:t>
      </w:r>
      <w:r w:rsidR="00C340AE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C340AE">
        <w:rPr>
          <w:rFonts w:ascii="Times New Roman" w:hAnsi="Times New Roman" w:cs="Times New Roman"/>
          <w:bCs/>
          <w:lang w:val="en-GB"/>
        </w:rPr>
        <w:t xml:space="preserve">model </w:t>
      </w:r>
      <w:r w:rsidR="0098459B" w:rsidRPr="00234418">
        <w:rPr>
          <w:rFonts w:ascii="Times New Roman" w:hAnsi="Times New Roman" w:cs="Times New Roman"/>
          <w:bCs/>
          <w:lang w:val="en-GB"/>
        </w:rPr>
        <w:t xml:space="preserve">showed 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a </w:t>
      </w:r>
      <w:r w:rsidR="0098459B" w:rsidRPr="00234418">
        <w:rPr>
          <w:rFonts w:ascii="Times New Roman" w:hAnsi="Times New Roman" w:cs="Times New Roman"/>
          <w:bCs/>
          <w:lang w:val="en-GB"/>
        </w:rPr>
        <w:t xml:space="preserve">significant relationship between the two variables for both topics: </w:t>
      </w:r>
      <w:proofErr w:type="gramStart"/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F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1, 34) = 3.405,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p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= .074,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R</w:t>
      </w:r>
      <w:r w:rsidR="0098459B" w:rsidRPr="00234418">
        <w:rPr>
          <w:rFonts w:ascii="Times New Roman" w:hAnsi="Times New Roman" w:cs="Times New Roman"/>
          <w:color w:val="000000" w:themeColor="text1"/>
          <w:vertAlign w:val="superscript"/>
          <w:lang w:val="en-GB"/>
        </w:rPr>
        <w:t>2</w:t>
      </w:r>
      <w:r w:rsidR="00EB644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= .064,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B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= 113.86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for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Topic 1 (albeit marginal);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F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(1, 34) = 8.748,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p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= .006,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R</w:t>
      </w:r>
      <w:r w:rsidR="0098459B" w:rsidRPr="00234418">
        <w:rPr>
          <w:rFonts w:ascii="Times New Roman" w:hAnsi="Times New Roman" w:cs="Times New Roman"/>
          <w:color w:val="000000" w:themeColor="text1"/>
          <w:vertAlign w:val="superscript"/>
          <w:lang w:val="en-GB"/>
        </w:rPr>
        <w:t>2</w:t>
      </w:r>
      <w:r w:rsidR="00EB644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= .181,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B 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= 172.59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for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Topic 2.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For</w:t>
      </w:r>
      <w:r w:rsidR="00C340AE">
        <w:rPr>
          <w:rFonts w:ascii="Times New Roman" w:hAnsi="Times New Roman" w:cs="Times New Roman"/>
          <w:color w:val="000000" w:themeColor="text1"/>
          <w:lang w:val="en-GB"/>
        </w:rPr>
        <w:t xml:space="preserve"> the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BERT</w:t>
      </w:r>
      <w:r w:rsidR="00C340AE">
        <w:rPr>
          <w:rFonts w:ascii="Times New Roman" w:hAnsi="Times New Roman" w:cs="Times New Roman"/>
          <w:color w:val="000000" w:themeColor="text1"/>
          <w:lang w:val="en-GB"/>
        </w:rPr>
        <w:t xml:space="preserve"> model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>, the slope of the regression line for Topic 1 was nearly horizontal whereas that for Topic 2 was positive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ly oblique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. This was reflected in the linear regression </w:t>
      </w:r>
      <w:r w:rsidR="003C5F2C" w:rsidRPr="00234418">
        <w:rPr>
          <w:rFonts w:ascii="Times New Roman" w:hAnsi="Times New Roman" w:cs="Times New Roman"/>
          <w:color w:val="000000" w:themeColor="text1"/>
          <w:lang w:val="en-GB"/>
        </w:rPr>
        <w:t>analysis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, with marginal significance only for Topic 2: </w:t>
      </w:r>
      <w:proofErr w:type="gramStart"/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F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1, 34) = 3.79,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p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= .060,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R</w:t>
      </w:r>
      <w:r w:rsidR="0098459B" w:rsidRPr="00234418">
        <w:rPr>
          <w:rFonts w:ascii="Times New Roman" w:hAnsi="Times New Roman" w:cs="Times New Roman"/>
          <w:color w:val="000000" w:themeColor="text1"/>
          <w:vertAlign w:val="superscript"/>
          <w:lang w:val="en-GB"/>
        </w:rPr>
        <w:t>2</w:t>
      </w:r>
      <w:r w:rsidR="00EB644A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= .074, </w:t>
      </w:r>
      <w:r w:rsidR="0098459B" w:rsidRPr="00234418">
        <w:rPr>
          <w:rFonts w:ascii="Times New Roman" w:hAnsi="Times New Roman" w:cs="Times New Roman"/>
          <w:i/>
          <w:iCs/>
          <w:color w:val="000000" w:themeColor="text1"/>
          <w:lang w:val="en-GB"/>
        </w:rPr>
        <w:t>B</w:t>
      </w:r>
      <w:r w:rsidR="0098459B" w:rsidRPr="00234418">
        <w:rPr>
          <w:rFonts w:ascii="Times New Roman" w:hAnsi="Times New Roman" w:cs="Times New Roman"/>
          <w:color w:val="000000" w:themeColor="text1"/>
          <w:lang w:val="en-GB"/>
        </w:rPr>
        <w:t xml:space="preserve"> = 32.296.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C340AE">
        <w:rPr>
          <w:rFonts w:ascii="Times New Roman" w:hAnsi="Times New Roman" w:cs="Times New Roman"/>
          <w:bCs/>
          <w:lang w:val="en-GB"/>
        </w:rPr>
        <w:t>T</w:t>
      </w:r>
      <w:r w:rsidR="00C340AE" w:rsidRPr="00234418">
        <w:rPr>
          <w:rFonts w:ascii="Times New Roman" w:hAnsi="Times New Roman" w:cs="Times New Roman"/>
          <w:bCs/>
          <w:lang w:val="en-GB"/>
        </w:rPr>
        <w:t xml:space="preserve">o further examine how each neural network model classified </w:t>
      </w:r>
      <w:r w:rsidR="00C340AE">
        <w:rPr>
          <w:rFonts w:ascii="Times New Roman" w:hAnsi="Times New Roman" w:cs="Times New Roman"/>
          <w:bCs/>
          <w:lang w:val="en-GB"/>
        </w:rPr>
        <w:t xml:space="preserve">the </w:t>
      </w:r>
      <w:r w:rsidR="00C340AE" w:rsidRPr="00234418">
        <w:rPr>
          <w:rFonts w:ascii="Times New Roman" w:hAnsi="Times New Roman" w:cs="Times New Roman"/>
          <w:bCs/>
          <w:lang w:val="en-GB"/>
        </w:rPr>
        <w:t>participants into the same group uniformly</w:t>
      </w:r>
      <w:r w:rsidR="00C340AE">
        <w:rPr>
          <w:rFonts w:ascii="Times New Roman" w:hAnsi="Times New Roman" w:cs="Times New Roman"/>
          <w:bCs/>
          <w:lang w:val="en-GB"/>
        </w:rPr>
        <w:t>,</w:t>
      </w:r>
      <w:r w:rsidR="00C340AE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C340AE">
        <w:rPr>
          <w:rFonts w:ascii="Times New Roman" w:hAnsi="Times New Roman" w:cs="Times New Roman"/>
          <w:bCs/>
          <w:lang w:val="en-GB"/>
        </w:rPr>
        <w:t>w</w:t>
      </w:r>
      <w:r w:rsidR="00B04764" w:rsidRPr="00234418">
        <w:rPr>
          <w:rFonts w:ascii="Times New Roman" w:hAnsi="Times New Roman" w:cs="Times New Roman"/>
          <w:bCs/>
          <w:lang w:val="en-GB"/>
        </w:rPr>
        <w:t>e</w:t>
      </w:r>
      <w:r w:rsidR="00994639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="00B04764" w:rsidRPr="00234418">
        <w:rPr>
          <w:rFonts w:ascii="Times New Roman" w:hAnsi="Times New Roman" w:cs="Times New Roman"/>
          <w:bCs/>
          <w:lang w:val="en-GB"/>
        </w:rPr>
        <w:t xml:space="preserve">created two </w:t>
      </w:r>
      <w:r w:rsidR="003C5F2C" w:rsidRPr="00234418">
        <w:rPr>
          <w:rFonts w:ascii="Times New Roman" w:hAnsi="Times New Roman" w:cs="Times New Roman"/>
          <w:bCs/>
          <w:lang w:val="en-GB"/>
        </w:rPr>
        <w:t>proficiency</w:t>
      </w:r>
      <w:r w:rsidR="00B04764" w:rsidRPr="00234418">
        <w:rPr>
          <w:rFonts w:ascii="Times New Roman" w:hAnsi="Times New Roman" w:cs="Times New Roman"/>
          <w:bCs/>
          <w:lang w:val="en-GB"/>
        </w:rPr>
        <w:t xml:space="preserve"> groups (highest</w:t>
      </w:r>
      <w:r w:rsidR="00C340AE">
        <w:rPr>
          <w:rFonts w:ascii="Times New Roman" w:hAnsi="Times New Roman" w:cs="Times New Roman"/>
          <w:bCs/>
          <w:lang w:val="en-GB"/>
        </w:rPr>
        <w:t>;</w:t>
      </w:r>
      <w:r w:rsidR="00B04764" w:rsidRPr="00234418">
        <w:rPr>
          <w:rFonts w:ascii="Times New Roman" w:hAnsi="Times New Roman" w:cs="Times New Roman"/>
          <w:bCs/>
          <w:lang w:val="en-GB"/>
        </w:rPr>
        <w:t xml:space="preserve"> lowest) with seven essays </w:t>
      </w:r>
      <w:r w:rsidR="003C5F2C" w:rsidRPr="00234418">
        <w:rPr>
          <w:rFonts w:ascii="Times New Roman" w:hAnsi="Times New Roman" w:cs="Times New Roman"/>
          <w:bCs/>
          <w:lang w:val="en-GB"/>
        </w:rPr>
        <w:t>by topic. The</w:t>
      </w:r>
      <w:r w:rsidR="00C340AE">
        <w:rPr>
          <w:rFonts w:ascii="Times New Roman" w:hAnsi="Times New Roman" w:cs="Times New Roman"/>
          <w:bCs/>
          <w:lang w:val="en-GB"/>
        </w:rPr>
        <w:t>se</w:t>
      </w:r>
      <w:r w:rsidR="003C5F2C" w:rsidRPr="00234418">
        <w:rPr>
          <w:rFonts w:ascii="Times New Roman" w:hAnsi="Times New Roman" w:cs="Times New Roman"/>
          <w:bCs/>
          <w:lang w:val="en-GB"/>
        </w:rPr>
        <w:t xml:space="preserve"> models demonstrated distinctive classification patterns</w:t>
      </w:r>
      <w:r w:rsidR="00E74F63">
        <w:rPr>
          <w:rFonts w:ascii="Times New Roman" w:hAnsi="Times New Roman" w:cs="Times New Roman"/>
          <w:bCs/>
          <w:lang w:val="en-GB"/>
        </w:rPr>
        <w:t>, yielding weak congruency across the topics/models</w:t>
      </w:r>
      <w:r w:rsidR="003C5F2C" w:rsidRPr="00234418">
        <w:rPr>
          <w:rFonts w:ascii="Times New Roman" w:hAnsi="Times New Roman" w:cs="Times New Roman"/>
          <w:bCs/>
          <w:lang w:val="en-GB"/>
        </w:rPr>
        <w:t>.</w:t>
      </w:r>
    </w:p>
    <w:p w14:paraId="3814B38B" w14:textId="06DBD4ED" w:rsidR="00971C53" w:rsidRPr="00234418" w:rsidRDefault="003C5F2C" w:rsidP="00605B5E">
      <w:pPr>
        <w:spacing w:after="120"/>
        <w:rPr>
          <w:rFonts w:ascii="Times New Roman" w:hAnsi="Times New Roman" w:cs="Times New Roman"/>
          <w:lang w:val="en-GB"/>
        </w:rPr>
      </w:pPr>
      <w:r w:rsidRPr="00234418">
        <w:rPr>
          <w:rFonts w:ascii="Times New Roman" w:hAnsi="Times New Roman" w:cs="Times New Roman"/>
          <w:bCs/>
          <w:lang w:val="en-GB"/>
        </w:rPr>
        <w:t>Together</w:t>
      </w:r>
      <w:r w:rsidR="00B04764" w:rsidRPr="00234418">
        <w:rPr>
          <w:rFonts w:ascii="Times New Roman" w:hAnsi="Times New Roman" w:cs="Times New Roman"/>
          <w:bCs/>
          <w:lang w:val="en-GB"/>
        </w:rPr>
        <w:t xml:space="preserve">, </w:t>
      </w:r>
      <w:r w:rsidR="00EB644A" w:rsidRPr="00234418">
        <w:rPr>
          <w:rFonts w:ascii="Times New Roman" w:hAnsi="Times New Roman" w:cs="Times New Roman"/>
          <w:lang w:val="en-GB"/>
        </w:rPr>
        <w:t xml:space="preserve">these results indicate that </w:t>
      </w:r>
      <w:r w:rsidR="00E74F63">
        <w:rPr>
          <w:rFonts w:ascii="Times New Roman" w:hAnsi="Times New Roman" w:cs="Times New Roman"/>
          <w:lang w:val="en-GB"/>
        </w:rPr>
        <w:t>(</w:t>
      </w:r>
      <w:proofErr w:type="spellStart"/>
      <w:r w:rsidR="00E74F63">
        <w:rPr>
          <w:rFonts w:ascii="Times New Roman" w:hAnsi="Times New Roman" w:cs="Times New Roman"/>
          <w:lang w:val="en-GB"/>
        </w:rPr>
        <w:t>i</w:t>
      </w:r>
      <w:proofErr w:type="spellEnd"/>
      <w:r w:rsidR="00E74F63">
        <w:rPr>
          <w:rFonts w:ascii="Times New Roman" w:hAnsi="Times New Roman" w:cs="Times New Roman"/>
          <w:lang w:val="en-GB"/>
        </w:rPr>
        <w:t xml:space="preserve">) </w:t>
      </w:r>
      <w:r w:rsidR="00EB644A" w:rsidRPr="00234418">
        <w:rPr>
          <w:rFonts w:ascii="Times New Roman" w:hAnsi="Times New Roman" w:cs="Times New Roman"/>
          <w:lang w:val="en-GB"/>
        </w:rPr>
        <w:t xml:space="preserve">the degree that </w:t>
      </w:r>
      <w:r w:rsidR="00E646E9">
        <w:rPr>
          <w:rFonts w:ascii="Times New Roman" w:hAnsi="Times New Roman" w:cs="Times New Roman"/>
          <w:lang w:val="en-GB"/>
        </w:rPr>
        <w:t>neural network models</w:t>
      </w:r>
      <w:r w:rsidR="00EB644A" w:rsidRPr="00234418">
        <w:rPr>
          <w:rFonts w:ascii="Times New Roman" w:hAnsi="Times New Roman" w:cs="Times New Roman"/>
          <w:lang w:val="en-GB"/>
        </w:rPr>
        <w:t xml:space="preserve"> </w:t>
      </w:r>
      <w:r w:rsidR="00E646E9">
        <w:rPr>
          <w:rFonts w:ascii="Times New Roman" w:hAnsi="Times New Roman" w:cs="Times New Roman"/>
          <w:lang w:val="en-GB"/>
        </w:rPr>
        <w:t>explain</w:t>
      </w:r>
      <w:r w:rsidR="00EB644A" w:rsidRPr="00234418">
        <w:rPr>
          <w:rFonts w:ascii="Times New Roman" w:hAnsi="Times New Roman" w:cs="Times New Roman"/>
          <w:lang w:val="en-GB"/>
        </w:rPr>
        <w:t xml:space="preserve"> </w:t>
      </w:r>
      <w:r w:rsidR="00E74F63">
        <w:rPr>
          <w:rFonts w:ascii="Times New Roman" w:hAnsi="Times New Roman" w:cs="Times New Roman"/>
          <w:lang w:val="en-GB"/>
        </w:rPr>
        <w:t xml:space="preserve">L2 </w:t>
      </w:r>
      <w:r w:rsidR="00EB644A" w:rsidRPr="00234418">
        <w:rPr>
          <w:rFonts w:ascii="Times New Roman" w:hAnsi="Times New Roman" w:cs="Times New Roman"/>
          <w:lang w:val="en-GB"/>
        </w:rPr>
        <w:t>constructs (</w:t>
      </w:r>
      <w:r w:rsidR="00E74F63" w:rsidRPr="00234418">
        <w:rPr>
          <w:rFonts w:ascii="Times New Roman" w:hAnsi="Times New Roman" w:cs="Times New Roman"/>
          <w:lang w:val="en-GB"/>
        </w:rPr>
        <w:t xml:space="preserve">learner </w:t>
      </w:r>
      <w:r w:rsidR="00EB644A" w:rsidRPr="00234418">
        <w:rPr>
          <w:rFonts w:ascii="Times New Roman" w:hAnsi="Times New Roman" w:cs="Times New Roman"/>
          <w:lang w:val="en-GB"/>
        </w:rPr>
        <w:t>proficiency in this study) was asymmetric and</w:t>
      </w:r>
      <w:r w:rsidR="00E74F63">
        <w:rPr>
          <w:rFonts w:ascii="Times New Roman" w:hAnsi="Times New Roman" w:cs="Times New Roman"/>
          <w:lang w:val="en-GB"/>
        </w:rPr>
        <w:t xml:space="preserve"> (ii)</w:t>
      </w:r>
      <w:r w:rsidR="00E646E9">
        <w:rPr>
          <w:rFonts w:ascii="Times New Roman" w:hAnsi="Times New Roman" w:cs="Times New Roman"/>
          <w:lang w:val="en-GB"/>
        </w:rPr>
        <w:t xml:space="preserve"> these models’ performance was</w:t>
      </w:r>
      <w:r w:rsidR="00EB644A" w:rsidRPr="00234418">
        <w:rPr>
          <w:rFonts w:ascii="Times New Roman" w:hAnsi="Times New Roman" w:cs="Times New Roman"/>
          <w:lang w:val="en-GB"/>
        </w:rPr>
        <w:t xml:space="preserve"> sensitive to essay topics (and particularly to word use such as repetitions of keywords)</w:t>
      </w:r>
      <w:r w:rsidR="00E646E9">
        <w:rPr>
          <w:rFonts w:ascii="Times New Roman" w:hAnsi="Times New Roman" w:cs="Times New Roman"/>
          <w:lang w:val="en-GB"/>
        </w:rPr>
        <w:t>,</w:t>
      </w:r>
      <w:r w:rsidR="00E74F63">
        <w:rPr>
          <w:rFonts w:ascii="Times New Roman" w:hAnsi="Times New Roman" w:cs="Times New Roman"/>
          <w:lang w:val="en-GB"/>
        </w:rPr>
        <w:t xml:space="preserve"> manifesting </w:t>
      </w:r>
      <w:r w:rsidR="00E74F63" w:rsidRPr="00E74F63">
        <w:rPr>
          <w:rFonts w:ascii="Times New Roman" w:hAnsi="Times New Roman" w:cs="Times New Roman"/>
          <w:lang w:val="en-GB"/>
        </w:rPr>
        <w:t xml:space="preserve">some </w:t>
      </w:r>
      <w:r w:rsidR="00E74F63">
        <w:rPr>
          <w:rFonts w:ascii="Times New Roman" w:hAnsi="Times New Roman" w:cs="Times New Roman"/>
          <w:lang w:val="en-GB"/>
        </w:rPr>
        <w:t>limits on</w:t>
      </w:r>
      <w:r w:rsidR="00E74F63" w:rsidRPr="00E74F63">
        <w:rPr>
          <w:rFonts w:ascii="Times New Roman" w:hAnsi="Times New Roman" w:cs="Times New Roman"/>
          <w:lang w:val="en-GB"/>
        </w:rPr>
        <w:t xml:space="preserve"> addressing individual variability of </w:t>
      </w:r>
      <w:r w:rsidR="00E74F63">
        <w:rPr>
          <w:rFonts w:ascii="Times New Roman" w:hAnsi="Times New Roman" w:cs="Times New Roman"/>
          <w:lang w:val="en-GB"/>
        </w:rPr>
        <w:t>L2</w:t>
      </w:r>
      <w:r w:rsidR="00E74F63" w:rsidRPr="00E74F63">
        <w:rPr>
          <w:rFonts w:ascii="Times New Roman" w:hAnsi="Times New Roman" w:cs="Times New Roman"/>
          <w:lang w:val="en-GB"/>
        </w:rPr>
        <w:t xml:space="preserve"> writing</w:t>
      </w:r>
      <w:r w:rsidR="00E646E9">
        <w:rPr>
          <w:rFonts w:ascii="Times New Roman" w:hAnsi="Times New Roman" w:cs="Times New Roman"/>
          <w:lang w:val="en-GB"/>
        </w:rPr>
        <w:t xml:space="preserve"> as well</w:t>
      </w:r>
      <w:r w:rsidR="00EB644A" w:rsidRPr="00234418">
        <w:rPr>
          <w:rFonts w:ascii="Times New Roman" w:hAnsi="Times New Roman" w:cs="Times New Roman"/>
          <w:lang w:val="en-GB"/>
        </w:rPr>
        <w:t xml:space="preserve">. Given the </w:t>
      </w:r>
      <w:r w:rsidR="00E646E9">
        <w:rPr>
          <w:rFonts w:ascii="Times New Roman" w:hAnsi="Times New Roman" w:cs="Times New Roman"/>
          <w:lang w:val="en-GB"/>
        </w:rPr>
        <w:t xml:space="preserve">recent </w:t>
      </w:r>
      <w:r w:rsidR="00EB644A" w:rsidRPr="00234418">
        <w:rPr>
          <w:rFonts w:ascii="Times New Roman" w:hAnsi="Times New Roman" w:cs="Times New Roman"/>
          <w:lang w:val="en-GB"/>
        </w:rPr>
        <w:t xml:space="preserve">trend that NLP techniques are widely used in learner corpus research, </w:t>
      </w:r>
      <w:r w:rsidR="00B04764" w:rsidRPr="00234418">
        <w:rPr>
          <w:rFonts w:ascii="Times New Roman" w:hAnsi="Times New Roman" w:cs="Times New Roman"/>
          <w:bCs/>
          <w:lang w:val="en-GB"/>
        </w:rPr>
        <w:t xml:space="preserve">our findings suggest </w:t>
      </w:r>
      <w:r w:rsidR="00A167D0" w:rsidRPr="00234418">
        <w:rPr>
          <w:rFonts w:ascii="Times New Roman" w:hAnsi="Times New Roman" w:cs="Times New Roman"/>
          <w:bCs/>
          <w:lang w:val="en-GB"/>
        </w:rPr>
        <w:t>the need</w:t>
      </w:r>
      <w:r w:rsidR="00E646E9">
        <w:rPr>
          <w:rFonts w:ascii="Times New Roman" w:hAnsi="Times New Roman" w:cs="Times New Roman"/>
          <w:bCs/>
          <w:lang w:val="en-GB"/>
        </w:rPr>
        <w:t xml:space="preserve"> for researchers</w:t>
      </w:r>
      <w:r w:rsidR="00A167D0" w:rsidRPr="00234418">
        <w:rPr>
          <w:rFonts w:ascii="Times New Roman" w:hAnsi="Times New Roman" w:cs="Times New Roman"/>
          <w:bCs/>
          <w:lang w:val="en-GB"/>
        </w:rPr>
        <w:t xml:space="preserve"> to </w:t>
      </w:r>
      <w:r w:rsidR="00E646E9">
        <w:rPr>
          <w:rFonts w:ascii="Times New Roman" w:hAnsi="Times New Roman" w:cs="Times New Roman"/>
          <w:bCs/>
          <w:lang w:val="en-GB"/>
        </w:rPr>
        <w:t xml:space="preserve">be aware of </w:t>
      </w:r>
      <w:r w:rsidR="00CC619E" w:rsidRPr="00234418">
        <w:rPr>
          <w:rFonts w:ascii="Times New Roman" w:hAnsi="Times New Roman" w:cs="Times New Roman"/>
          <w:bCs/>
          <w:lang w:val="en-GB"/>
        </w:rPr>
        <w:t xml:space="preserve">NN models’ </w:t>
      </w:r>
      <w:r w:rsidR="00A167D0" w:rsidRPr="00234418">
        <w:rPr>
          <w:rFonts w:ascii="Times New Roman" w:hAnsi="Times New Roman" w:cs="Times New Roman"/>
          <w:bCs/>
          <w:lang w:val="en-GB"/>
        </w:rPr>
        <w:t>algorithm</w:t>
      </w:r>
      <w:r w:rsidR="00605B5E">
        <w:rPr>
          <w:rFonts w:ascii="Times New Roman" w:hAnsi="Times New Roman" w:cs="Times New Roman"/>
          <w:bCs/>
          <w:lang w:val="en-GB"/>
        </w:rPr>
        <w:t xml:space="preserve">ic </w:t>
      </w:r>
      <w:r w:rsidR="00605B5E" w:rsidRPr="00234418">
        <w:rPr>
          <w:rFonts w:ascii="Times New Roman" w:hAnsi="Times New Roman" w:cs="Times New Roman"/>
          <w:bCs/>
          <w:lang w:val="en-GB"/>
        </w:rPr>
        <w:t>characteristics</w:t>
      </w:r>
      <w:r w:rsidR="00971C53" w:rsidRPr="00234418">
        <w:rPr>
          <w:rFonts w:ascii="Times New Roman" w:hAnsi="Times New Roman" w:cs="Times New Roman"/>
          <w:bCs/>
          <w:lang w:val="en-GB"/>
        </w:rPr>
        <w:t xml:space="preserve">, together with </w:t>
      </w:r>
      <w:r w:rsidR="00605B5E">
        <w:rPr>
          <w:rFonts w:ascii="Times New Roman" w:hAnsi="Times New Roman" w:cs="Times New Roman"/>
          <w:bCs/>
          <w:lang w:val="en-GB"/>
        </w:rPr>
        <w:t xml:space="preserve">possible </w:t>
      </w:r>
      <w:r w:rsidR="00E646E9">
        <w:rPr>
          <w:rFonts w:ascii="Times New Roman" w:hAnsi="Times New Roman" w:cs="Times New Roman"/>
          <w:bCs/>
          <w:lang w:val="en-GB"/>
        </w:rPr>
        <w:t xml:space="preserve">influences of </w:t>
      </w:r>
      <w:r w:rsidR="00971C53" w:rsidRPr="00234418">
        <w:rPr>
          <w:rFonts w:ascii="Times New Roman" w:hAnsi="Times New Roman" w:cs="Times New Roman"/>
          <w:bCs/>
          <w:lang w:val="en-GB"/>
        </w:rPr>
        <w:t>topic</w:t>
      </w:r>
      <w:r w:rsidRPr="00234418">
        <w:rPr>
          <w:rFonts w:ascii="Times New Roman" w:hAnsi="Times New Roman" w:cs="Times New Roman"/>
          <w:bCs/>
          <w:lang w:val="en-GB"/>
        </w:rPr>
        <w:t xml:space="preserve"> variations</w:t>
      </w:r>
      <w:r w:rsidR="00971C53" w:rsidRPr="00234418">
        <w:rPr>
          <w:rFonts w:ascii="Times New Roman" w:hAnsi="Times New Roman" w:cs="Times New Roman"/>
          <w:bCs/>
          <w:lang w:val="en-GB"/>
        </w:rPr>
        <w:t xml:space="preserve">, in </w:t>
      </w:r>
      <w:r w:rsidR="00CC619E" w:rsidRPr="00234418">
        <w:rPr>
          <w:rFonts w:ascii="Times New Roman" w:hAnsi="Times New Roman" w:cs="Times New Roman"/>
          <w:bCs/>
          <w:lang w:val="en-GB"/>
        </w:rPr>
        <w:t>conducting automatic</w:t>
      </w:r>
      <w:r w:rsidR="00971C53" w:rsidRPr="00234418">
        <w:rPr>
          <w:rFonts w:ascii="Times New Roman" w:hAnsi="Times New Roman" w:cs="Times New Roman"/>
          <w:bCs/>
          <w:lang w:val="en-GB"/>
        </w:rPr>
        <w:t xml:space="preserve"> </w:t>
      </w:r>
      <w:r w:rsidRPr="00234418">
        <w:rPr>
          <w:rFonts w:ascii="Times New Roman" w:hAnsi="Times New Roman" w:cs="Times New Roman"/>
          <w:bCs/>
          <w:lang w:val="en-GB"/>
        </w:rPr>
        <w:t xml:space="preserve">L2 </w:t>
      </w:r>
      <w:r w:rsidR="00971C53" w:rsidRPr="00234418">
        <w:rPr>
          <w:rFonts w:ascii="Times New Roman" w:hAnsi="Times New Roman" w:cs="Times New Roman"/>
          <w:bCs/>
          <w:lang w:val="en-GB"/>
        </w:rPr>
        <w:t xml:space="preserve">text </w:t>
      </w:r>
      <w:r w:rsidR="00CC619E" w:rsidRPr="00234418">
        <w:rPr>
          <w:rFonts w:ascii="Times New Roman" w:hAnsi="Times New Roman" w:cs="Times New Roman"/>
          <w:bCs/>
          <w:lang w:val="en-GB"/>
        </w:rPr>
        <w:t xml:space="preserve">analysis </w:t>
      </w:r>
      <w:r w:rsidR="00E646E9" w:rsidRPr="00234418">
        <w:rPr>
          <w:rFonts w:ascii="Times New Roman" w:hAnsi="Times New Roman" w:cs="Times New Roman"/>
          <w:bCs/>
          <w:lang w:val="en-GB"/>
        </w:rPr>
        <w:t xml:space="preserve">research </w:t>
      </w:r>
      <w:r w:rsidR="00E646E9">
        <w:rPr>
          <w:rFonts w:ascii="Times New Roman" w:hAnsi="Times New Roman" w:cs="Times New Roman"/>
          <w:bCs/>
          <w:lang w:val="en-GB"/>
        </w:rPr>
        <w:t>i</w:t>
      </w:r>
      <w:r w:rsidR="00CC619E" w:rsidRPr="00234418">
        <w:rPr>
          <w:rFonts w:ascii="Times New Roman" w:hAnsi="Times New Roman" w:cs="Times New Roman"/>
          <w:bCs/>
          <w:lang w:val="en-GB"/>
        </w:rPr>
        <w:t xml:space="preserve">n pursuit of addressing </w:t>
      </w:r>
      <w:r w:rsidR="00E646E9">
        <w:rPr>
          <w:rFonts w:ascii="Times New Roman" w:hAnsi="Times New Roman" w:cs="Times New Roman"/>
          <w:bCs/>
          <w:lang w:val="en-GB"/>
        </w:rPr>
        <w:t>L2</w:t>
      </w:r>
      <w:r w:rsidR="00CC619E" w:rsidRPr="00234418">
        <w:rPr>
          <w:rFonts w:ascii="Times New Roman" w:hAnsi="Times New Roman" w:cs="Times New Roman"/>
          <w:bCs/>
          <w:lang w:val="en-GB"/>
        </w:rPr>
        <w:t xml:space="preserve"> constructs</w:t>
      </w:r>
      <w:r w:rsidR="00971C53" w:rsidRPr="00234418">
        <w:rPr>
          <w:rFonts w:ascii="Times New Roman" w:hAnsi="Times New Roman" w:cs="Times New Roman"/>
          <w:bCs/>
          <w:lang w:val="en-GB"/>
        </w:rPr>
        <w:t>.</w:t>
      </w:r>
    </w:p>
    <w:p w14:paraId="3E3A3440" w14:textId="77777777" w:rsidR="00DF0105" w:rsidRPr="00234418" w:rsidRDefault="00DF0105" w:rsidP="00605B5E">
      <w:pPr>
        <w:jc w:val="right"/>
        <w:rPr>
          <w:rFonts w:ascii="Times New Roman" w:hAnsi="Times New Roman" w:cs="Times New Roman"/>
          <w:lang w:val="en-GB"/>
        </w:rPr>
        <w:sectPr w:rsidR="00DF0105" w:rsidRPr="00234418" w:rsidSect="00D93B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77BCBE" w14:textId="551072FC" w:rsidR="00A002C3" w:rsidRPr="00605B5E" w:rsidRDefault="00A002C3" w:rsidP="00605B5E">
      <w:pPr>
        <w:autoSpaceDE w:val="0"/>
        <w:autoSpaceDN w:val="0"/>
        <w:rPr>
          <w:rFonts w:ascii="Times New Roman" w:hAnsi="Times New Roman" w:cs="Times New Roman"/>
          <w:noProof/>
          <w:color w:val="000000" w:themeColor="text1"/>
          <w:sz w:val="22"/>
          <w:szCs w:val="22"/>
        </w:rPr>
      </w:pPr>
      <w:r w:rsidRPr="00605B5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lastRenderedPageBreak/>
        <w:t>Table 1</w:t>
      </w:r>
      <w:r w:rsidRPr="00605B5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. Information about data by topic</w:t>
      </w:r>
      <w:r w:rsidR="003D11EC" w:rsidRPr="00605B5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 (</w:t>
      </w:r>
      <w:r w:rsidR="003D11EC" w:rsidRPr="00605B5E">
        <w:rPr>
          <w:rFonts w:ascii="Times New Roman" w:hAnsi="Times New Roman" w:cs="Times New Roman"/>
          <w:color w:val="000000" w:themeColor="text1"/>
          <w:sz w:val="22"/>
          <w:szCs w:val="22"/>
        </w:rPr>
        <w:t>numeric values = number of words</w:t>
      </w:r>
      <w:r w:rsidR="003D11EC" w:rsidRPr="00605B5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)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354"/>
        <w:gridCol w:w="1353"/>
        <w:gridCol w:w="1353"/>
        <w:gridCol w:w="1353"/>
        <w:gridCol w:w="1353"/>
        <w:gridCol w:w="1350"/>
      </w:tblGrid>
      <w:tr w:rsidR="00A002C3" w:rsidRPr="00605B5E" w14:paraId="18EB9D6C" w14:textId="77777777" w:rsidTr="00B36FF5">
        <w:tc>
          <w:tcPr>
            <w:tcW w:w="664" w:type="pct"/>
            <w:vMerge w:val="restart"/>
            <w:vAlign w:val="center"/>
          </w:tcPr>
          <w:p w14:paraId="5190811D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2169" w:type="pct"/>
            <w:gridSpan w:val="3"/>
            <w:vAlign w:val="center"/>
          </w:tcPr>
          <w:p w14:paraId="2FB6294D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L2 learner</w:t>
            </w:r>
          </w:p>
        </w:tc>
        <w:tc>
          <w:tcPr>
            <w:tcW w:w="2168" w:type="pct"/>
            <w:gridSpan w:val="3"/>
          </w:tcPr>
          <w:p w14:paraId="7A5B3ACC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Native speaker</w:t>
            </w:r>
          </w:p>
        </w:tc>
      </w:tr>
      <w:tr w:rsidR="00A002C3" w:rsidRPr="00605B5E" w14:paraId="46637200" w14:textId="77777777" w:rsidTr="00B36FF5">
        <w:tc>
          <w:tcPr>
            <w:tcW w:w="664" w:type="pct"/>
            <w:vMerge/>
            <w:vAlign w:val="center"/>
          </w:tcPr>
          <w:p w14:paraId="2202EEB6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723" w:type="pct"/>
            <w:vAlign w:val="center"/>
          </w:tcPr>
          <w:p w14:paraId="658C719D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Mean (SD)</w:t>
            </w:r>
          </w:p>
        </w:tc>
        <w:tc>
          <w:tcPr>
            <w:tcW w:w="723" w:type="pct"/>
            <w:vAlign w:val="center"/>
          </w:tcPr>
          <w:p w14:paraId="57EF8866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Minimum</w:t>
            </w:r>
          </w:p>
        </w:tc>
        <w:tc>
          <w:tcPr>
            <w:tcW w:w="723" w:type="pct"/>
            <w:vAlign w:val="center"/>
          </w:tcPr>
          <w:p w14:paraId="1B508E45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Maximum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7C6E9F0A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Mean (SD)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AD848C1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Minimum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66BF35A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Maximum</w:t>
            </w:r>
          </w:p>
        </w:tc>
      </w:tr>
      <w:tr w:rsidR="00A002C3" w:rsidRPr="00605B5E" w14:paraId="3EAE50F0" w14:textId="77777777" w:rsidTr="00B36FF5">
        <w:tc>
          <w:tcPr>
            <w:tcW w:w="664" w:type="pct"/>
            <w:vAlign w:val="center"/>
          </w:tcPr>
          <w:p w14:paraId="70194D94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</w:t>
            </w:r>
          </w:p>
        </w:tc>
        <w:tc>
          <w:tcPr>
            <w:tcW w:w="723" w:type="pct"/>
            <w:vAlign w:val="center"/>
          </w:tcPr>
          <w:p w14:paraId="15C20FF8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107 (36.36)</w:t>
            </w:r>
          </w:p>
        </w:tc>
        <w:tc>
          <w:tcPr>
            <w:tcW w:w="723" w:type="pct"/>
            <w:vAlign w:val="center"/>
          </w:tcPr>
          <w:p w14:paraId="50EB5178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62</w:t>
            </w:r>
          </w:p>
        </w:tc>
        <w:tc>
          <w:tcPr>
            <w:tcW w:w="723" w:type="pct"/>
            <w:vAlign w:val="center"/>
          </w:tcPr>
          <w:p w14:paraId="6EA14128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201</w:t>
            </w:r>
          </w:p>
        </w:tc>
        <w:tc>
          <w:tcPr>
            <w:tcW w:w="723" w:type="pct"/>
            <w:shd w:val="clear" w:color="auto" w:fill="auto"/>
          </w:tcPr>
          <w:p w14:paraId="3B4D9032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158 (21.27)</w:t>
            </w:r>
          </w:p>
        </w:tc>
        <w:tc>
          <w:tcPr>
            <w:tcW w:w="723" w:type="pct"/>
            <w:shd w:val="clear" w:color="auto" w:fill="auto"/>
          </w:tcPr>
          <w:p w14:paraId="29A1A0F6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131</w:t>
            </w:r>
          </w:p>
        </w:tc>
        <w:tc>
          <w:tcPr>
            <w:tcW w:w="722" w:type="pct"/>
            <w:shd w:val="clear" w:color="auto" w:fill="auto"/>
          </w:tcPr>
          <w:p w14:paraId="38A8CC31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194</w:t>
            </w:r>
          </w:p>
        </w:tc>
      </w:tr>
      <w:tr w:rsidR="00A002C3" w:rsidRPr="00605B5E" w14:paraId="66BA31C3" w14:textId="77777777" w:rsidTr="00B36FF5">
        <w:tc>
          <w:tcPr>
            <w:tcW w:w="664" w:type="pct"/>
            <w:vAlign w:val="center"/>
          </w:tcPr>
          <w:p w14:paraId="4063D88F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723" w:type="pct"/>
            <w:vAlign w:val="center"/>
          </w:tcPr>
          <w:p w14:paraId="5177C9D4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113 (38.48)</w:t>
            </w:r>
          </w:p>
        </w:tc>
        <w:tc>
          <w:tcPr>
            <w:tcW w:w="723" w:type="pct"/>
            <w:vAlign w:val="center"/>
          </w:tcPr>
          <w:p w14:paraId="7B86A8B9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57</w:t>
            </w:r>
          </w:p>
        </w:tc>
        <w:tc>
          <w:tcPr>
            <w:tcW w:w="723" w:type="pct"/>
            <w:vAlign w:val="center"/>
          </w:tcPr>
          <w:p w14:paraId="7803B1D2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203</w:t>
            </w:r>
          </w:p>
        </w:tc>
        <w:tc>
          <w:tcPr>
            <w:tcW w:w="723" w:type="pct"/>
            <w:shd w:val="clear" w:color="auto" w:fill="auto"/>
          </w:tcPr>
          <w:p w14:paraId="40C9C5CB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166 (33.89)</w:t>
            </w:r>
          </w:p>
        </w:tc>
        <w:tc>
          <w:tcPr>
            <w:tcW w:w="723" w:type="pct"/>
            <w:shd w:val="clear" w:color="auto" w:fill="auto"/>
          </w:tcPr>
          <w:p w14:paraId="17B5C401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110</w:t>
            </w:r>
          </w:p>
        </w:tc>
        <w:tc>
          <w:tcPr>
            <w:tcW w:w="722" w:type="pct"/>
            <w:shd w:val="clear" w:color="auto" w:fill="auto"/>
          </w:tcPr>
          <w:p w14:paraId="332D2A3D" w14:textId="77777777" w:rsidR="00A002C3" w:rsidRPr="00605B5E" w:rsidRDefault="00A002C3" w:rsidP="00605B5E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t>211</w:t>
            </w:r>
          </w:p>
        </w:tc>
      </w:tr>
    </w:tbl>
    <w:p w14:paraId="166D5C99" w14:textId="1BA064A9" w:rsidR="00A002C3" w:rsidRPr="00605B5E" w:rsidRDefault="00A002C3" w:rsidP="00605B5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02C3" w:rsidRPr="00605B5E" w14:paraId="307ABA22" w14:textId="77777777" w:rsidTr="003D11EC">
        <w:tc>
          <w:tcPr>
            <w:tcW w:w="4674" w:type="dxa"/>
            <w:gridSpan w:val="2"/>
            <w:vAlign w:val="center"/>
          </w:tcPr>
          <w:p w14:paraId="6E55A539" w14:textId="69EB7546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Word2Vec</w:t>
            </w:r>
          </w:p>
        </w:tc>
        <w:tc>
          <w:tcPr>
            <w:tcW w:w="4676" w:type="dxa"/>
            <w:gridSpan w:val="2"/>
            <w:vAlign w:val="center"/>
          </w:tcPr>
          <w:p w14:paraId="18A5ECD1" w14:textId="70F4D1D2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BERT</w:t>
            </w:r>
          </w:p>
        </w:tc>
      </w:tr>
      <w:tr w:rsidR="00A002C3" w:rsidRPr="00605B5E" w14:paraId="114B4B70" w14:textId="77777777" w:rsidTr="003D11EC">
        <w:tc>
          <w:tcPr>
            <w:tcW w:w="2337" w:type="dxa"/>
            <w:vAlign w:val="center"/>
          </w:tcPr>
          <w:p w14:paraId="6F438AA2" w14:textId="2D6F0B82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drawing>
                <wp:inline distT="0" distB="0" distL="0" distR="0" wp14:anchorId="18195245" wp14:editId="53A3D2F3">
                  <wp:extent cx="1428382" cy="1440000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scatter 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38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0D2A525B" w14:textId="497D0A33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drawing>
                <wp:inline distT="0" distB="0" distL="0" distR="0" wp14:anchorId="5CFD2742" wp14:editId="7F5956F1">
                  <wp:extent cx="1432218" cy="1440000"/>
                  <wp:effectExtent l="0" t="0" r="3175" b="0"/>
                  <wp:docPr id="2" name="Picture 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scatte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21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2BA616F2" w14:textId="1EBE8914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drawing>
                <wp:inline distT="0" distB="0" distL="0" distR="0" wp14:anchorId="0E9D8DD9" wp14:editId="1CBF5991">
                  <wp:extent cx="1436100" cy="1440000"/>
                  <wp:effectExtent l="0" t="0" r="0" b="0"/>
                  <wp:docPr id="3" name="Picture 3" descr="A picture containing text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text, whit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1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1DCB09FF" w14:textId="2A48E510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  <w:lang w:val="en-GB"/>
              </w:rPr>
              <w:drawing>
                <wp:inline distT="0" distB="0" distL="0" distR="0" wp14:anchorId="4988517B" wp14:editId="364953AB">
                  <wp:extent cx="1436104" cy="1440000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10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C1286" w14:textId="73425FD0" w:rsidR="00A002C3" w:rsidRPr="00605B5E" w:rsidRDefault="00A002C3" w:rsidP="00605B5E">
      <w:pPr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</w:pPr>
      <w:r w:rsidRPr="00605B5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GB"/>
        </w:rPr>
        <w:t>Figure 1</w:t>
      </w:r>
      <w:r w:rsidRPr="00605B5E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>. Scatterplot: Similarity scores (X-axis) and proficiency scores (Y-axis).</w:t>
      </w:r>
    </w:p>
    <w:p w14:paraId="5462A626" w14:textId="77777777" w:rsidR="003D11EC" w:rsidRPr="00605B5E" w:rsidRDefault="003D11EC" w:rsidP="00605B5E">
      <w:pPr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</w:pPr>
    </w:p>
    <w:p w14:paraId="6C71CA96" w14:textId="20F0E757" w:rsidR="00A002C3" w:rsidRPr="00605B5E" w:rsidRDefault="00A002C3" w:rsidP="00605B5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5B5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Table </w:t>
      </w:r>
      <w:r w:rsidR="003D11EC" w:rsidRPr="00605B5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</w:t>
      </w:r>
      <w:r w:rsidRPr="00605B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Seven highest/lowest similarity scores and their proficiency scores </w:t>
      </w:r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710"/>
        <w:gridCol w:w="710"/>
        <w:gridCol w:w="722"/>
        <w:gridCol w:w="710"/>
        <w:gridCol w:w="709"/>
        <w:gridCol w:w="709"/>
        <w:gridCol w:w="709"/>
        <w:gridCol w:w="709"/>
        <w:gridCol w:w="709"/>
        <w:gridCol w:w="709"/>
        <w:gridCol w:w="709"/>
        <w:gridCol w:w="687"/>
      </w:tblGrid>
      <w:tr w:rsidR="00A002C3" w:rsidRPr="00605B5E" w14:paraId="188C0B4C" w14:textId="77777777" w:rsidTr="003D11EC">
        <w:trPr>
          <w:jc w:val="center"/>
        </w:trPr>
        <w:tc>
          <w:tcPr>
            <w:tcW w:w="458" w:type="pct"/>
            <w:vAlign w:val="center"/>
          </w:tcPr>
          <w:p w14:paraId="3117540B" w14:textId="77777777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2280" w:type="pct"/>
            <w:gridSpan w:val="6"/>
            <w:vAlign w:val="center"/>
          </w:tcPr>
          <w:p w14:paraId="0355C04F" w14:textId="4D83148E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Word2Vec</w:t>
            </w:r>
          </w:p>
        </w:tc>
        <w:tc>
          <w:tcPr>
            <w:tcW w:w="2262" w:type="pct"/>
            <w:gridSpan w:val="6"/>
          </w:tcPr>
          <w:p w14:paraId="4736B35F" w14:textId="2D254332" w:rsidR="00A002C3" w:rsidRPr="00605B5E" w:rsidRDefault="00A002C3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BERT</w:t>
            </w:r>
          </w:p>
        </w:tc>
      </w:tr>
      <w:tr w:rsidR="003D11EC" w:rsidRPr="00605B5E" w14:paraId="60F1A739" w14:textId="7CD514DF" w:rsidTr="003D11EC">
        <w:trPr>
          <w:jc w:val="center"/>
        </w:trPr>
        <w:tc>
          <w:tcPr>
            <w:tcW w:w="458" w:type="pct"/>
            <w:vAlign w:val="center"/>
          </w:tcPr>
          <w:p w14:paraId="6475DB4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43" w:type="pct"/>
            <w:gridSpan w:val="3"/>
            <w:vAlign w:val="center"/>
          </w:tcPr>
          <w:p w14:paraId="1869CCCC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Topic 1</w:t>
            </w:r>
          </w:p>
        </w:tc>
        <w:tc>
          <w:tcPr>
            <w:tcW w:w="1137" w:type="pct"/>
            <w:gridSpan w:val="3"/>
            <w:vAlign w:val="center"/>
          </w:tcPr>
          <w:p w14:paraId="2DE262B6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Topic 2</w:t>
            </w:r>
          </w:p>
        </w:tc>
        <w:tc>
          <w:tcPr>
            <w:tcW w:w="1136" w:type="pct"/>
            <w:gridSpan w:val="3"/>
            <w:vAlign w:val="center"/>
          </w:tcPr>
          <w:p w14:paraId="5B896BEA" w14:textId="016911A5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Topic 1</w:t>
            </w:r>
          </w:p>
        </w:tc>
        <w:tc>
          <w:tcPr>
            <w:tcW w:w="1126" w:type="pct"/>
            <w:gridSpan w:val="3"/>
            <w:vAlign w:val="center"/>
          </w:tcPr>
          <w:p w14:paraId="158EB0B7" w14:textId="36D690AD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Topic 2</w:t>
            </w:r>
          </w:p>
        </w:tc>
      </w:tr>
      <w:tr w:rsidR="003D11EC" w:rsidRPr="00605B5E" w14:paraId="616C060C" w14:textId="1E1E2025" w:rsidTr="003D11EC">
        <w:trPr>
          <w:jc w:val="center"/>
        </w:trPr>
        <w:tc>
          <w:tcPr>
            <w:tcW w:w="458" w:type="pct"/>
            <w:vAlign w:val="center"/>
          </w:tcPr>
          <w:p w14:paraId="31A91E02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center"/>
          </w:tcPr>
          <w:p w14:paraId="3FF10692" w14:textId="42D8878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PPT</w:t>
            </w:r>
          </w:p>
        </w:tc>
        <w:tc>
          <w:tcPr>
            <w:tcW w:w="379" w:type="pct"/>
            <w:vAlign w:val="center"/>
          </w:tcPr>
          <w:p w14:paraId="1C95F2B2" w14:textId="65A8087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SIM</w:t>
            </w:r>
          </w:p>
        </w:tc>
        <w:tc>
          <w:tcPr>
            <w:tcW w:w="385" w:type="pct"/>
            <w:vAlign w:val="center"/>
          </w:tcPr>
          <w:p w14:paraId="3F8C6078" w14:textId="6BBE8D54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PRF</w:t>
            </w:r>
          </w:p>
        </w:tc>
        <w:tc>
          <w:tcPr>
            <w:tcW w:w="379" w:type="pct"/>
            <w:vAlign w:val="center"/>
          </w:tcPr>
          <w:p w14:paraId="075DB237" w14:textId="5ECFC26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PPT</w:t>
            </w:r>
          </w:p>
        </w:tc>
        <w:tc>
          <w:tcPr>
            <w:tcW w:w="379" w:type="pct"/>
            <w:vAlign w:val="center"/>
          </w:tcPr>
          <w:p w14:paraId="308A9A8F" w14:textId="6363046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SIM</w:t>
            </w:r>
          </w:p>
        </w:tc>
        <w:tc>
          <w:tcPr>
            <w:tcW w:w="379" w:type="pct"/>
            <w:vAlign w:val="center"/>
          </w:tcPr>
          <w:p w14:paraId="50582ABA" w14:textId="68ACA25B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PRF</w:t>
            </w:r>
          </w:p>
        </w:tc>
        <w:tc>
          <w:tcPr>
            <w:tcW w:w="379" w:type="pct"/>
            <w:vAlign w:val="center"/>
          </w:tcPr>
          <w:p w14:paraId="660799AF" w14:textId="1527998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PPT</w:t>
            </w:r>
          </w:p>
        </w:tc>
        <w:tc>
          <w:tcPr>
            <w:tcW w:w="379" w:type="pct"/>
            <w:vAlign w:val="center"/>
          </w:tcPr>
          <w:p w14:paraId="072DEE30" w14:textId="2B39669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SIM</w:t>
            </w:r>
          </w:p>
        </w:tc>
        <w:tc>
          <w:tcPr>
            <w:tcW w:w="379" w:type="pct"/>
            <w:vAlign w:val="center"/>
          </w:tcPr>
          <w:p w14:paraId="3F8043A7" w14:textId="5421C8E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PRF</w:t>
            </w:r>
          </w:p>
        </w:tc>
        <w:tc>
          <w:tcPr>
            <w:tcW w:w="379" w:type="pct"/>
            <w:vAlign w:val="center"/>
          </w:tcPr>
          <w:p w14:paraId="535D7A04" w14:textId="2F25578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PPT</w:t>
            </w:r>
          </w:p>
        </w:tc>
        <w:tc>
          <w:tcPr>
            <w:tcW w:w="379" w:type="pct"/>
            <w:vAlign w:val="center"/>
          </w:tcPr>
          <w:p w14:paraId="37B31CF3" w14:textId="469AC6E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SIM</w:t>
            </w:r>
          </w:p>
        </w:tc>
        <w:tc>
          <w:tcPr>
            <w:tcW w:w="368" w:type="pct"/>
            <w:vAlign w:val="center"/>
          </w:tcPr>
          <w:p w14:paraId="04C3DFBF" w14:textId="3ACE74D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PRF</w:t>
            </w:r>
          </w:p>
        </w:tc>
      </w:tr>
      <w:tr w:rsidR="003D11EC" w:rsidRPr="00605B5E" w14:paraId="711CF0E6" w14:textId="696B4D9E" w:rsidTr="003D11EC">
        <w:trPr>
          <w:jc w:val="center"/>
        </w:trPr>
        <w:tc>
          <w:tcPr>
            <w:tcW w:w="458" w:type="pct"/>
            <w:vMerge w:val="restart"/>
            <w:vAlign w:val="center"/>
          </w:tcPr>
          <w:p w14:paraId="0830EA7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Highest</w:t>
            </w:r>
          </w:p>
        </w:tc>
        <w:tc>
          <w:tcPr>
            <w:tcW w:w="379" w:type="pct"/>
            <w:vAlign w:val="bottom"/>
          </w:tcPr>
          <w:p w14:paraId="579F33C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</w:t>
            </w:r>
          </w:p>
        </w:tc>
        <w:tc>
          <w:tcPr>
            <w:tcW w:w="379" w:type="pct"/>
            <w:vAlign w:val="bottom"/>
          </w:tcPr>
          <w:p w14:paraId="1192A972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0.848</w:t>
            </w:r>
          </w:p>
        </w:tc>
        <w:tc>
          <w:tcPr>
            <w:tcW w:w="385" w:type="pct"/>
            <w:vAlign w:val="bottom"/>
          </w:tcPr>
          <w:p w14:paraId="427B44D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156</w:t>
            </w:r>
          </w:p>
        </w:tc>
        <w:tc>
          <w:tcPr>
            <w:tcW w:w="379" w:type="pct"/>
            <w:vAlign w:val="bottom"/>
          </w:tcPr>
          <w:p w14:paraId="0E0BEDE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32</w:t>
            </w:r>
          </w:p>
        </w:tc>
        <w:tc>
          <w:tcPr>
            <w:tcW w:w="379" w:type="pct"/>
            <w:vAlign w:val="bottom"/>
          </w:tcPr>
          <w:p w14:paraId="7AB37B6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0.805</w:t>
            </w:r>
          </w:p>
        </w:tc>
        <w:tc>
          <w:tcPr>
            <w:tcW w:w="379" w:type="pct"/>
            <w:vAlign w:val="bottom"/>
          </w:tcPr>
          <w:p w14:paraId="52931F19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181</w:t>
            </w:r>
          </w:p>
        </w:tc>
        <w:tc>
          <w:tcPr>
            <w:tcW w:w="379" w:type="pct"/>
            <w:vAlign w:val="bottom"/>
          </w:tcPr>
          <w:p w14:paraId="244BF956" w14:textId="507B7C3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19</w:t>
            </w:r>
          </w:p>
        </w:tc>
        <w:tc>
          <w:tcPr>
            <w:tcW w:w="379" w:type="pct"/>
            <w:vAlign w:val="bottom"/>
          </w:tcPr>
          <w:p w14:paraId="0523FC5F" w14:textId="2C590C72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1.000</w:t>
            </w:r>
          </w:p>
        </w:tc>
        <w:tc>
          <w:tcPr>
            <w:tcW w:w="379" w:type="pct"/>
            <w:vAlign w:val="bottom"/>
          </w:tcPr>
          <w:p w14:paraId="1FE6F811" w14:textId="6F3F294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171</w:t>
            </w:r>
          </w:p>
        </w:tc>
        <w:tc>
          <w:tcPr>
            <w:tcW w:w="379" w:type="pct"/>
            <w:vAlign w:val="bottom"/>
          </w:tcPr>
          <w:p w14:paraId="6A7B2BD0" w14:textId="6520A8D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</w:t>
            </w:r>
          </w:p>
        </w:tc>
        <w:tc>
          <w:tcPr>
            <w:tcW w:w="379" w:type="pct"/>
            <w:vAlign w:val="bottom"/>
          </w:tcPr>
          <w:p w14:paraId="272E02A4" w14:textId="30FB3F84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1.000</w:t>
            </w:r>
          </w:p>
        </w:tc>
        <w:tc>
          <w:tcPr>
            <w:tcW w:w="368" w:type="pct"/>
            <w:vAlign w:val="bottom"/>
          </w:tcPr>
          <w:p w14:paraId="548D9F2F" w14:textId="31C06FE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156</w:t>
            </w:r>
          </w:p>
        </w:tc>
      </w:tr>
      <w:tr w:rsidR="003D11EC" w:rsidRPr="00605B5E" w14:paraId="57F74E74" w14:textId="5820A06B" w:rsidTr="003D11EC">
        <w:trPr>
          <w:jc w:val="center"/>
        </w:trPr>
        <w:tc>
          <w:tcPr>
            <w:tcW w:w="458" w:type="pct"/>
            <w:vMerge/>
            <w:vAlign w:val="center"/>
          </w:tcPr>
          <w:p w14:paraId="7E529A3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41F246B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11</w:t>
            </w:r>
          </w:p>
        </w:tc>
        <w:tc>
          <w:tcPr>
            <w:tcW w:w="379" w:type="pct"/>
            <w:vAlign w:val="bottom"/>
          </w:tcPr>
          <w:p w14:paraId="068F5FC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0.812</w:t>
            </w:r>
          </w:p>
        </w:tc>
        <w:tc>
          <w:tcPr>
            <w:tcW w:w="385" w:type="pct"/>
            <w:vAlign w:val="bottom"/>
          </w:tcPr>
          <w:p w14:paraId="455B115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102</w:t>
            </w:r>
          </w:p>
        </w:tc>
        <w:tc>
          <w:tcPr>
            <w:tcW w:w="379" w:type="pct"/>
            <w:vAlign w:val="bottom"/>
          </w:tcPr>
          <w:p w14:paraId="51B51696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</w:t>
            </w:r>
          </w:p>
        </w:tc>
        <w:tc>
          <w:tcPr>
            <w:tcW w:w="379" w:type="pct"/>
            <w:vAlign w:val="bottom"/>
          </w:tcPr>
          <w:p w14:paraId="2B306C7C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0.786</w:t>
            </w:r>
          </w:p>
        </w:tc>
        <w:tc>
          <w:tcPr>
            <w:tcW w:w="379" w:type="pct"/>
            <w:vAlign w:val="bottom"/>
          </w:tcPr>
          <w:p w14:paraId="7BBE8B6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154</w:t>
            </w:r>
          </w:p>
        </w:tc>
        <w:tc>
          <w:tcPr>
            <w:tcW w:w="379" w:type="pct"/>
            <w:vAlign w:val="bottom"/>
          </w:tcPr>
          <w:p w14:paraId="20CB3A22" w14:textId="3E913580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379" w:type="pct"/>
            <w:vAlign w:val="bottom"/>
          </w:tcPr>
          <w:p w14:paraId="1091B84B" w14:textId="63BE47C4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0.997</w:t>
            </w:r>
          </w:p>
        </w:tc>
        <w:tc>
          <w:tcPr>
            <w:tcW w:w="379" w:type="pct"/>
            <w:vAlign w:val="bottom"/>
          </w:tcPr>
          <w:p w14:paraId="4EDEB7CB" w14:textId="15D402F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122</w:t>
            </w:r>
          </w:p>
        </w:tc>
        <w:tc>
          <w:tcPr>
            <w:tcW w:w="379" w:type="pct"/>
            <w:vAlign w:val="bottom"/>
          </w:tcPr>
          <w:p w14:paraId="264DDB6A" w14:textId="0183AD7C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19</w:t>
            </w:r>
          </w:p>
        </w:tc>
        <w:tc>
          <w:tcPr>
            <w:tcW w:w="379" w:type="pct"/>
            <w:vAlign w:val="bottom"/>
          </w:tcPr>
          <w:p w14:paraId="3CD398AF" w14:textId="33A30E0B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0.997</w:t>
            </w:r>
          </w:p>
        </w:tc>
        <w:tc>
          <w:tcPr>
            <w:tcW w:w="368" w:type="pct"/>
            <w:vAlign w:val="bottom"/>
          </w:tcPr>
          <w:p w14:paraId="76B71A9C" w14:textId="115E84FB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171</w:t>
            </w:r>
          </w:p>
        </w:tc>
      </w:tr>
      <w:tr w:rsidR="003D11EC" w:rsidRPr="00605B5E" w14:paraId="0C7CB974" w14:textId="6984C888" w:rsidTr="003D11EC">
        <w:trPr>
          <w:jc w:val="center"/>
        </w:trPr>
        <w:tc>
          <w:tcPr>
            <w:tcW w:w="458" w:type="pct"/>
            <w:vMerge/>
            <w:vAlign w:val="center"/>
          </w:tcPr>
          <w:p w14:paraId="4589962D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4A53149D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34</w:t>
            </w:r>
          </w:p>
        </w:tc>
        <w:tc>
          <w:tcPr>
            <w:tcW w:w="379" w:type="pct"/>
            <w:vAlign w:val="bottom"/>
          </w:tcPr>
          <w:p w14:paraId="704AA3D3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0.807</w:t>
            </w:r>
          </w:p>
        </w:tc>
        <w:tc>
          <w:tcPr>
            <w:tcW w:w="385" w:type="pct"/>
            <w:vAlign w:val="bottom"/>
          </w:tcPr>
          <w:p w14:paraId="7A7BB8D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119</w:t>
            </w:r>
          </w:p>
        </w:tc>
        <w:tc>
          <w:tcPr>
            <w:tcW w:w="379" w:type="pct"/>
            <w:vAlign w:val="bottom"/>
          </w:tcPr>
          <w:p w14:paraId="776F964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</w:t>
            </w:r>
          </w:p>
        </w:tc>
        <w:tc>
          <w:tcPr>
            <w:tcW w:w="379" w:type="pct"/>
            <w:vAlign w:val="bottom"/>
          </w:tcPr>
          <w:p w14:paraId="0EE5113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0.774</w:t>
            </w:r>
          </w:p>
        </w:tc>
        <w:tc>
          <w:tcPr>
            <w:tcW w:w="379" w:type="pct"/>
            <w:vAlign w:val="bottom"/>
          </w:tcPr>
          <w:p w14:paraId="04D2225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156</w:t>
            </w:r>
          </w:p>
        </w:tc>
        <w:tc>
          <w:tcPr>
            <w:tcW w:w="379" w:type="pct"/>
            <w:vAlign w:val="bottom"/>
          </w:tcPr>
          <w:p w14:paraId="27AE7715" w14:textId="72204D0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35</w:t>
            </w:r>
          </w:p>
        </w:tc>
        <w:tc>
          <w:tcPr>
            <w:tcW w:w="379" w:type="pct"/>
            <w:vAlign w:val="bottom"/>
          </w:tcPr>
          <w:p w14:paraId="61E41A0C" w14:textId="5C375AA5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0.993</w:t>
            </w:r>
          </w:p>
        </w:tc>
        <w:tc>
          <w:tcPr>
            <w:tcW w:w="379" w:type="pct"/>
            <w:vAlign w:val="bottom"/>
          </w:tcPr>
          <w:p w14:paraId="49B304EC" w14:textId="529D596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144</w:t>
            </w:r>
          </w:p>
        </w:tc>
        <w:tc>
          <w:tcPr>
            <w:tcW w:w="379" w:type="pct"/>
            <w:vAlign w:val="bottom"/>
          </w:tcPr>
          <w:p w14:paraId="25F5A40C" w14:textId="797BF97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25</w:t>
            </w:r>
          </w:p>
        </w:tc>
        <w:tc>
          <w:tcPr>
            <w:tcW w:w="379" w:type="pct"/>
            <w:vAlign w:val="bottom"/>
          </w:tcPr>
          <w:p w14:paraId="25D43AAF" w14:textId="241D5E4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0.989</w:t>
            </w:r>
          </w:p>
        </w:tc>
        <w:tc>
          <w:tcPr>
            <w:tcW w:w="368" w:type="pct"/>
            <w:vAlign w:val="bottom"/>
          </w:tcPr>
          <w:p w14:paraId="260DFEF8" w14:textId="15B5EDB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165</w:t>
            </w:r>
          </w:p>
        </w:tc>
      </w:tr>
      <w:tr w:rsidR="003D11EC" w:rsidRPr="00605B5E" w14:paraId="4DD794AC" w14:textId="01FB49B6" w:rsidTr="003D11EC">
        <w:trPr>
          <w:jc w:val="center"/>
        </w:trPr>
        <w:tc>
          <w:tcPr>
            <w:tcW w:w="458" w:type="pct"/>
            <w:vMerge/>
            <w:vAlign w:val="center"/>
          </w:tcPr>
          <w:p w14:paraId="27E35A0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5802866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33</w:t>
            </w:r>
          </w:p>
        </w:tc>
        <w:tc>
          <w:tcPr>
            <w:tcW w:w="379" w:type="pct"/>
            <w:vAlign w:val="bottom"/>
          </w:tcPr>
          <w:p w14:paraId="73EBFE6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0.807</w:t>
            </w:r>
          </w:p>
        </w:tc>
        <w:tc>
          <w:tcPr>
            <w:tcW w:w="385" w:type="pct"/>
            <w:vAlign w:val="bottom"/>
          </w:tcPr>
          <w:p w14:paraId="3F8BAA7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156</w:t>
            </w:r>
          </w:p>
        </w:tc>
        <w:tc>
          <w:tcPr>
            <w:tcW w:w="379" w:type="pct"/>
            <w:vAlign w:val="bottom"/>
          </w:tcPr>
          <w:p w14:paraId="6C1719D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11</w:t>
            </w:r>
          </w:p>
        </w:tc>
        <w:tc>
          <w:tcPr>
            <w:tcW w:w="379" w:type="pct"/>
            <w:vAlign w:val="bottom"/>
          </w:tcPr>
          <w:p w14:paraId="4D47A7BF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0.773</w:t>
            </w:r>
          </w:p>
        </w:tc>
        <w:tc>
          <w:tcPr>
            <w:tcW w:w="379" w:type="pct"/>
            <w:vAlign w:val="bottom"/>
          </w:tcPr>
          <w:p w14:paraId="50FB256D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102</w:t>
            </w:r>
          </w:p>
        </w:tc>
        <w:tc>
          <w:tcPr>
            <w:tcW w:w="379" w:type="pct"/>
            <w:vAlign w:val="bottom"/>
          </w:tcPr>
          <w:p w14:paraId="0A5A906A" w14:textId="7F6D098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11</w:t>
            </w:r>
          </w:p>
        </w:tc>
        <w:tc>
          <w:tcPr>
            <w:tcW w:w="379" w:type="pct"/>
            <w:vAlign w:val="bottom"/>
          </w:tcPr>
          <w:p w14:paraId="476BD625" w14:textId="1513528B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0.993</w:t>
            </w:r>
          </w:p>
        </w:tc>
        <w:tc>
          <w:tcPr>
            <w:tcW w:w="379" w:type="pct"/>
            <w:vAlign w:val="bottom"/>
          </w:tcPr>
          <w:p w14:paraId="272AB9E3" w14:textId="2152518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102</w:t>
            </w:r>
          </w:p>
        </w:tc>
        <w:tc>
          <w:tcPr>
            <w:tcW w:w="379" w:type="pct"/>
            <w:vAlign w:val="bottom"/>
          </w:tcPr>
          <w:p w14:paraId="1E365CA3" w14:textId="6E0E4FE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35</w:t>
            </w:r>
          </w:p>
        </w:tc>
        <w:tc>
          <w:tcPr>
            <w:tcW w:w="379" w:type="pct"/>
            <w:vAlign w:val="bottom"/>
          </w:tcPr>
          <w:p w14:paraId="691658E8" w14:textId="361C430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0.985</w:t>
            </w:r>
          </w:p>
        </w:tc>
        <w:tc>
          <w:tcPr>
            <w:tcW w:w="368" w:type="pct"/>
            <w:vAlign w:val="bottom"/>
          </w:tcPr>
          <w:p w14:paraId="204787E3" w14:textId="75447C52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144</w:t>
            </w:r>
          </w:p>
        </w:tc>
      </w:tr>
      <w:tr w:rsidR="003D11EC" w:rsidRPr="00605B5E" w14:paraId="37FC3C9A" w14:textId="7334CEDB" w:rsidTr="003D11EC">
        <w:trPr>
          <w:jc w:val="center"/>
        </w:trPr>
        <w:tc>
          <w:tcPr>
            <w:tcW w:w="458" w:type="pct"/>
            <w:vMerge/>
            <w:vAlign w:val="center"/>
          </w:tcPr>
          <w:p w14:paraId="626F6EA9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67F543F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7</w:t>
            </w:r>
          </w:p>
        </w:tc>
        <w:tc>
          <w:tcPr>
            <w:tcW w:w="379" w:type="pct"/>
            <w:vAlign w:val="bottom"/>
          </w:tcPr>
          <w:p w14:paraId="473DADF4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0.803</w:t>
            </w:r>
          </w:p>
        </w:tc>
        <w:tc>
          <w:tcPr>
            <w:tcW w:w="385" w:type="pct"/>
            <w:vAlign w:val="bottom"/>
          </w:tcPr>
          <w:p w14:paraId="24474534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167</w:t>
            </w:r>
          </w:p>
        </w:tc>
        <w:tc>
          <w:tcPr>
            <w:tcW w:w="379" w:type="pct"/>
            <w:vAlign w:val="bottom"/>
          </w:tcPr>
          <w:p w14:paraId="5D36B46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19</w:t>
            </w:r>
          </w:p>
        </w:tc>
        <w:tc>
          <w:tcPr>
            <w:tcW w:w="379" w:type="pct"/>
            <w:vAlign w:val="bottom"/>
          </w:tcPr>
          <w:p w14:paraId="16B2DAF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0.761</w:t>
            </w:r>
          </w:p>
        </w:tc>
        <w:tc>
          <w:tcPr>
            <w:tcW w:w="379" w:type="pct"/>
            <w:vAlign w:val="bottom"/>
          </w:tcPr>
          <w:p w14:paraId="6685D9A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171</w:t>
            </w:r>
          </w:p>
        </w:tc>
        <w:tc>
          <w:tcPr>
            <w:tcW w:w="379" w:type="pct"/>
            <w:vAlign w:val="bottom"/>
          </w:tcPr>
          <w:p w14:paraId="1F09D2A3" w14:textId="5F623DA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26</w:t>
            </w:r>
          </w:p>
        </w:tc>
        <w:tc>
          <w:tcPr>
            <w:tcW w:w="379" w:type="pct"/>
            <w:vAlign w:val="bottom"/>
          </w:tcPr>
          <w:p w14:paraId="0678D251" w14:textId="56E38D20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0.991</w:t>
            </w:r>
          </w:p>
        </w:tc>
        <w:tc>
          <w:tcPr>
            <w:tcW w:w="379" w:type="pct"/>
            <w:vAlign w:val="bottom"/>
          </w:tcPr>
          <w:p w14:paraId="3F480AA2" w14:textId="72A9E894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176</w:t>
            </w:r>
          </w:p>
        </w:tc>
        <w:tc>
          <w:tcPr>
            <w:tcW w:w="379" w:type="pct"/>
            <w:vAlign w:val="bottom"/>
          </w:tcPr>
          <w:p w14:paraId="78C4B68E" w14:textId="7B4C5B7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</w:t>
            </w:r>
          </w:p>
        </w:tc>
        <w:tc>
          <w:tcPr>
            <w:tcW w:w="379" w:type="pct"/>
            <w:vAlign w:val="bottom"/>
          </w:tcPr>
          <w:p w14:paraId="3BD57591" w14:textId="3B5CEA9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0.983</w:t>
            </w:r>
          </w:p>
        </w:tc>
        <w:tc>
          <w:tcPr>
            <w:tcW w:w="368" w:type="pct"/>
            <w:vAlign w:val="bottom"/>
          </w:tcPr>
          <w:p w14:paraId="4BF08BAA" w14:textId="76A1B73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132</w:t>
            </w:r>
          </w:p>
        </w:tc>
      </w:tr>
      <w:tr w:rsidR="003D11EC" w:rsidRPr="00605B5E" w14:paraId="37982DB9" w14:textId="662AC602" w:rsidTr="003D11EC">
        <w:trPr>
          <w:jc w:val="center"/>
        </w:trPr>
        <w:tc>
          <w:tcPr>
            <w:tcW w:w="458" w:type="pct"/>
            <w:vMerge/>
            <w:vAlign w:val="center"/>
          </w:tcPr>
          <w:p w14:paraId="62ADC4B9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3F60D2CF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32</w:t>
            </w:r>
          </w:p>
        </w:tc>
        <w:tc>
          <w:tcPr>
            <w:tcW w:w="379" w:type="pct"/>
            <w:vAlign w:val="bottom"/>
          </w:tcPr>
          <w:p w14:paraId="008434B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0.796</w:t>
            </w:r>
          </w:p>
        </w:tc>
        <w:tc>
          <w:tcPr>
            <w:tcW w:w="385" w:type="pct"/>
            <w:vAlign w:val="bottom"/>
          </w:tcPr>
          <w:p w14:paraId="6AE7A22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181</w:t>
            </w:r>
          </w:p>
        </w:tc>
        <w:tc>
          <w:tcPr>
            <w:tcW w:w="379" w:type="pct"/>
            <w:vAlign w:val="bottom"/>
          </w:tcPr>
          <w:p w14:paraId="5343AEA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18</w:t>
            </w:r>
          </w:p>
        </w:tc>
        <w:tc>
          <w:tcPr>
            <w:tcW w:w="379" w:type="pct"/>
            <w:vAlign w:val="bottom"/>
          </w:tcPr>
          <w:p w14:paraId="6690C40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0.733</w:t>
            </w:r>
          </w:p>
        </w:tc>
        <w:tc>
          <w:tcPr>
            <w:tcW w:w="379" w:type="pct"/>
            <w:vAlign w:val="bottom"/>
          </w:tcPr>
          <w:p w14:paraId="5ABD9F6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172</w:t>
            </w:r>
          </w:p>
        </w:tc>
        <w:tc>
          <w:tcPr>
            <w:tcW w:w="379" w:type="pct"/>
            <w:vAlign w:val="bottom"/>
          </w:tcPr>
          <w:p w14:paraId="48DE860E" w14:textId="34FFAB6D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18</w:t>
            </w:r>
          </w:p>
        </w:tc>
        <w:tc>
          <w:tcPr>
            <w:tcW w:w="379" w:type="pct"/>
            <w:vAlign w:val="bottom"/>
          </w:tcPr>
          <w:p w14:paraId="16566CD2" w14:textId="4F604FA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0.979</w:t>
            </w:r>
          </w:p>
        </w:tc>
        <w:tc>
          <w:tcPr>
            <w:tcW w:w="379" w:type="pct"/>
            <w:vAlign w:val="bottom"/>
          </w:tcPr>
          <w:p w14:paraId="4EDD1767" w14:textId="3CDBEE4A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172</w:t>
            </w:r>
          </w:p>
        </w:tc>
        <w:tc>
          <w:tcPr>
            <w:tcW w:w="379" w:type="pct"/>
            <w:vAlign w:val="bottom"/>
          </w:tcPr>
          <w:p w14:paraId="64C2FF13" w14:textId="5C51710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</w:t>
            </w:r>
          </w:p>
        </w:tc>
        <w:tc>
          <w:tcPr>
            <w:tcW w:w="379" w:type="pct"/>
            <w:vAlign w:val="bottom"/>
          </w:tcPr>
          <w:p w14:paraId="71E7E58F" w14:textId="3B6B470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0.953</w:t>
            </w:r>
          </w:p>
        </w:tc>
        <w:tc>
          <w:tcPr>
            <w:tcW w:w="368" w:type="pct"/>
            <w:vAlign w:val="bottom"/>
          </w:tcPr>
          <w:p w14:paraId="11FB1EFC" w14:textId="1D90DE0B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154</w:t>
            </w:r>
          </w:p>
        </w:tc>
      </w:tr>
      <w:tr w:rsidR="003D11EC" w:rsidRPr="00605B5E" w14:paraId="261F76A9" w14:textId="69E05E5E" w:rsidTr="003D11EC">
        <w:trPr>
          <w:jc w:val="center"/>
        </w:trPr>
        <w:tc>
          <w:tcPr>
            <w:tcW w:w="458" w:type="pct"/>
            <w:vMerge/>
            <w:vAlign w:val="center"/>
          </w:tcPr>
          <w:p w14:paraId="641ED1BF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0D61676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10</w:t>
            </w:r>
          </w:p>
        </w:tc>
        <w:tc>
          <w:tcPr>
            <w:tcW w:w="379" w:type="pct"/>
            <w:vAlign w:val="bottom"/>
          </w:tcPr>
          <w:p w14:paraId="6CC98EAC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0.785</w:t>
            </w:r>
          </w:p>
        </w:tc>
        <w:tc>
          <w:tcPr>
            <w:tcW w:w="385" w:type="pct"/>
            <w:vAlign w:val="bottom"/>
          </w:tcPr>
          <w:p w14:paraId="0B7340A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138</w:t>
            </w:r>
          </w:p>
        </w:tc>
        <w:tc>
          <w:tcPr>
            <w:tcW w:w="379" w:type="pct"/>
            <w:vAlign w:val="bottom"/>
          </w:tcPr>
          <w:p w14:paraId="5F848E0D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21</w:t>
            </w:r>
          </w:p>
        </w:tc>
        <w:tc>
          <w:tcPr>
            <w:tcW w:w="379" w:type="pct"/>
            <w:vAlign w:val="bottom"/>
          </w:tcPr>
          <w:p w14:paraId="7B4A6FD2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0.731</w:t>
            </w:r>
          </w:p>
        </w:tc>
        <w:tc>
          <w:tcPr>
            <w:tcW w:w="379" w:type="pct"/>
            <w:vAlign w:val="bottom"/>
          </w:tcPr>
          <w:p w14:paraId="71B0C91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186</w:t>
            </w:r>
          </w:p>
        </w:tc>
        <w:tc>
          <w:tcPr>
            <w:tcW w:w="379" w:type="pct"/>
            <w:vAlign w:val="bottom"/>
          </w:tcPr>
          <w:p w14:paraId="23BED849" w14:textId="59A30132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20</w:t>
            </w:r>
          </w:p>
        </w:tc>
        <w:tc>
          <w:tcPr>
            <w:tcW w:w="379" w:type="pct"/>
            <w:vAlign w:val="bottom"/>
          </w:tcPr>
          <w:p w14:paraId="75B58A49" w14:textId="5D71B3A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0.977</w:t>
            </w:r>
          </w:p>
        </w:tc>
        <w:tc>
          <w:tcPr>
            <w:tcW w:w="379" w:type="pct"/>
            <w:vAlign w:val="bottom"/>
          </w:tcPr>
          <w:p w14:paraId="78A5288A" w14:textId="6E05FB5C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125</w:t>
            </w:r>
          </w:p>
        </w:tc>
        <w:tc>
          <w:tcPr>
            <w:tcW w:w="379" w:type="pct"/>
            <w:vAlign w:val="bottom"/>
          </w:tcPr>
          <w:p w14:paraId="1C6360A2" w14:textId="7688F5A0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16</w:t>
            </w:r>
          </w:p>
        </w:tc>
        <w:tc>
          <w:tcPr>
            <w:tcW w:w="379" w:type="pct"/>
            <w:vAlign w:val="bottom"/>
          </w:tcPr>
          <w:p w14:paraId="0F0CC3F0" w14:textId="7F43E90B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0.593</w:t>
            </w:r>
          </w:p>
        </w:tc>
        <w:tc>
          <w:tcPr>
            <w:tcW w:w="368" w:type="pct"/>
            <w:vAlign w:val="bottom"/>
          </w:tcPr>
          <w:p w14:paraId="5F913E86" w14:textId="6B5036D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99</w:t>
            </w:r>
          </w:p>
        </w:tc>
      </w:tr>
      <w:tr w:rsidR="003D11EC" w:rsidRPr="00605B5E" w14:paraId="7D274472" w14:textId="6218769D" w:rsidTr="003D11EC">
        <w:trPr>
          <w:jc w:val="center"/>
        </w:trPr>
        <w:tc>
          <w:tcPr>
            <w:tcW w:w="458" w:type="pct"/>
            <w:vMerge w:val="restart"/>
            <w:vAlign w:val="center"/>
          </w:tcPr>
          <w:p w14:paraId="2017FC4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Lowest</w:t>
            </w:r>
          </w:p>
        </w:tc>
        <w:tc>
          <w:tcPr>
            <w:tcW w:w="379" w:type="pct"/>
            <w:vAlign w:val="bottom"/>
          </w:tcPr>
          <w:p w14:paraId="5334E85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23</w:t>
            </w:r>
          </w:p>
        </w:tc>
        <w:tc>
          <w:tcPr>
            <w:tcW w:w="379" w:type="pct"/>
            <w:vAlign w:val="bottom"/>
          </w:tcPr>
          <w:p w14:paraId="2FC1F0D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0.625</w:t>
            </w:r>
          </w:p>
        </w:tc>
        <w:tc>
          <w:tcPr>
            <w:tcW w:w="385" w:type="pct"/>
            <w:vAlign w:val="bottom"/>
          </w:tcPr>
          <w:p w14:paraId="3E41AB38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128</w:t>
            </w:r>
          </w:p>
        </w:tc>
        <w:tc>
          <w:tcPr>
            <w:tcW w:w="379" w:type="pct"/>
            <w:vAlign w:val="bottom"/>
          </w:tcPr>
          <w:p w14:paraId="78525CE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36</w:t>
            </w:r>
          </w:p>
        </w:tc>
        <w:tc>
          <w:tcPr>
            <w:tcW w:w="379" w:type="pct"/>
            <w:vAlign w:val="bottom"/>
          </w:tcPr>
          <w:p w14:paraId="0AC22644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0.605</w:t>
            </w:r>
          </w:p>
        </w:tc>
        <w:tc>
          <w:tcPr>
            <w:tcW w:w="379" w:type="pct"/>
            <w:vAlign w:val="bottom"/>
          </w:tcPr>
          <w:p w14:paraId="5542C25D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92</w:t>
            </w:r>
          </w:p>
        </w:tc>
        <w:tc>
          <w:tcPr>
            <w:tcW w:w="379" w:type="pct"/>
            <w:vAlign w:val="bottom"/>
          </w:tcPr>
          <w:p w14:paraId="1624F676" w14:textId="7F53D872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34</w:t>
            </w:r>
          </w:p>
        </w:tc>
        <w:tc>
          <w:tcPr>
            <w:tcW w:w="379" w:type="pct"/>
            <w:vAlign w:val="bottom"/>
          </w:tcPr>
          <w:p w14:paraId="6553FE14" w14:textId="4EA39C9A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0.085</w:t>
            </w:r>
          </w:p>
        </w:tc>
        <w:tc>
          <w:tcPr>
            <w:tcW w:w="379" w:type="pct"/>
            <w:vAlign w:val="bottom"/>
          </w:tcPr>
          <w:p w14:paraId="736D34DF" w14:textId="75BB9E4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119</w:t>
            </w:r>
          </w:p>
        </w:tc>
        <w:tc>
          <w:tcPr>
            <w:tcW w:w="379" w:type="pct"/>
            <w:vAlign w:val="bottom"/>
          </w:tcPr>
          <w:p w14:paraId="3DC9ABD5" w14:textId="39B3FDE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</w:t>
            </w:r>
          </w:p>
        </w:tc>
        <w:tc>
          <w:tcPr>
            <w:tcW w:w="379" w:type="pct"/>
            <w:vAlign w:val="bottom"/>
          </w:tcPr>
          <w:p w14:paraId="70B87528" w14:textId="4921824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0.096</w:t>
            </w:r>
          </w:p>
        </w:tc>
        <w:tc>
          <w:tcPr>
            <w:tcW w:w="368" w:type="pct"/>
            <w:vAlign w:val="bottom"/>
          </w:tcPr>
          <w:p w14:paraId="5F8B605E" w14:textId="258FD06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91</w:t>
            </w:r>
          </w:p>
        </w:tc>
      </w:tr>
      <w:tr w:rsidR="003D11EC" w:rsidRPr="00605B5E" w14:paraId="2E7DEBFB" w14:textId="00FCCF3E" w:rsidTr="003D11EC">
        <w:trPr>
          <w:jc w:val="center"/>
        </w:trPr>
        <w:tc>
          <w:tcPr>
            <w:tcW w:w="458" w:type="pct"/>
            <w:vMerge/>
            <w:vAlign w:val="center"/>
          </w:tcPr>
          <w:p w14:paraId="6679C15F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67FC525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35</w:t>
            </w:r>
          </w:p>
        </w:tc>
        <w:tc>
          <w:tcPr>
            <w:tcW w:w="379" w:type="pct"/>
            <w:vAlign w:val="bottom"/>
          </w:tcPr>
          <w:p w14:paraId="55F0DFD3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0.616</w:t>
            </w:r>
          </w:p>
        </w:tc>
        <w:tc>
          <w:tcPr>
            <w:tcW w:w="385" w:type="pct"/>
            <w:vAlign w:val="bottom"/>
          </w:tcPr>
          <w:p w14:paraId="14C78F4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144</w:t>
            </w:r>
          </w:p>
        </w:tc>
        <w:tc>
          <w:tcPr>
            <w:tcW w:w="379" w:type="pct"/>
            <w:vAlign w:val="bottom"/>
          </w:tcPr>
          <w:p w14:paraId="46D0404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6</w:t>
            </w:r>
          </w:p>
        </w:tc>
        <w:tc>
          <w:tcPr>
            <w:tcW w:w="379" w:type="pct"/>
            <w:vAlign w:val="bottom"/>
          </w:tcPr>
          <w:p w14:paraId="3E3FBBF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0.575</w:t>
            </w:r>
          </w:p>
        </w:tc>
        <w:tc>
          <w:tcPr>
            <w:tcW w:w="379" w:type="pct"/>
            <w:vAlign w:val="bottom"/>
          </w:tcPr>
          <w:p w14:paraId="2E19CA98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92</w:t>
            </w:r>
          </w:p>
        </w:tc>
        <w:tc>
          <w:tcPr>
            <w:tcW w:w="379" w:type="pct"/>
            <w:vAlign w:val="bottom"/>
          </w:tcPr>
          <w:p w14:paraId="325D9316" w14:textId="193C08B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28</w:t>
            </w:r>
          </w:p>
        </w:tc>
        <w:tc>
          <w:tcPr>
            <w:tcW w:w="379" w:type="pct"/>
            <w:vAlign w:val="bottom"/>
          </w:tcPr>
          <w:p w14:paraId="5F66EA9F" w14:textId="2F273EE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0.063</w:t>
            </w:r>
          </w:p>
        </w:tc>
        <w:tc>
          <w:tcPr>
            <w:tcW w:w="379" w:type="pct"/>
            <w:vAlign w:val="bottom"/>
          </w:tcPr>
          <w:p w14:paraId="6707AFFD" w14:textId="0FA414E2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148</w:t>
            </w:r>
          </w:p>
        </w:tc>
        <w:tc>
          <w:tcPr>
            <w:tcW w:w="379" w:type="pct"/>
            <w:vAlign w:val="bottom"/>
          </w:tcPr>
          <w:p w14:paraId="1B8BE5C0" w14:textId="24C1DF1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11</w:t>
            </w:r>
          </w:p>
        </w:tc>
        <w:tc>
          <w:tcPr>
            <w:tcW w:w="379" w:type="pct"/>
            <w:vAlign w:val="bottom"/>
          </w:tcPr>
          <w:p w14:paraId="3CE12214" w14:textId="3C98700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0.073</w:t>
            </w:r>
          </w:p>
        </w:tc>
        <w:tc>
          <w:tcPr>
            <w:tcW w:w="368" w:type="pct"/>
            <w:vAlign w:val="bottom"/>
          </w:tcPr>
          <w:p w14:paraId="7DA72FDF" w14:textId="3F0E0A3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102</w:t>
            </w:r>
          </w:p>
        </w:tc>
      </w:tr>
      <w:tr w:rsidR="003D11EC" w:rsidRPr="00605B5E" w14:paraId="129E2F55" w14:textId="11E4809E" w:rsidTr="003D11EC">
        <w:trPr>
          <w:jc w:val="center"/>
        </w:trPr>
        <w:tc>
          <w:tcPr>
            <w:tcW w:w="458" w:type="pct"/>
            <w:vMerge/>
            <w:vAlign w:val="center"/>
          </w:tcPr>
          <w:p w14:paraId="2FD2CFF4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4580A054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5</w:t>
            </w:r>
          </w:p>
        </w:tc>
        <w:tc>
          <w:tcPr>
            <w:tcW w:w="379" w:type="pct"/>
            <w:vAlign w:val="bottom"/>
          </w:tcPr>
          <w:p w14:paraId="7293847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0.597</w:t>
            </w:r>
          </w:p>
        </w:tc>
        <w:tc>
          <w:tcPr>
            <w:tcW w:w="385" w:type="pct"/>
            <w:vAlign w:val="bottom"/>
          </w:tcPr>
          <w:p w14:paraId="204CB94C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138</w:t>
            </w:r>
          </w:p>
        </w:tc>
        <w:tc>
          <w:tcPr>
            <w:tcW w:w="379" w:type="pct"/>
            <w:vAlign w:val="bottom"/>
          </w:tcPr>
          <w:p w14:paraId="3A6D4EC8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4</w:t>
            </w:r>
          </w:p>
        </w:tc>
        <w:tc>
          <w:tcPr>
            <w:tcW w:w="379" w:type="pct"/>
            <w:vAlign w:val="bottom"/>
          </w:tcPr>
          <w:p w14:paraId="0E743503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0.573</w:t>
            </w:r>
          </w:p>
        </w:tc>
        <w:tc>
          <w:tcPr>
            <w:tcW w:w="379" w:type="pct"/>
            <w:vAlign w:val="bottom"/>
          </w:tcPr>
          <w:p w14:paraId="1B226C3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153</w:t>
            </w:r>
          </w:p>
        </w:tc>
        <w:tc>
          <w:tcPr>
            <w:tcW w:w="379" w:type="pct"/>
            <w:vAlign w:val="bottom"/>
          </w:tcPr>
          <w:p w14:paraId="1F998651" w14:textId="18A9D13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14</w:t>
            </w:r>
          </w:p>
        </w:tc>
        <w:tc>
          <w:tcPr>
            <w:tcW w:w="379" w:type="pct"/>
            <w:vAlign w:val="bottom"/>
          </w:tcPr>
          <w:p w14:paraId="667FE165" w14:textId="45CD106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0.057</w:t>
            </w:r>
          </w:p>
        </w:tc>
        <w:tc>
          <w:tcPr>
            <w:tcW w:w="379" w:type="pct"/>
            <w:vAlign w:val="bottom"/>
          </w:tcPr>
          <w:p w14:paraId="2C318299" w14:textId="66FA902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167</w:t>
            </w:r>
          </w:p>
        </w:tc>
        <w:tc>
          <w:tcPr>
            <w:tcW w:w="379" w:type="pct"/>
            <w:vAlign w:val="bottom"/>
          </w:tcPr>
          <w:p w14:paraId="6793A741" w14:textId="3578775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6</w:t>
            </w:r>
          </w:p>
        </w:tc>
        <w:tc>
          <w:tcPr>
            <w:tcW w:w="379" w:type="pct"/>
            <w:vAlign w:val="bottom"/>
          </w:tcPr>
          <w:p w14:paraId="2B14626A" w14:textId="698627C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0.069</w:t>
            </w:r>
          </w:p>
        </w:tc>
        <w:tc>
          <w:tcPr>
            <w:tcW w:w="368" w:type="pct"/>
            <w:vAlign w:val="bottom"/>
          </w:tcPr>
          <w:p w14:paraId="0626DD22" w14:textId="5AB0F6D3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92</w:t>
            </w:r>
          </w:p>
        </w:tc>
      </w:tr>
      <w:tr w:rsidR="003D11EC" w:rsidRPr="00605B5E" w14:paraId="61E8CDB6" w14:textId="1BFE0984" w:rsidTr="003D11EC">
        <w:trPr>
          <w:jc w:val="center"/>
        </w:trPr>
        <w:tc>
          <w:tcPr>
            <w:tcW w:w="458" w:type="pct"/>
            <w:vMerge/>
            <w:vAlign w:val="center"/>
          </w:tcPr>
          <w:p w14:paraId="598A8FF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33C0F60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4</w:t>
            </w:r>
          </w:p>
        </w:tc>
        <w:tc>
          <w:tcPr>
            <w:tcW w:w="379" w:type="pct"/>
            <w:vAlign w:val="bottom"/>
          </w:tcPr>
          <w:p w14:paraId="0CAA5BF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0.595</w:t>
            </w:r>
          </w:p>
        </w:tc>
        <w:tc>
          <w:tcPr>
            <w:tcW w:w="385" w:type="pct"/>
            <w:vAlign w:val="bottom"/>
          </w:tcPr>
          <w:p w14:paraId="7E96867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153</w:t>
            </w:r>
          </w:p>
        </w:tc>
        <w:tc>
          <w:tcPr>
            <w:tcW w:w="379" w:type="pct"/>
            <w:vAlign w:val="bottom"/>
          </w:tcPr>
          <w:p w14:paraId="6FB07EF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379" w:type="pct"/>
            <w:vAlign w:val="bottom"/>
          </w:tcPr>
          <w:p w14:paraId="61044C9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0.547</w:t>
            </w:r>
          </w:p>
        </w:tc>
        <w:tc>
          <w:tcPr>
            <w:tcW w:w="379" w:type="pct"/>
            <w:vAlign w:val="bottom"/>
          </w:tcPr>
          <w:p w14:paraId="7CFBC606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122</w:t>
            </w:r>
          </w:p>
        </w:tc>
        <w:tc>
          <w:tcPr>
            <w:tcW w:w="379" w:type="pct"/>
            <w:vAlign w:val="bottom"/>
          </w:tcPr>
          <w:p w14:paraId="47CFBCCB" w14:textId="51F9EE5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</w:t>
            </w:r>
          </w:p>
        </w:tc>
        <w:tc>
          <w:tcPr>
            <w:tcW w:w="379" w:type="pct"/>
            <w:vAlign w:val="bottom"/>
          </w:tcPr>
          <w:p w14:paraId="5EE7C030" w14:textId="7C38885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0.051</w:t>
            </w:r>
          </w:p>
        </w:tc>
        <w:tc>
          <w:tcPr>
            <w:tcW w:w="379" w:type="pct"/>
            <w:vAlign w:val="bottom"/>
          </w:tcPr>
          <w:p w14:paraId="032F0D0B" w14:textId="1FD2850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132</w:t>
            </w:r>
          </w:p>
        </w:tc>
        <w:tc>
          <w:tcPr>
            <w:tcW w:w="379" w:type="pct"/>
            <w:vAlign w:val="bottom"/>
          </w:tcPr>
          <w:p w14:paraId="3DD04CF7" w14:textId="6A467C9D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32</w:t>
            </w:r>
          </w:p>
        </w:tc>
        <w:tc>
          <w:tcPr>
            <w:tcW w:w="379" w:type="pct"/>
            <w:vAlign w:val="bottom"/>
          </w:tcPr>
          <w:p w14:paraId="319A565F" w14:textId="2D2784C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0.064</w:t>
            </w:r>
          </w:p>
        </w:tc>
        <w:tc>
          <w:tcPr>
            <w:tcW w:w="368" w:type="pct"/>
            <w:vAlign w:val="bottom"/>
          </w:tcPr>
          <w:p w14:paraId="7BBFCE36" w14:textId="601D95CA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181</w:t>
            </w:r>
          </w:p>
        </w:tc>
      </w:tr>
      <w:tr w:rsidR="003D11EC" w:rsidRPr="00605B5E" w14:paraId="2EA5C52B" w14:textId="0856F5D7" w:rsidTr="003D11EC">
        <w:trPr>
          <w:jc w:val="center"/>
        </w:trPr>
        <w:tc>
          <w:tcPr>
            <w:tcW w:w="458" w:type="pct"/>
            <w:vMerge/>
            <w:vAlign w:val="center"/>
          </w:tcPr>
          <w:p w14:paraId="3B28B0EF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2318974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9</w:t>
            </w:r>
          </w:p>
        </w:tc>
        <w:tc>
          <w:tcPr>
            <w:tcW w:w="379" w:type="pct"/>
            <w:vAlign w:val="bottom"/>
          </w:tcPr>
          <w:p w14:paraId="0170E341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0.590</w:t>
            </w:r>
          </w:p>
        </w:tc>
        <w:tc>
          <w:tcPr>
            <w:tcW w:w="385" w:type="pct"/>
            <w:vAlign w:val="bottom"/>
          </w:tcPr>
          <w:p w14:paraId="62CAE14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132</w:t>
            </w:r>
          </w:p>
        </w:tc>
        <w:tc>
          <w:tcPr>
            <w:tcW w:w="379" w:type="pct"/>
            <w:vAlign w:val="bottom"/>
          </w:tcPr>
          <w:p w14:paraId="1C30F7CD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3</w:t>
            </w:r>
          </w:p>
        </w:tc>
        <w:tc>
          <w:tcPr>
            <w:tcW w:w="379" w:type="pct"/>
            <w:vAlign w:val="bottom"/>
          </w:tcPr>
          <w:p w14:paraId="1D9F2959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0.544</w:t>
            </w:r>
          </w:p>
        </w:tc>
        <w:tc>
          <w:tcPr>
            <w:tcW w:w="379" w:type="pct"/>
            <w:vAlign w:val="bottom"/>
          </w:tcPr>
          <w:p w14:paraId="7E0205CF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121</w:t>
            </w:r>
          </w:p>
        </w:tc>
        <w:tc>
          <w:tcPr>
            <w:tcW w:w="379" w:type="pct"/>
            <w:vAlign w:val="bottom"/>
          </w:tcPr>
          <w:p w14:paraId="68A148F1" w14:textId="6A085BD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4</w:t>
            </w:r>
          </w:p>
        </w:tc>
        <w:tc>
          <w:tcPr>
            <w:tcW w:w="379" w:type="pct"/>
            <w:vAlign w:val="bottom"/>
          </w:tcPr>
          <w:p w14:paraId="4A3837A0" w14:textId="5DB94CA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0.034</w:t>
            </w:r>
          </w:p>
        </w:tc>
        <w:tc>
          <w:tcPr>
            <w:tcW w:w="379" w:type="pct"/>
            <w:vAlign w:val="bottom"/>
          </w:tcPr>
          <w:p w14:paraId="7D8911FB" w14:textId="28BEB04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153</w:t>
            </w:r>
          </w:p>
        </w:tc>
        <w:tc>
          <w:tcPr>
            <w:tcW w:w="379" w:type="pct"/>
            <w:vAlign w:val="bottom"/>
          </w:tcPr>
          <w:p w14:paraId="6600BB5E" w14:textId="367D9F89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23</w:t>
            </w:r>
          </w:p>
        </w:tc>
        <w:tc>
          <w:tcPr>
            <w:tcW w:w="379" w:type="pct"/>
            <w:vAlign w:val="bottom"/>
          </w:tcPr>
          <w:p w14:paraId="07D24782" w14:textId="0C5E1B65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0.029</w:t>
            </w:r>
          </w:p>
        </w:tc>
        <w:tc>
          <w:tcPr>
            <w:tcW w:w="368" w:type="pct"/>
            <w:vAlign w:val="bottom"/>
          </w:tcPr>
          <w:p w14:paraId="0B21F547" w14:textId="114DB64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128</w:t>
            </w:r>
          </w:p>
        </w:tc>
      </w:tr>
      <w:tr w:rsidR="003D11EC" w:rsidRPr="00605B5E" w14:paraId="1BA5BAA0" w14:textId="30CB52CD" w:rsidTr="003D11EC">
        <w:trPr>
          <w:jc w:val="center"/>
        </w:trPr>
        <w:tc>
          <w:tcPr>
            <w:tcW w:w="458" w:type="pct"/>
            <w:vMerge/>
            <w:vAlign w:val="center"/>
          </w:tcPr>
          <w:p w14:paraId="2889DCE9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4BECABC3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14</w:t>
            </w:r>
          </w:p>
        </w:tc>
        <w:tc>
          <w:tcPr>
            <w:tcW w:w="379" w:type="pct"/>
            <w:vAlign w:val="bottom"/>
          </w:tcPr>
          <w:p w14:paraId="51863ED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0.543</w:t>
            </w:r>
          </w:p>
        </w:tc>
        <w:tc>
          <w:tcPr>
            <w:tcW w:w="385" w:type="pct"/>
            <w:vAlign w:val="bottom"/>
          </w:tcPr>
          <w:p w14:paraId="26269B2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167</w:t>
            </w:r>
          </w:p>
        </w:tc>
        <w:tc>
          <w:tcPr>
            <w:tcW w:w="379" w:type="pct"/>
            <w:vAlign w:val="bottom"/>
          </w:tcPr>
          <w:p w14:paraId="3219D14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22</w:t>
            </w:r>
          </w:p>
        </w:tc>
        <w:tc>
          <w:tcPr>
            <w:tcW w:w="379" w:type="pct"/>
            <w:vAlign w:val="bottom"/>
          </w:tcPr>
          <w:p w14:paraId="237D47B0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0.539</w:t>
            </w:r>
          </w:p>
        </w:tc>
        <w:tc>
          <w:tcPr>
            <w:tcW w:w="379" w:type="pct"/>
            <w:vAlign w:val="bottom"/>
          </w:tcPr>
          <w:p w14:paraId="1833F0B3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49</w:t>
            </w:r>
          </w:p>
        </w:tc>
        <w:tc>
          <w:tcPr>
            <w:tcW w:w="379" w:type="pct"/>
            <w:vAlign w:val="bottom"/>
          </w:tcPr>
          <w:p w14:paraId="31E30ACB" w14:textId="6D5596C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27</w:t>
            </w:r>
          </w:p>
        </w:tc>
        <w:tc>
          <w:tcPr>
            <w:tcW w:w="379" w:type="pct"/>
            <w:vAlign w:val="bottom"/>
          </w:tcPr>
          <w:p w14:paraId="3ED66913" w14:textId="078749B6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0.017</w:t>
            </w:r>
          </w:p>
        </w:tc>
        <w:tc>
          <w:tcPr>
            <w:tcW w:w="379" w:type="pct"/>
            <w:vAlign w:val="bottom"/>
          </w:tcPr>
          <w:p w14:paraId="709C0DD9" w14:textId="6C237BB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120</w:t>
            </w:r>
          </w:p>
        </w:tc>
        <w:tc>
          <w:tcPr>
            <w:tcW w:w="379" w:type="pct"/>
            <w:vAlign w:val="bottom"/>
          </w:tcPr>
          <w:p w14:paraId="1AEECC60" w14:textId="284F23C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5</w:t>
            </w:r>
          </w:p>
        </w:tc>
        <w:tc>
          <w:tcPr>
            <w:tcW w:w="379" w:type="pct"/>
            <w:vAlign w:val="bottom"/>
          </w:tcPr>
          <w:p w14:paraId="17FD8265" w14:textId="7F1D725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0.016</w:t>
            </w:r>
          </w:p>
        </w:tc>
        <w:tc>
          <w:tcPr>
            <w:tcW w:w="368" w:type="pct"/>
            <w:vAlign w:val="bottom"/>
          </w:tcPr>
          <w:p w14:paraId="03344A2F" w14:textId="27B98CDE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138</w:t>
            </w:r>
          </w:p>
        </w:tc>
      </w:tr>
      <w:tr w:rsidR="003D11EC" w:rsidRPr="00605B5E" w14:paraId="5F544353" w14:textId="080E9A09" w:rsidTr="003D11EC">
        <w:trPr>
          <w:jc w:val="center"/>
        </w:trPr>
        <w:tc>
          <w:tcPr>
            <w:tcW w:w="458" w:type="pct"/>
            <w:vMerge/>
            <w:vAlign w:val="center"/>
          </w:tcPr>
          <w:p w14:paraId="3FF55D6C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79" w:type="pct"/>
            <w:vAlign w:val="bottom"/>
          </w:tcPr>
          <w:p w14:paraId="430DD525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22</w:t>
            </w:r>
          </w:p>
        </w:tc>
        <w:tc>
          <w:tcPr>
            <w:tcW w:w="379" w:type="pct"/>
            <w:vAlign w:val="bottom"/>
          </w:tcPr>
          <w:p w14:paraId="04B6CF47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0.482</w:t>
            </w:r>
          </w:p>
        </w:tc>
        <w:tc>
          <w:tcPr>
            <w:tcW w:w="385" w:type="pct"/>
            <w:vAlign w:val="bottom"/>
          </w:tcPr>
          <w:p w14:paraId="743A7A4E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49</w:t>
            </w:r>
          </w:p>
        </w:tc>
        <w:tc>
          <w:tcPr>
            <w:tcW w:w="379" w:type="pct"/>
            <w:vAlign w:val="bottom"/>
          </w:tcPr>
          <w:p w14:paraId="0273064A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27</w:t>
            </w:r>
          </w:p>
        </w:tc>
        <w:tc>
          <w:tcPr>
            <w:tcW w:w="379" w:type="pct"/>
            <w:vAlign w:val="bottom"/>
          </w:tcPr>
          <w:p w14:paraId="11C4F36B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0.373</w:t>
            </w:r>
          </w:p>
        </w:tc>
        <w:tc>
          <w:tcPr>
            <w:tcW w:w="379" w:type="pct"/>
            <w:vAlign w:val="bottom"/>
          </w:tcPr>
          <w:p w14:paraId="4BBAFBA2" w14:textId="7777777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120</w:t>
            </w:r>
          </w:p>
        </w:tc>
        <w:tc>
          <w:tcPr>
            <w:tcW w:w="379" w:type="pct"/>
            <w:vAlign w:val="bottom"/>
          </w:tcPr>
          <w:p w14:paraId="24C7024A" w14:textId="145DD8EC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7</w:t>
            </w:r>
          </w:p>
        </w:tc>
        <w:tc>
          <w:tcPr>
            <w:tcW w:w="379" w:type="pct"/>
            <w:vAlign w:val="bottom"/>
          </w:tcPr>
          <w:p w14:paraId="3D76E213" w14:textId="6F579904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0.000</w:t>
            </w:r>
          </w:p>
        </w:tc>
        <w:tc>
          <w:tcPr>
            <w:tcW w:w="379" w:type="pct"/>
            <w:vAlign w:val="bottom"/>
          </w:tcPr>
          <w:p w14:paraId="0D32EB17" w14:textId="0E963301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167</w:t>
            </w:r>
          </w:p>
        </w:tc>
        <w:tc>
          <w:tcPr>
            <w:tcW w:w="379" w:type="pct"/>
            <w:vAlign w:val="bottom"/>
          </w:tcPr>
          <w:p w14:paraId="21719FCC" w14:textId="332F6D47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22</w:t>
            </w:r>
          </w:p>
        </w:tc>
        <w:tc>
          <w:tcPr>
            <w:tcW w:w="379" w:type="pct"/>
            <w:vAlign w:val="bottom"/>
          </w:tcPr>
          <w:p w14:paraId="12861878" w14:textId="3D80144F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0.000</w:t>
            </w:r>
          </w:p>
        </w:tc>
        <w:tc>
          <w:tcPr>
            <w:tcW w:w="368" w:type="pct"/>
            <w:vAlign w:val="bottom"/>
          </w:tcPr>
          <w:p w14:paraId="3337FE26" w14:textId="7597FA88" w:rsidR="003D11EC" w:rsidRPr="00605B5E" w:rsidRDefault="003D11EC" w:rsidP="00605B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605B5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GB"/>
              </w:rPr>
              <w:t>49</w:t>
            </w:r>
          </w:p>
        </w:tc>
      </w:tr>
    </w:tbl>
    <w:p w14:paraId="664EF291" w14:textId="4E18136F" w:rsidR="00A002C3" w:rsidRPr="00605B5E" w:rsidRDefault="003D11EC" w:rsidP="00605B5E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05B5E">
        <w:rPr>
          <w:rFonts w:ascii="Times New Roman" w:hAnsi="Times New Roman" w:cs="Times New Roman"/>
          <w:i/>
          <w:iCs/>
          <w:sz w:val="22"/>
          <w:szCs w:val="22"/>
          <w:lang w:val="en-GB"/>
        </w:rPr>
        <w:t>Note</w:t>
      </w:r>
      <w:r w:rsidRPr="00605B5E">
        <w:rPr>
          <w:rFonts w:ascii="Times New Roman" w:hAnsi="Times New Roman" w:cs="Times New Roman"/>
          <w:sz w:val="22"/>
          <w:szCs w:val="22"/>
          <w:lang w:val="en-GB"/>
        </w:rPr>
        <w:t>. PPT = participant; PRF = proficiency score; SIM = similarity score</w:t>
      </w:r>
    </w:p>
    <w:p w14:paraId="473F523B" w14:textId="77777777" w:rsidR="00A002C3" w:rsidRPr="00605B5E" w:rsidRDefault="00A002C3" w:rsidP="00605B5E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96F1480" w14:textId="77777777" w:rsidR="00E83833" w:rsidRPr="00605B5E" w:rsidRDefault="00E83833" w:rsidP="00605B5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GB"/>
        </w:rPr>
      </w:pPr>
      <w:r w:rsidRPr="00605B5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GB"/>
        </w:rPr>
        <w:t>References</w:t>
      </w:r>
    </w:p>
    <w:p w14:paraId="01329309" w14:textId="1AF95E98" w:rsidR="00DF0105" w:rsidRPr="00605B5E" w:rsidRDefault="00DF0105" w:rsidP="00605B5E">
      <w:pPr>
        <w:ind w:left="397" w:hanging="397"/>
        <w:rPr>
          <w:rFonts w:ascii="Times New Roman" w:hAnsi="Times New Roman" w:cs="Times New Roman"/>
          <w:bCs/>
          <w:sz w:val="22"/>
          <w:szCs w:val="22"/>
          <w:lang w:val="en-GB"/>
        </w:rPr>
      </w:pP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Crossley, S., Kyle, K., &amp; </w:t>
      </w: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Dascalu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M. (2019). </w:t>
      </w:r>
      <w:proofErr w:type="spellStart"/>
      <w:r w:rsidRPr="00605B5E">
        <w:rPr>
          <w:rFonts w:ascii="Times New Roman" w:hAnsi="Times New Roman" w:cs="Times New Roman"/>
          <w:bCs/>
          <w:i/>
          <w:iCs/>
          <w:sz w:val="22"/>
          <w:szCs w:val="22"/>
          <w:lang w:val="en-GB"/>
        </w:rPr>
        <w:t>Behavior</w:t>
      </w:r>
      <w:proofErr w:type="spellEnd"/>
      <w:r w:rsidRPr="00605B5E">
        <w:rPr>
          <w:rFonts w:ascii="Times New Roman" w:hAnsi="Times New Roman" w:cs="Times New Roman"/>
          <w:bCs/>
          <w:i/>
          <w:iCs/>
          <w:sz w:val="22"/>
          <w:szCs w:val="22"/>
          <w:lang w:val="en-GB"/>
        </w:rPr>
        <w:t xml:space="preserve"> Research Methods</w:t>
      </w: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, 51, 14–27.</w:t>
      </w:r>
    </w:p>
    <w:p w14:paraId="2D0EE9A8" w14:textId="5483F9F2" w:rsidR="00DF0105" w:rsidRPr="00605B5E" w:rsidRDefault="00DF0105" w:rsidP="00605B5E">
      <w:pPr>
        <w:ind w:left="397" w:hanging="397"/>
        <w:rPr>
          <w:rFonts w:ascii="Times New Roman" w:hAnsi="Times New Roman" w:cs="Times New Roman"/>
          <w:bCs/>
          <w:sz w:val="22"/>
          <w:szCs w:val="22"/>
          <w:lang w:val="en-GB"/>
        </w:rPr>
      </w:pP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Dascalu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M., </w:t>
      </w: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Westera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W., </w:t>
      </w: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Ruseti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S., </w:t>
      </w: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Trausan-Matu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S., &amp; </w:t>
      </w: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Kurvers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H. (2017). In </w:t>
      </w:r>
      <w:r w:rsidRPr="00605B5E">
        <w:rPr>
          <w:rFonts w:ascii="Times New Roman" w:hAnsi="Times New Roman" w:cs="Times New Roman"/>
          <w:bCs/>
          <w:i/>
          <w:iCs/>
          <w:sz w:val="22"/>
          <w:szCs w:val="22"/>
          <w:lang w:val="en-GB"/>
        </w:rPr>
        <w:t>Artificial Intelligence in Education 2017</w:t>
      </w: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</w:t>
      </w:r>
      <w:r w:rsidRPr="00605B5E">
        <w:rPr>
          <w:rFonts w:ascii="Times New Roman" w:hAnsi="Times New Roman" w:cs="Times New Roman"/>
          <w:bCs/>
          <w:i/>
          <w:iCs/>
          <w:sz w:val="22"/>
          <w:szCs w:val="22"/>
          <w:lang w:val="en-GB"/>
        </w:rPr>
        <w:t xml:space="preserve">Lecture Notes in Computer Science, 10331 </w:t>
      </w: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(pp. 52–63). </w:t>
      </w:r>
    </w:p>
    <w:p w14:paraId="25778E1F" w14:textId="416D3EE8" w:rsidR="00DF0105" w:rsidRPr="00605B5E" w:rsidRDefault="00DF0105" w:rsidP="00605B5E">
      <w:pPr>
        <w:ind w:left="397" w:hanging="397"/>
        <w:rPr>
          <w:rFonts w:ascii="Times New Roman" w:hAnsi="Times New Roman" w:cs="Times New Roman"/>
          <w:bCs/>
          <w:sz w:val="22"/>
          <w:szCs w:val="22"/>
          <w:lang w:val="en-GB"/>
        </w:rPr>
      </w:pP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Devlin, J., Chang, M. W., Lee, K., &amp; Toutanova, K. (2018).</w:t>
      </w:r>
      <w:r w:rsidR="003D11EC"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</w:t>
      </w:r>
      <w:r w:rsidR="003D11EC" w:rsidRPr="00605B5E">
        <w:rPr>
          <w:rFonts w:ascii="Times New Roman" w:hAnsi="Times New Roman" w:cs="Times New Roman"/>
          <w:bCs/>
          <w:i/>
          <w:iCs/>
          <w:sz w:val="22"/>
          <w:szCs w:val="22"/>
          <w:lang w:val="en-GB"/>
        </w:rPr>
        <w:t>Proceedings of the 2019 Conference of the North American Chapter of the Association for Computational Linguistics: Human Language Technologies, Volume 1 (Long and Short Papers)</w:t>
      </w:r>
      <w:r w:rsidR="003D11EC"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(pp. 4171–4186).</w:t>
      </w:r>
    </w:p>
    <w:p w14:paraId="55721F28" w14:textId="683F0A5D" w:rsidR="00E83833" w:rsidRPr="00605B5E" w:rsidRDefault="00E83833" w:rsidP="00605B5E">
      <w:pPr>
        <w:ind w:left="397" w:hanging="397"/>
        <w:rPr>
          <w:rFonts w:ascii="Times New Roman" w:hAnsi="Times New Roman" w:cs="Times New Roman"/>
          <w:bCs/>
          <w:sz w:val="22"/>
          <w:szCs w:val="22"/>
          <w:lang w:val="en-GB"/>
        </w:rPr>
      </w:pP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Lee-Ellis, S. (2009). </w:t>
      </w:r>
      <w:r w:rsidRPr="00605B5E">
        <w:rPr>
          <w:rFonts w:ascii="Times New Roman" w:hAnsi="Times New Roman" w:cs="Times New Roman"/>
          <w:bCs/>
          <w:i/>
          <w:iCs/>
          <w:sz w:val="22"/>
          <w:szCs w:val="22"/>
          <w:lang w:val="en-GB"/>
        </w:rPr>
        <w:t>Language Testing, 26</w:t>
      </w: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(2), 245</w:t>
      </w:r>
      <w:r w:rsidRPr="00605B5E">
        <w:rPr>
          <w:rFonts w:ascii="Times New Roman" w:hAnsi="Times New Roman" w:cs="Times New Roman"/>
          <w:sz w:val="22"/>
          <w:szCs w:val="22"/>
          <w:lang w:val="en-GB"/>
        </w:rPr>
        <w:t>–</w:t>
      </w:r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274.</w:t>
      </w:r>
    </w:p>
    <w:p w14:paraId="16222544" w14:textId="34EAFCB2" w:rsidR="00E83833" w:rsidRPr="00605B5E" w:rsidRDefault="00E83833" w:rsidP="00605B5E">
      <w:pPr>
        <w:ind w:left="397" w:hanging="397"/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</w:pPr>
      <w:proofErr w:type="spellStart"/>
      <w:r w:rsidRPr="00605B5E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>Meurers</w:t>
      </w:r>
      <w:proofErr w:type="spellEnd"/>
      <w:r w:rsidRPr="00605B5E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, D. (2015). In </w:t>
      </w:r>
      <w:r w:rsidRPr="00605B5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GB"/>
        </w:rPr>
        <w:t>The Cambridge handbook of learner corpus research</w:t>
      </w:r>
      <w:r w:rsidRPr="00605B5E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 (pp. 537–566). </w:t>
      </w:r>
    </w:p>
    <w:p w14:paraId="3F401B96" w14:textId="35ECFF79" w:rsidR="00E83833" w:rsidRPr="00605B5E" w:rsidRDefault="00DF0105" w:rsidP="00605B5E">
      <w:pPr>
        <w:ind w:left="397" w:hanging="397"/>
        <w:rPr>
          <w:rFonts w:ascii="Times New Roman" w:hAnsi="Times New Roman" w:cs="Times New Roman"/>
          <w:bCs/>
          <w:sz w:val="22"/>
          <w:szCs w:val="22"/>
          <w:lang w:val="en-GB"/>
        </w:rPr>
      </w:pP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Mikolov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T., Chen, K., </w:t>
      </w:r>
      <w:proofErr w:type="spellStart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>Corrado</w:t>
      </w:r>
      <w:proofErr w:type="spellEnd"/>
      <w:r w:rsidRPr="00605B5E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, G., &amp; Dean, J. (2013). </w:t>
      </w:r>
    </w:p>
    <w:sectPr w:rsidR="00E83833" w:rsidRPr="00605B5E" w:rsidSect="00D9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DF"/>
    <w:rsid w:val="00067D1E"/>
    <w:rsid w:val="000C3EDA"/>
    <w:rsid w:val="001216C2"/>
    <w:rsid w:val="00234418"/>
    <w:rsid w:val="00314011"/>
    <w:rsid w:val="00325CE3"/>
    <w:rsid w:val="00352F4B"/>
    <w:rsid w:val="003A595D"/>
    <w:rsid w:val="003C5F2C"/>
    <w:rsid w:val="003C7205"/>
    <w:rsid w:val="003D11EC"/>
    <w:rsid w:val="003F12E2"/>
    <w:rsid w:val="004F6371"/>
    <w:rsid w:val="00605B5E"/>
    <w:rsid w:val="00652BB5"/>
    <w:rsid w:val="00691CEB"/>
    <w:rsid w:val="006977DF"/>
    <w:rsid w:val="00792D3A"/>
    <w:rsid w:val="00895925"/>
    <w:rsid w:val="008A5475"/>
    <w:rsid w:val="00971C53"/>
    <w:rsid w:val="0098459B"/>
    <w:rsid w:val="00984904"/>
    <w:rsid w:val="00994639"/>
    <w:rsid w:val="00A002C3"/>
    <w:rsid w:val="00A167D0"/>
    <w:rsid w:val="00A43593"/>
    <w:rsid w:val="00B04764"/>
    <w:rsid w:val="00B566B0"/>
    <w:rsid w:val="00C340AE"/>
    <w:rsid w:val="00CC619E"/>
    <w:rsid w:val="00CE7506"/>
    <w:rsid w:val="00D93BFC"/>
    <w:rsid w:val="00DF0105"/>
    <w:rsid w:val="00E646E9"/>
    <w:rsid w:val="00E74F63"/>
    <w:rsid w:val="00E83833"/>
    <w:rsid w:val="00EA73C0"/>
    <w:rsid w:val="00E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4417"/>
  <w15:chartTrackingRefBased/>
  <w15:docId w15:val="{728EB1E6-24AE-1C44-9368-27ECD30C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 (Body CS)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DF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D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Boo Kyung</dc:creator>
  <cp:keywords/>
  <dc:description/>
  <cp:lastModifiedBy>Gyu-Ho Shin</cp:lastModifiedBy>
  <cp:revision>2</cp:revision>
  <dcterms:created xsi:type="dcterms:W3CDTF">2022-04-21T18:46:00Z</dcterms:created>
  <dcterms:modified xsi:type="dcterms:W3CDTF">2022-04-21T18:46:00Z</dcterms:modified>
</cp:coreProperties>
</file>