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Dataset</w:t>
      </w:r>
    </w:p>
    <w:p w:rsidR="00000000" w:rsidDel="00000000" w:rsidP="00000000" w:rsidRDefault="00000000" w:rsidRPr="00000000" w14:paraId="00000002">
      <w:pPr>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055"/>
        <w:gridCol w:w="2235"/>
        <w:gridCol w:w="2235"/>
        <w:tblGridChange w:id="0">
          <w:tblGrid>
            <w:gridCol w:w="2415"/>
            <w:gridCol w:w="2055"/>
            <w:gridCol w:w="223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Rejected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CVPR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NeurIPS(2023-2024)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ICLR(2023-2024)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750</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NeurIPS </w:t>
      </w:r>
    </w:p>
    <w:p w:rsidR="00000000" w:rsidDel="00000000" w:rsidP="00000000" w:rsidRDefault="00000000" w:rsidRPr="00000000" w14:paraId="00000015">
      <w:pPr>
        <w:rPr/>
      </w:pPr>
      <w:r w:rsidDel="00000000" w:rsidR="00000000" w:rsidRPr="00000000">
        <w:rPr>
          <w:rtl w:val="0"/>
        </w:rPr>
        <w:t xml:space="preserve">Accepted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Train : NeurIPS 2023년 Oral 67, Spotlight 133, Poster 100, NeurIPS 2024 Oral 61, Poster 119 -&gt; Total 480</w:t>
      </w:r>
    </w:p>
    <w:p w:rsidR="00000000" w:rsidDel="00000000" w:rsidP="00000000" w:rsidRDefault="00000000" w:rsidRPr="00000000" w14:paraId="00000017">
      <w:pPr>
        <w:rPr/>
      </w:pPr>
      <w:r w:rsidDel="00000000" w:rsidR="00000000" w:rsidRPr="00000000">
        <w:rPr>
          <w:rtl w:val="0"/>
        </w:rPr>
        <w:t xml:space="preserve">Test : NeurIPS 2024 Spotlight 120 </w:t>
      </w:r>
    </w:p>
    <w:p w:rsidR="00000000" w:rsidDel="00000000" w:rsidP="00000000" w:rsidRDefault="00000000" w:rsidRPr="00000000" w14:paraId="00000018">
      <w:pPr>
        <w:rPr/>
      </w:pPr>
      <w:r w:rsidDel="00000000" w:rsidR="00000000" w:rsidRPr="00000000">
        <w:rPr>
          <w:rtl w:val="0"/>
        </w:rPr>
        <w:t xml:space="preserve">-&gt; Total 120</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Rejected </w:t>
      </w:r>
    </w:p>
    <w:p w:rsidR="00000000" w:rsidDel="00000000" w:rsidP="00000000" w:rsidRDefault="00000000" w:rsidRPr="00000000" w14:paraId="0000001B">
      <w:pPr>
        <w:rPr/>
      </w:pPr>
      <w:r w:rsidDel="00000000" w:rsidR="00000000" w:rsidRPr="00000000">
        <w:rPr>
          <w:rtl w:val="0"/>
        </w:rPr>
        <w:t xml:space="preserve">Train : NeurIPS 2023 Rejected 120</w:t>
      </w:r>
    </w:p>
    <w:p w:rsidR="00000000" w:rsidDel="00000000" w:rsidP="00000000" w:rsidRDefault="00000000" w:rsidRPr="00000000" w14:paraId="0000001C">
      <w:pPr>
        <w:rPr/>
      </w:pPr>
      <w:r w:rsidDel="00000000" w:rsidR="00000000" w:rsidRPr="00000000">
        <w:rPr>
          <w:rtl w:val="0"/>
        </w:rPr>
        <w:t xml:space="preserve">Test : NeurIPS 2024 Rejected 30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ICLR </w:t>
      </w:r>
    </w:p>
    <w:p w:rsidR="00000000" w:rsidDel="00000000" w:rsidP="00000000" w:rsidRDefault="00000000" w:rsidRPr="00000000" w14:paraId="0000001F">
      <w:pPr>
        <w:rPr/>
      </w:pPr>
      <w:r w:rsidDel="00000000" w:rsidR="00000000" w:rsidRPr="00000000">
        <w:rPr>
          <w:rtl w:val="0"/>
        </w:rPr>
        <w:t xml:space="preserve">Accepted</w:t>
      </w:r>
    </w:p>
    <w:p w:rsidR="00000000" w:rsidDel="00000000" w:rsidP="00000000" w:rsidRDefault="00000000" w:rsidRPr="00000000" w14:paraId="00000020">
      <w:pPr>
        <w:rPr/>
      </w:pPr>
      <w:r w:rsidDel="00000000" w:rsidR="00000000" w:rsidRPr="00000000">
        <w:rPr>
          <w:rtl w:val="0"/>
        </w:rPr>
        <w:t xml:space="preserve">Train : ICLR 2024 Oral 85 Spotlight 114 Poster 101, ICLR 2025 Oral 90 Poster 90</w:t>
      </w:r>
    </w:p>
    <w:p w:rsidR="00000000" w:rsidDel="00000000" w:rsidP="00000000" w:rsidRDefault="00000000" w:rsidRPr="00000000" w14:paraId="00000021">
      <w:pPr>
        <w:rPr/>
      </w:pPr>
      <w:r w:rsidDel="00000000" w:rsidR="00000000" w:rsidRPr="00000000">
        <w:rPr>
          <w:rtl w:val="0"/>
        </w:rPr>
        <w:t xml:space="preserve">-&gt; Total 480</w:t>
      </w:r>
    </w:p>
    <w:p w:rsidR="00000000" w:rsidDel="00000000" w:rsidP="00000000" w:rsidRDefault="00000000" w:rsidRPr="00000000" w14:paraId="00000022">
      <w:pPr>
        <w:rPr/>
      </w:pPr>
      <w:r w:rsidDel="00000000" w:rsidR="00000000" w:rsidRPr="00000000">
        <w:rPr>
          <w:rtl w:val="0"/>
        </w:rPr>
        <w:t xml:space="preserve">Test : ICLR 2025 Spotlight 120</w:t>
      </w:r>
    </w:p>
    <w:p w:rsidR="00000000" w:rsidDel="00000000" w:rsidP="00000000" w:rsidRDefault="00000000" w:rsidRPr="00000000" w14:paraId="00000023">
      <w:pPr>
        <w:rPr/>
      </w:pPr>
      <w:r w:rsidDel="00000000" w:rsidR="00000000" w:rsidRPr="00000000">
        <w:rPr>
          <w:rtl w:val="0"/>
        </w:rPr>
        <w:t xml:space="preserve">-&gt; Total 120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Rejected </w:t>
      </w:r>
    </w:p>
    <w:p w:rsidR="00000000" w:rsidDel="00000000" w:rsidP="00000000" w:rsidRDefault="00000000" w:rsidRPr="00000000" w14:paraId="00000026">
      <w:pPr>
        <w:rPr/>
      </w:pPr>
      <w:r w:rsidDel="00000000" w:rsidR="00000000" w:rsidRPr="00000000">
        <w:rPr>
          <w:rtl w:val="0"/>
        </w:rPr>
        <w:t xml:space="preserve">Train : ICLR 2025 Rejected 120</w:t>
      </w:r>
    </w:p>
    <w:p w:rsidR="00000000" w:rsidDel="00000000" w:rsidP="00000000" w:rsidRDefault="00000000" w:rsidRPr="00000000" w14:paraId="00000027">
      <w:pPr>
        <w:rPr/>
      </w:pPr>
      <w:r w:rsidDel="00000000" w:rsidR="00000000" w:rsidRPr="00000000">
        <w:rPr>
          <w:rtl w:val="0"/>
        </w:rPr>
        <w:t xml:space="preserve">Test : ICLR 2024 Rejected 30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비율이 4:1인 이유는 3.7:1이라는 기존 논문의 방식에 따라 최대한 조정하였다.</w:t>
      </w:r>
    </w:p>
    <w:p w:rsidR="00000000" w:rsidDel="00000000" w:rsidP="00000000" w:rsidRDefault="00000000" w:rsidRPr="00000000" w14:paraId="0000002A">
      <w:pPr>
        <w:rPr>
          <w:b w:val="1"/>
          <w:sz w:val="30"/>
          <w:szCs w:val="30"/>
        </w:rPr>
      </w:pPr>
      <w:r w:rsidDel="00000000" w:rsidR="00000000" w:rsidRPr="00000000">
        <w:rPr>
          <w:rFonts w:ascii="Arial Unicode MS" w:cs="Arial Unicode MS" w:eastAsia="Arial Unicode MS" w:hAnsi="Arial Unicode MS"/>
          <w:rtl w:val="0"/>
        </w:rPr>
        <w:t xml:space="preserve">NeurIPS 데이터셋을 보면 대체적으로 Train 셋이 Test셋에 비해 1년 빨리 투고된 논문인데에 반해 ICLR에서 Rejected 데이터셋에서 Train 셋이 2025년이고 Test셋이 2024년 것인데 기존과 다른 이유는 ICLR 2024 Rejected 논문을 120개 크롤링하려 했으나 갯수가 86개이고, 그렇다고 2024년 2025년 논문을 같이 하기에는 번거롭다고 여겨 기존 계획(Train Dataset: 2024, Test Dataset: 2025)에서 변경했다.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