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핀테크 결제 데이터 그래프 분석 보고서</w:t>
      </w:r>
    </w:p>
    <w:p>
      <w:r>
        <w:t>데이터: data/01_핀테크결제_dirty.csv (음수 거래금액 25건 제외 후 집계)</w:t>
      </w:r>
    </w:p>
    <w:p>
      <w:pPr>
        <w:pStyle w:val="Heading2"/>
      </w:pPr>
      <w:r>
        <w:t>1. 가맹점업종별 거래금액 합계</w:t>
      </w:r>
    </w:p>
    <w:p>
      <w:r>
        <w:drawing>
          <wp:inline xmlns:a="http://schemas.openxmlformats.org/drawingml/2006/main" xmlns:pic="http://schemas.openxmlformats.org/drawingml/2006/picture">
            <wp:extent cx="540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업종별_거래금액_가로막대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업종</w:t>
            </w:r>
          </w:p>
        </w:tc>
        <w:tc>
          <w:tcPr>
            <w:tcW w:type="dxa" w:w="5100"/>
          </w:tcPr>
          <w:p>
            <w:r>
              <w:t>합계(원)</w:t>
            </w:r>
          </w:p>
        </w:tc>
      </w:tr>
      <w:tr>
        <w:tc>
          <w:tcPr>
            <w:tcW w:type="dxa" w:w="5100"/>
          </w:tcPr>
          <w:p>
            <w:r>
              <w:t>여행</w:t>
            </w:r>
          </w:p>
        </w:tc>
        <w:tc>
          <w:tcPr>
            <w:tcW w:type="dxa" w:w="5100"/>
          </w:tcPr>
          <w:p>
            <w:r>
              <w:t>128,208,298</w:t>
            </w:r>
          </w:p>
        </w:tc>
      </w:tr>
      <w:tr>
        <w:tc>
          <w:tcPr>
            <w:tcW w:type="dxa" w:w="5100"/>
          </w:tcPr>
          <w:p>
            <w:r>
              <w:t>쇼핑</w:t>
            </w:r>
          </w:p>
        </w:tc>
        <w:tc>
          <w:tcPr>
            <w:tcW w:type="dxa" w:w="5100"/>
          </w:tcPr>
          <w:p>
            <w:r>
              <w:t>122,386,699</w:t>
            </w:r>
          </w:p>
        </w:tc>
      </w:tr>
      <w:tr>
        <w:tc>
          <w:tcPr>
            <w:tcW w:type="dxa" w:w="5100"/>
          </w:tcPr>
          <w:p>
            <w:r>
              <w:t>교육</w:t>
            </w:r>
          </w:p>
        </w:tc>
        <w:tc>
          <w:tcPr>
            <w:tcW w:type="dxa" w:w="5100"/>
          </w:tcPr>
          <w:p>
            <w:r>
              <w:t>104,255,218</w:t>
            </w:r>
          </w:p>
        </w:tc>
      </w:tr>
      <w:tr>
        <w:tc>
          <w:tcPr>
            <w:tcW w:type="dxa" w:w="5100"/>
          </w:tcPr>
          <w:p>
            <w:r>
              <w:t>공과금</w:t>
            </w:r>
          </w:p>
        </w:tc>
        <w:tc>
          <w:tcPr>
            <w:tcW w:type="dxa" w:w="5100"/>
          </w:tcPr>
          <w:p>
            <w:r>
              <w:t>71,609,481</w:t>
            </w:r>
          </w:p>
        </w:tc>
      </w:tr>
      <w:tr>
        <w:tc>
          <w:tcPr>
            <w:tcW w:type="dxa" w:w="5100"/>
          </w:tcPr>
          <w:p>
            <w:r>
              <w:t>식음료</w:t>
            </w:r>
          </w:p>
        </w:tc>
        <w:tc>
          <w:tcPr>
            <w:tcW w:type="dxa" w:w="5100"/>
          </w:tcPr>
          <w:p>
            <w:r>
              <w:t>48,574,950</w:t>
            </w:r>
          </w:p>
        </w:tc>
      </w:tr>
      <w:tr>
        <w:tc>
          <w:tcPr>
            <w:tcW w:type="dxa" w:w="5100"/>
          </w:tcPr>
          <w:p>
            <w:r>
              <w:t>문화/여가</w:t>
            </w:r>
          </w:p>
        </w:tc>
        <w:tc>
          <w:tcPr>
            <w:tcW w:type="dxa" w:w="5100"/>
          </w:tcPr>
          <w:p>
            <w:r>
              <w:t>41,618,064</w:t>
            </w:r>
          </w:p>
        </w:tc>
      </w:tr>
      <w:tr>
        <w:tc>
          <w:tcPr>
            <w:tcW w:type="dxa" w:w="5100"/>
          </w:tcPr>
          <w:p>
            <w:r>
              <w:t>의료</w:t>
            </w:r>
          </w:p>
        </w:tc>
        <w:tc>
          <w:tcPr>
            <w:tcW w:type="dxa" w:w="5100"/>
          </w:tcPr>
          <w:p>
            <w:r>
              <w:t>40,073,188</w:t>
            </w:r>
          </w:p>
        </w:tc>
      </w:tr>
      <w:tr>
        <w:tc>
          <w:tcPr>
            <w:tcW w:type="dxa" w:w="5100"/>
          </w:tcPr>
          <w:p>
            <w:r>
              <w:t>기타</w:t>
            </w:r>
          </w:p>
        </w:tc>
        <w:tc>
          <w:tcPr>
            <w:tcW w:type="dxa" w:w="5100"/>
          </w:tcPr>
          <w:p>
            <w:r>
              <w:t>21,167,883</w:t>
            </w:r>
          </w:p>
        </w:tc>
      </w:tr>
      <w:tr>
        <w:tc>
          <w:tcPr>
            <w:tcW w:type="dxa" w:w="5100"/>
          </w:tcPr>
          <w:p>
            <w:r>
              <w:t>교통</w:t>
            </w:r>
          </w:p>
        </w:tc>
        <w:tc>
          <w:tcPr>
            <w:tcW w:type="dxa" w:w="5100"/>
          </w:tcPr>
          <w:p>
            <w:r>
              <w:t>5,315,040</w:t>
            </w:r>
          </w:p>
        </w:tc>
      </w:tr>
    </w:tbl>
    <w:p>
      <w:r>
        <w:rPr>
          <w:b/>
        </w:rPr>
        <w:t xml:space="preserve">시사점: </w:t>
      </w:r>
      <w:r>
        <w:t>여행·쇼핑·교육 상위 3개 업종이 전체 거래금액의 절반 이상을 차지한다. 교통은 결제 건수는 많지만 건당 금액이 작아 총액 기준으로는 가장 낮다 — 음수 거래금액(25건)을 제외하고 다시 집계했으며, 순위는 이전과 동일하다.</w:t>
      </w:r>
    </w:p>
    <w:p>
      <w:pPr>
        <w:pStyle w:val="Heading2"/>
      </w:pPr>
      <w:r>
        <w:t>2. 지역별 거래금액 합계</w:t>
      </w:r>
    </w:p>
    <w:p>
      <w:r>
        <w:drawing>
          <wp:inline xmlns:a="http://schemas.openxmlformats.org/drawingml/2006/main" xmlns:pic="http://schemas.openxmlformats.org/drawingml/2006/picture">
            <wp:extent cx="5400000" cy="3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지역별_거래금액_가로막대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시사점: </w:t>
      </w:r>
      <w:r>
        <w:t>서울(163.4M)과 경기(139.9M) 두 지역이 전체의 절반 이상을 차지하는 수도권 쏠림 현상이 뚜렷하다. 세종(5.5M)이 가장 낮은데, 이는 인구·상권 규모 자체가 작기 때문으로 보인다. (음수 거래금액 제외 반영)</w:t>
      </w:r>
    </w:p>
    <w:p>
      <w:pPr>
        <w:pStyle w:val="Heading2"/>
      </w:pPr>
      <w:r>
        <w:t>3. 결제수단별 거래금액 합계</w:t>
      </w:r>
    </w:p>
    <w:p>
      <w:r>
        <w:drawing>
          <wp:inline xmlns:a="http://schemas.openxmlformats.org/drawingml/2006/main" xmlns:pic="http://schemas.openxmlformats.org/drawingml/2006/picture">
            <wp:extent cx="540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결제수단별_거래금액_가로막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시사점: </w:t>
      </w:r>
      <w:r>
        <w:t>신용카드가 압도적 1위다. 다만 이 그래프는 원본 표기(공백 포함 ' 신용카드' 별도 항목) 그대로 집계한 것이라 신용카드 실제 비중이 과소평가되어 있다 — 정확한 비중은 4·5번 도넛/비율 차트를 참고.</w:t>
      </w:r>
    </w:p>
    <w:p>
      <w:pPr>
        <w:pStyle w:val="Heading2"/>
      </w:pPr>
      <w:r>
        <w:t>4. 결제수단별 건수 및 비율</w:t>
      </w:r>
    </w:p>
    <w:p>
      <w:r>
        <w:drawing>
          <wp:inline xmlns:a="http://schemas.openxmlformats.org/drawingml/2006/main" xmlns:pic="http://schemas.openxmlformats.org/drawingml/2006/picture">
            <wp:extent cx="540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결제수단별_건수_비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결제수단</w:t>
            </w:r>
          </w:p>
        </w:tc>
        <w:tc>
          <w:tcPr>
            <w:tcW w:type="dxa" w:w="3400"/>
          </w:tcPr>
          <w:p>
            <w:r>
              <w:t>건수</w:t>
            </w:r>
          </w:p>
        </w:tc>
        <w:tc>
          <w:tcPr>
            <w:tcW w:type="dxa" w:w="3400"/>
          </w:tcPr>
          <w:p>
            <w:r>
              <w:t>비율</w:t>
            </w:r>
          </w:p>
        </w:tc>
      </w:tr>
      <w:tr>
        <w:tc>
          <w:tcPr>
            <w:tcW w:type="dxa" w:w="3400"/>
          </w:tcPr>
          <w:p>
            <w:r>
              <w:t>신용카드</w:t>
            </w:r>
          </w:p>
        </w:tc>
        <w:tc>
          <w:tcPr>
            <w:tcW w:type="dxa" w:w="3400"/>
          </w:tcPr>
          <w:p>
            <w:r>
              <w:t>5,385</w:t>
            </w:r>
          </w:p>
        </w:tc>
        <w:tc>
          <w:tcPr>
            <w:tcW w:type="dxa" w:w="3400"/>
          </w:tcPr>
          <w:p>
            <w:r>
              <w:t>44.32%</w:t>
            </w:r>
          </w:p>
        </w:tc>
      </w:tr>
      <w:tr>
        <w:tc>
          <w:tcPr>
            <w:tcW w:type="dxa" w:w="3400"/>
          </w:tcPr>
          <w:p>
            <w:r>
              <w:t>체크카드</w:t>
            </w:r>
          </w:p>
        </w:tc>
        <w:tc>
          <w:tcPr>
            <w:tcW w:type="dxa" w:w="3400"/>
          </w:tcPr>
          <w:p>
            <w:r>
              <w:t>2,599</w:t>
            </w:r>
          </w:p>
        </w:tc>
        <w:tc>
          <w:tcPr>
            <w:tcW w:type="dxa" w:w="3400"/>
          </w:tcPr>
          <w:p>
            <w:r>
              <w:t>21.39%</w:t>
            </w:r>
          </w:p>
        </w:tc>
      </w:tr>
      <w:tr>
        <w:tc>
          <w:tcPr>
            <w:tcW w:type="dxa" w:w="3400"/>
          </w:tcPr>
          <w:p>
            <w:r>
              <w:t>계좌이체</w:t>
            </w:r>
          </w:p>
        </w:tc>
        <w:tc>
          <w:tcPr>
            <w:tcW w:type="dxa" w:w="3400"/>
          </w:tcPr>
          <w:p>
            <w:r>
              <w:t>1,930</w:t>
            </w:r>
          </w:p>
        </w:tc>
        <w:tc>
          <w:tcPr>
            <w:tcW w:type="dxa" w:w="3400"/>
          </w:tcPr>
          <w:p>
            <w:r>
              <w:t>15.88%</w:t>
            </w:r>
          </w:p>
        </w:tc>
      </w:tr>
      <w:tr>
        <w:tc>
          <w:tcPr>
            <w:tcW w:type="dxa" w:w="3400"/>
          </w:tcPr>
          <w:p>
            <w:r>
              <w:t>포인트결제</w:t>
            </w:r>
          </w:p>
        </w:tc>
        <w:tc>
          <w:tcPr>
            <w:tcW w:type="dxa" w:w="3400"/>
          </w:tcPr>
          <w:p>
            <w:r>
              <w:t>1,130</w:t>
            </w:r>
          </w:p>
        </w:tc>
        <w:tc>
          <w:tcPr>
            <w:tcW w:type="dxa" w:w="3400"/>
          </w:tcPr>
          <w:p>
            <w:r>
              <w:t>9.30%</w:t>
            </w:r>
          </w:p>
        </w:tc>
      </w:tr>
      <w:tr>
        <w:tc>
          <w:tcPr>
            <w:tcW w:type="dxa" w:w="3400"/>
          </w:tcPr>
          <w:p>
            <w:r>
              <w:t>휴대폰결제</w:t>
            </w:r>
          </w:p>
        </w:tc>
        <w:tc>
          <w:tcPr>
            <w:tcW w:type="dxa" w:w="3400"/>
          </w:tcPr>
          <w:p>
            <w:r>
              <w:t>761</w:t>
            </w:r>
          </w:p>
        </w:tc>
        <w:tc>
          <w:tcPr>
            <w:tcW w:type="dxa" w:w="3400"/>
          </w:tcPr>
          <w:p>
            <w:r>
              <w:t>6.26%</w:t>
            </w:r>
          </w:p>
        </w:tc>
      </w:tr>
      <w:tr>
        <w:tc>
          <w:tcPr>
            <w:tcW w:type="dxa" w:w="3400"/>
          </w:tcPr>
          <w:p>
            <w:r>
              <w:t>결측</w:t>
            </w:r>
          </w:p>
        </w:tc>
        <w:tc>
          <w:tcPr>
            <w:tcW w:type="dxa" w:w="3400"/>
          </w:tcPr>
          <w:p>
            <w:r>
              <w:t>345</w:t>
            </w:r>
          </w:p>
        </w:tc>
        <w:tc>
          <w:tcPr>
            <w:tcW w:type="dxa" w:w="3400"/>
          </w:tcPr>
          <w:p>
            <w:r>
              <w:t>2.84%</w:t>
            </w:r>
          </w:p>
        </w:tc>
      </w:tr>
    </w:tbl>
    <w:p>
      <w:r>
        <w:rPr>
          <w:b/>
        </w:rPr>
        <w:t xml:space="preserve">시사점: </w:t>
      </w:r>
      <w:r>
        <w:t>공백 표기 문제를 정리(strip())하고 나면 신용카드가 건수 기준 전체의 44%로 나머지 네 수단을 합친 것과 비슷한 규모다. 카드 기반 결제(신용+체크)가 전체의 66%에 달한다.</w:t>
      </w:r>
    </w:p>
    <w:p>
      <w:pPr>
        <w:pStyle w:val="Heading2"/>
      </w:pPr>
      <w:r>
        <w:t>5. 결제수단별 거래금액 비중 (도넛차트)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결제수단별_거래금액_도넛차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결제수단</w:t>
            </w:r>
          </w:p>
        </w:tc>
        <w:tc>
          <w:tcPr>
            <w:tcW w:type="dxa" w:w="2550"/>
          </w:tcPr>
          <w:p>
            <w:r>
              <w:t>합계(원)</w:t>
            </w:r>
          </w:p>
        </w:tc>
        <w:tc>
          <w:tcPr>
            <w:tcW w:type="dxa" w:w="2550"/>
          </w:tcPr>
          <w:p>
            <w:r>
              <w:t>비중</w:t>
            </w:r>
          </w:p>
        </w:tc>
        <w:tc>
          <w:tcPr>
            <w:tcW w:type="dxa" w:w="2550"/>
          </w:tcPr>
          <w:p>
            <w:r>
              <w:t>건수</w:t>
            </w:r>
          </w:p>
        </w:tc>
      </w:tr>
      <w:tr>
        <w:tc>
          <w:tcPr>
            <w:tcW w:type="dxa" w:w="2550"/>
          </w:tcPr>
          <w:p>
            <w:r>
              <w:t>신용카드</w:t>
            </w:r>
          </w:p>
        </w:tc>
        <w:tc>
          <w:tcPr>
            <w:tcW w:type="dxa" w:w="2550"/>
          </w:tcPr>
          <w:p>
            <w:r>
              <w:t>255,568,061</w:t>
            </w:r>
          </w:p>
        </w:tc>
        <w:tc>
          <w:tcPr>
            <w:tcW w:type="dxa" w:w="2550"/>
          </w:tcPr>
          <w:p>
            <w:r>
              <w:t>43.82%</w:t>
            </w:r>
          </w:p>
        </w:tc>
        <w:tc>
          <w:tcPr>
            <w:tcW w:type="dxa" w:w="2550"/>
          </w:tcPr>
          <w:p>
            <w:r>
              <w:t>5,255</w:t>
            </w:r>
          </w:p>
        </w:tc>
      </w:tr>
      <w:tr>
        <w:tc>
          <w:tcPr>
            <w:tcW w:type="dxa" w:w="2550"/>
          </w:tcPr>
          <w:p>
            <w:r>
              <w:t>체크카드</w:t>
            </w:r>
          </w:p>
        </w:tc>
        <w:tc>
          <w:tcPr>
            <w:tcW w:type="dxa" w:w="2550"/>
          </w:tcPr>
          <w:p>
            <w:r>
              <w:t>125,200,014</w:t>
            </w:r>
          </w:p>
        </w:tc>
        <w:tc>
          <w:tcPr>
            <w:tcW w:type="dxa" w:w="2550"/>
          </w:tcPr>
          <w:p>
            <w:r>
              <w:t>21.47%</w:t>
            </w:r>
          </w:p>
        </w:tc>
        <w:tc>
          <w:tcPr>
            <w:tcW w:type="dxa" w:w="2550"/>
          </w:tcPr>
          <w:p>
            <w:r>
              <w:t>2,550</w:t>
            </w:r>
          </w:p>
        </w:tc>
      </w:tr>
      <w:tr>
        <w:tc>
          <w:tcPr>
            <w:tcW w:type="dxa" w:w="2550"/>
          </w:tcPr>
          <w:p>
            <w:r>
              <w:t>계좌이체</w:t>
            </w:r>
          </w:p>
        </w:tc>
        <w:tc>
          <w:tcPr>
            <w:tcW w:type="dxa" w:w="2550"/>
          </w:tcPr>
          <w:p>
            <w:r>
              <w:t>93,764,209</w:t>
            </w:r>
          </w:p>
        </w:tc>
        <w:tc>
          <w:tcPr>
            <w:tcW w:type="dxa" w:w="2550"/>
          </w:tcPr>
          <w:p>
            <w:r>
              <w:t>16.08%</w:t>
            </w:r>
          </w:p>
        </w:tc>
        <w:tc>
          <w:tcPr>
            <w:tcW w:type="dxa" w:w="2550"/>
          </w:tcPr>
          <w:p>
            <w:r>
              <w:t>1,892</w:t>
            </w:r>
          </w:p>
        </w:tc>
      </w:tr>
      <w:tr>
        <w:tc>
          <w:tcPr>
            <w:tcW w:type="dxa" w:w="2550"/>
          </w:tcPr>
          <w:p>
            <w:r>
              <w:t>포인트결제</w:t>
            </w:r>
          </w:p>
        </w:tc>
        <w:tc>
          <w:tcPr>
            <w:tcW w:type="dxa" w:w="2550"/>
          </w:tcPr>
          <w:p>
            <w:r>
              <w:t>54,477,458</w:t>
            </w:r>
          </w:p>
        </w:tc>
        <w:tc>
          <w:tcPr>
            <w:tcW w:type="dxa" w:w="2550"/>
          </w:tcPr>
          <w:p>
            <w:r>
              <w:t>9.34%</w:t>
            </w:r>
          </w:p>
        </w:tc>
        <w:tc>
          <w:tcPr>
            <w:tcW w:type="dxa" w:w="2550"/>
          </w:tcPr>
          <w:p>
            <w:r>
              <w:t>1,098</w:t>
            </w:r>
          </w:p>
        </w:tc>
      </w:tr>
      <w:tr>
        <w:tc>
          <w:tcPr>
            <w:tcW w:type="dxa" w:w="2550"/>
          </w:tcPr>
          <w:p>
            <w:r>
              <w:t>휴대폰결제</w:t>
            </w:r>
          </w:p>
        </w:tc>
        <w:tc>
          <w:tcPr>
            <w:tcW w:type="dxa" w:w="2550"/>
          </w:tcPr>
          <w:p>
            <w:r>
              <w:t>35,706,040</w:t>
            </w:r>
          </w:p>
        </w:tc>
        <w:tc>
          <w:tcPr>
            <w:tcW w:type="dxa" w:w="2550"/>
          </w:tcPr>
          <w:p>
            <w:r>
              <w:t>6.12%</w:t>
            </w:r>
          </w:p>
        </w:tc>
        <w:tc>
          <w:tcPr>
            <w:tcW w:type="dxa" w:w="2550"/>
          </w:tcPr>
          <w:p>
            <w:r>
              <w:t>730</w:t>
            </w:r>
          </w:p>
        </w:tc>
      </w:tr>
      <w:tr>
        <w:tc>
          <w:tcPr>
            <w:tcW w:type="dxa" w:w="2550"/>
          </w:tcPr>
          <w:p>
            <w:r>
              <w:t>결측</w:t>
            </w:r>
          </w:p>
        </w:tc>
        <w:tc>
          <w:tcPr>
            <w:tcW w:type="dxa" w:w="2550"/>
          </w:tcPr>
          <w:p>
            <w:r>
              <w:t>18,493,039</w:t>
            </w:r>
          </w:p>
        </w:tc>
        <w:tc>
          <w:tcPr>
            <w:tcW w:type="dxa" w:w="2550"/>
          </w:tcPr>
          <w:p>
            <w:r>
              <w:t>3.17%</w:t>
            </w:r>
          </w:p>
        </w:tc>
        <w:tc>
          <w:tcPr>
            <w:tcW w:type="dxa" w:w="2550"/>
          </w:tcPr>
          <w:p>
            <w:r>
              <w:t>335</w:t>
            </w:r>
          </w:p>
        </w:tc>
      </w:tr>
      <w:tr>
        <w:tc>
          <w:tcPr>
            <w:tcW w:type="dxa" w:w="2550"/>
          </w:tcPr>
          <w:p>
            <w:r>
              <w:t>전체</w:t>
            </w:r>
          </w:p>
        </w:tc>
        <w:tc>
          <w:tcPr>
            <w:tcW w:type="dxa" w:w="2550"/>
          </w:tcPr>
          <w:p>
            <w:r>
              <w:t>583,208,821</w:t>
            </w:r>
          </w:p>
        </w:tc>
        <w:tc>
          <w:tcPr>
            <w:tcW w:type="dxa" w:w="2550"/>
          </w:tcPr>
          <w:p>
            <w:r>
              <w:t>100%</w:t>
            </w:r>
          </w:p>
        </w:tc>
        <w:tc>
          <w:tcPr>
            <w:tcW w:type="dxa" w:w="2550"/>
          </w:tcPr>
          <w:p>
            <w:r>
              <w:t>11,860</w:t>
            </w:r>
          </w:p>
        </w:tc>
      </w:tr>
    </w:tbl>
    <w:p>
      <w:r>
        <w:rPr>
          <w:b/>
        </w:rPr>
        <w:t xml:space="preserve">시사점: </w:t>
      </w:r>
      <w:r>
        <w:t>도넛 조각마다 비율과 건수를 함께 표시했고, 가운데에는 전체 건수(11,860건, 음수 25건 제외)를 넣었다. 건수 비중(44.32%)과 금액 비중(43.82%)이 거의 같다 — 신용카드는 건당 평균 금액도 다른 수단과 비슷한 수준이라는 뜻이다.</w:t>
      </w:r>
    </w:p>
    <w:p>
      <w:pPr>
        <w:pStyle w:val="Heading2"/>
      </w:pPr>
      <w:r>
        <w:t>6. 연령대별 거래금액 합계</w:t>
      </w:r>
    </w:p>
    <w:p>
      <w:r>
        <w:drawing>
          <wp:inline xmlns:a="http://schemas.openxmlformats.org/drawingml/2006/main" xmlns:pic="http://schemas.openxmlformats.org/drawingml/2006/picture">
            <wp:extent cx="540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연령대별_거래금액_가로막대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연령대</w:t>
            </w:r>
          </w:p>
        </w:tc>
        <w:tc>
          <w:tcPr>
            <w:tcW w:type="dxa" w:w="5100"/>
          </w:tcPr>
          <w:p>
            <w:r>
              <w:t>합계(원)</w:t>
            </w:r>
          </w:p>
        </w:tc>
      </w:tr>
      <w:tr>
        <w:tc>
          <w:tcPr>
            <w:tcW w:type="dxa" w:w="5100"/>
          </w:tcPr>
          <w:p>
            <w:r>
              <w:t>30대</w:t>
            </w:r>
          </w:p>
        </w:tc>
        <w:tc>
          <w:tcPr>
            <w:tcW w:type="dxa" w:w="5100"/>
          </w:tcPr>
          <w:p>
            <w:r>
              <w:t>158,940,863</w:t>
            </w:r>
          </w:p>
        </w:tc>
      </w:tr>
      <w:tr>
        <w:tc>
          <w:tcPr>
            <w:tcW w:type="dxa" w:w="5100"/>
          </w:tcPr>
          <w:p>
            <w:r>
              <w:t>20대</w:t>
            </w:r>
          </w:p>
        </w:tc>
        <w:tc>
          <w:tcPr>
            <w:tcW w:type="dxa" w:w="5100"/>
          </w:tcPr>
          <w:p>
            <w:r>
              <w:t>150,660,951</w:t>
            </w:r>
          </w:p>
        </w:tc>
      </w:tr>
      <w:tr>
        <w:tc>
          <w:tcPr>
            <w:tcW w:type="dxa" w:w="5100"/>
          </w:tcPr>
          <w:p>
            <w:r>
              <w:t>40대</w:t>
            </w:r>
          </w:p>
        </w:tc>
        <w:tc>
          <w:tcPr>
            <w:tcW w:type="dxa" w:w="5100"/>
          </w:tcPr>
          <w:p>
            <w:r>
              <w:t>104,330,211</w:t>
            </w:r>
          </w:p>
        </w:tc>
      </w:tr>
      <w:tr>
        <w:tc>
          <w:tcPr>
            <w:tcW w:type="dxa" w:w="5100"/>
          </w:tcPr>
          <w:p>
            <w:r>
              <w:t>50대</w:t>
            </w:r>
          </w:p>
        </w:tc>
        <w:tc>
          <w:tcPr>
            <w:tcW w:type="dxa" w:w="5100"/>
          </w:tcPr>
          <w:p>
            <w:r>
              <w:t>70,982,058</w:t>
            </w:r>
          </w:p>
        </w:tc>
      </w:tr>
      <w:tr>
        <w:tc>
          <w:tcPr>
            <w:tcW w:type="dxa" w:w="5100"/>
          </w:tcPr>
          <w:p>
            <w:r>
              <w:t>60대 이상</w:t>
            </w:r>
          </w:p>
        </w:tc>
        <w:tc>
          <w:tcPr>
            <w:tcW w:type="dxa" w:w="5100"/>
          </w:tcPr>
          <w:p>
            <w:r>
              <w:t>33,895,591</w:t>
            </w:r>
          </w:p>
        </w:tc>
      </w:tr>
      <w:tr>
        <w:tc>
          <w:tcPr>
            <w:tcW w:type="dxa" w:w="5100"/>
          </w:tcPr>
          <w:p>
            <w:r>
              <w:t>10대</w:t>
            </w:r>
          </w:p>
        </w:tc>
        <w:tc>
          <w:tcPr>
            <w:tcW w:type="dxa" w:w="5100"/>
          </w:tcPr>
          <w:p>
            <w:r>
              <w:t>27,137,422</w:t>
            </w:r>
          </w:p>
        </w:tc>
      </w:tr>
    </w:tbl>
    <w:p>
      <w:r>
        <w:rPr>
          <w:b/>
        </w:rPr>
        <w:t xml:space="preserve">시사점: </w:t>
      </w:r>
      <w:r>
        <w:t>20~30대가 전체 거래금액의 절반 가까이를 차지해 핵심 소비층임을 보여준다. 연령대가 올라갈수록(40대 이후) 완만하게 감소하는 패턴이다.</w:t>
      </w:r>
    </w:p>
    <w:p>
      <w:pPr>
        <w:pStyle w:val="Heading2"/>
      </w:pPr>
      <w:r>
        <w:t>7. 연월별 거래금액 합계 추이</w:t>
      </w:r>
    </w:p>
    <w:p>
      <w:r>
        <w:drawing>
          <wp:inline xmlns:a="http://schemas.openxmlformats.org/drawingml/2006/main" xmlns:pic="http://schemas.openxmlformats.org/drawingml/2006/picture">
            <wp:extent cx="540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연월별_거래금액_라인차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시사점: </w:t>
      </w:r>
      <w:r>
        <w:t>월별 합계가 43.5M~55.2M원 사이에서 등락하며 뚜렷한 상승/하락 추세나 계절성은 보이지 않는다. 최댓값은 3월(55.2M), 최솟값은 10월(43.5M)로 음수 제외 전과 순위가 같다.</w:t>
      </w:r>
    </w:p>
    <w:p>
      <w:pPr>
        <w:pStyle w:val="Heading2"/>
      </w:pPr>
      <w:r>
        <w:t>종합 요약</w:t>
      </w:r>
    </w:p>
    <w:p>
      <w:r>
        <w:t>업종·지역·연령대 모두 뚜렷한 쏠림(여행/쇼핑, 서울/경기, 20~30대)이 있어 상위 카테고리 중심 전략이 유효해 보인다. 결제수단은 신용카드 비중이 압도적이지만, 원본 데이터의 공백 표기 문제 때문에 정리 전/후 집계 결과가 달라진다는 점을 유의해야 한다. 시간 흐름(연월)에는 특별한 추세가 없어, 계절성보다는 카테고리·지역·연령 요인이 거래금액을 설명하는 더 중요한 변수로 보인다.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