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드론 진로 탐색 대시보드</w:t>
        <w:br/>
        <w:t>프로젝트 기획서</w:t>
      </w:r>
    </w:p>
    <w:p>
      <w:pPr>
        <w:pStyle w:val="Heading1"/>
      </w:pPr>
      <w:r>
        <w:t>1 프로젝트 개요</w:t>
      </w:r>
    </w:p>
    <w:p>
      <w:r>
        <w:t>드론 산업과 직무에 관심 있는 이용자가 산업을 이해하고, 관심 직무에 필요한 역량과 채용 조건을 살펴본 뒤 자신의 취업 준비 방향을 정할 수 있도록 지원하는 정보 탐색형 대시보드 구축</w:t>
      </w:r>
    </w:p>
    <w:p>
      <w:pPr>
        <w:pStyle w:val="ListBullet"/>
        <w:spacing w:after="100"/>
      </w:pPr>
      <w:r>
        <w:t>서비스 범위: 산업·직무·역량·교육·기업·채용 정보를 이용자의 질문에 따라 연결</w:t>
      </w:r>
    </w:p>
    <w:p>
      <w:pPr>
        <w:pStyle w:val="ListBullet"/>
        <w:spacing w:after="100"/>
      </w:pPr>
      <w:r>
        <w:t>핵심 가치: 분산된 정보를 진로 선택과 구체적인 준비 행동에 활용할 수 있도록 재구성</w:t>
      </w:r>
    </w:p>
    <w:p>
      <w:pPr>
        <w:pStyle w:val="Heading1"/>
      </w:pPr>
      <w:r>
        <w:t>2 기획 배경과 목적</w:t>
      </w:r>
    </w:p>
    <w:p>
      <w:pPr>
        <w:pStyle w:val="ListBullet"/>
        <w:spacing w:after="100"/>
      </w:pPr>
      <w:r>
        <w:t>탐색 부담 완화: 산업 통계, 직무 설명, 교육 정보, 채용공고를 함께 살펴볼 수 있는 탐색 경로 마련</w:t>
      </w:r>
    </w:p>
    <w:p>
      <w:pPr>
        <w:pStyle w:val="ListBullet"/>
        <w:spacing w:after="100"/>
      </w:pPr>
      <w:r>
        <w:t>직무 선택 지원: 조종 외 개발·설계·정비·활용·사업지원 등 다양한 업무와 진출 분야 제시</w:t>
      </w:r>
    </w:p>
    <w:p>
      <w:pPr>
        <w:pStyle w:val="ListBullet"/>
        <w:spacing w:after="100"/>
      </w:pPr>
      <w:r>
        <w:t>준비 방향 구체화: 관심 직무의 기술·지식·자격과 학습 기회를 연결하여 준비 우선순위 판단 지원</w:t>
      </w:r>
    </w:p>
    <w:p>
      <w:pPr>
        <w:pStyle w:val="ListBullet"/>
        <w:spacing w:after="100"/>
      </w:pPr>
      <w:r>
        <w:t>현실적인 조건 확인: 수집 공고의 경력·학력·지역과 기업 사업 정보를 통해 목표 직무의 조건 이해 지원</w:t>
      </w:r>
    </w:p>
    <w:p>
      <w:pPr>
        <w:pStyle w:val="Heading1"/>
      </w:pPr>
      <w:r>
        <w:t>3 주요 타겟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95" w:type="dxa"/>
              <w:bottom w:w="95" w:type="dxa"/>
              <w:left w:w="100" w:type="dxa"/>
              <w:right w:w="100" w:type="dxa"/>
            </w:tcMar>
            <w:shd w:fill="233D52"/>
          </w:tcPr>
          <w:p>
            <w:pPr>
              <w:spacing w:after="0" w:line="300" w:lineRule="exact"/>
              <w:jc w:val="center"/>
            </w:pPr>
            <w:r>
              <w:rPr>
                <w:b/>
                <w:color w:val="FFFFFF"/>
                <w:sz w:val="21"/>
              </w:rPr>
              <w:t>대상</w:t>
            </w:r>
          </w:p>
        </w:tc>
        <w:tc>
          <w:tcPr>
            <w:tcW w:type="dxa" w:w="7344"/>
            <w:vAlign w:val="center"/>
            <w:tcMar>
              <w:top w:w="95" w:type="dxa"/>
              <w:bottom w:w="95" w:type="dxa"/>
              <w:left w:w="100" w:type="dxa"/>
              <w:right w:w="100" w:type="dxa"/>
            </w:tcMar>
            <w:shd w:fill="233D52"/>
          </w:tcPr>
          <w:p>
            <w:pPr>
              <w:spacing w:after="0" w:line="300" w:lineRule="exact"/>
              <w:jc w:val="center"/>
            </w:pPr>
            <w:r>
              <w:rPr>
                <w:b/>
                <w:color w:val="FFFFFF"/>
                <w:sz w:val="21"/>
              </w:rPr>
              <w:t>핵심 필요</w:t>
            </w:r>
          </w:p>
        </w:tc>
      </w:tr>
      <w:tr>
        <w:trPr>
          <w:cantSplit/>
        </w:trPr>
        <w:tc>
          <w:tcPr>
            <w:tcW w:type="dxa" w:w="2880"/>
            <w:vAlign w:val="center"/>
            <w:tcMar>
              <w:top w:w="95" w:type="dxa"/>
              <w:bottom w:w="95" w:type="dxa"/>
              <w:left w:w="100" w:type="dxa"/>
              <w:right w:w="100" w:type="dxa"/>
            </w:tcMar>
            <w:shd w:fill="FFFFFF"/>
          </w:tcPr>
          <w:p>
            <w:pPr>
              <w:spacing w:after="0" w:line="300" w:lineRule="exact"/>
              <w:jc w:val="center"/>
            </w:pPr>
            <w:r>
              <w:rPr>
                <w:b/>
                <w:color w:val="000000"/>
                <w:sz w:val="21"/>
              </w:rPr>
              <w:t>진로 탐색 학생·입문자</w:t>
            </w:r>
          </w:p>
        </w:tc>
        <w:tc>
          <w:tcPr>
            <w:tcW w:type="dxa" w:w="7344"/>
            <w:vAlign w:val="center"/>
            <w:tcMar>
              <w:top w:w="95" w:type="dxa"/>
              <w:bottom w:w="95" w:type="dxa"/>
              <w:left w:w="100" w:type="dxa"/>
              <w:right w:w="100" w:type="dxa"/>
            </w:tcMar>
            <w:shd w:fill="FFFFFF"/>
          </w:tcPr>
          <w:p>
            <w:pPr>
              <w:spacing w:after="0" w:line="300" w:lineRule="exact"/>
              <w:jc w:val="left"/>
            </w:pPr>
            <w:r>
              <w:rPr>
                <w:b w:val="0"/>
                <w:color w:val="000000"/>
                <w:sz w:val="21"/>
              </w:rPr>
              <w:t>산업 활용 분야와 다양한 직무 이해, 관심 진로 발견</w:t>
            </w:r>
          </w:p>
        </w:tc>
      </w:tr>
      <w:tr>
        <w:trPr>
          <w:cantSplit/>
        </w:trPr>
        <w:tc>
          <w:tcPr>
            <w:tcW w:type="dxa" w:w="2880"/>
            <w:vAlign w:val="center"/>
            <w:tcMar>
              <w:top w:w="95" w:type="dxa"/>
              <w:bottom w:w="95" w:type="dxa"/>
              <w:left w:w="100" w:type="dxa"/>
              <w:right w:w="100" w:type="dxa"/>
            </w:tcMar>
            <w:shd w:fill="F3F6F8"/>
          </w:tcPr>
          <w:p>
            <w:pPr>
              <w:spacing w:after="0" w:line="300" w:lineRule="exact"/>
              <w:jc w:val="center"/>
            </w:pPr>
            <w:r>
              <w:rPr>
                <w:b/>
                <w:color w:val="000000"/>
                <w:sz w:val="21"/>
              </w:rPr>
              <w:t>취업준비생</w:t>
            </w:r>
          </w:p>
        </w:tc>
        <w:tc>
          <w:tcPr>
            <w:tcW w:type="dxa" w:w="7344"/>
            <w:vAlign w:val="center"/>
            <w:tcMar>
              <w:top w:w="95" w:type="dxa"/>
              <w:bottom w:w="95" w:type="dxa"/>
              <w:left w:w="100" w:type="dxa"/>
              <w:right w:w="100" w:type="dxa"/>
            </w:tcMar>
            <w:shd w:fill="F3F6F8"/>
          </w:tcPr>
          <w:p>
            <w:pPr>
              <w:spacing w:after="0" w:line="300" w:lineRule="exact"/>
              <w:jc w:val="left"/>
            </w:pPr>
            <w:r>
              <w:rPr>
                <w:b w:val="0"/>
                <w:color w:val="000000"/>
                <w:sz w:val="21"/>
              </w:rPr>
              <w:t>직무별 준비 역량 파악, 교육·프로젝트 탐색, 채용 조건 확인</w:t>
            </w:r>
          </w:p>
        </w:tc>
      </w:tr>
      <w:tr>
        <w:trPr>
          <w:cantSplit/>
        </w:trPr>
        <w:tc>
          <w:tcPr>
            <w:tcW w:type="dxa" w:w="2880"/>
            <w:vAlign w:val="center"/>
            <w:tcMar>
              <w:top w:w="95" w:type="dxa"/>
              <w:bottom w:w="95" w:type="dxa"/>
              <w:left w:w="100" w:type="dxa"/>
              <w:right w:w="100" w:type="dxa"/>
            </w:tcMar>
            <w:shd w:fill="FFFFFF"/>
          </w:tcPr>
          <w:p>
            <w:pPr>
              <w:spacing w:after="0" w:line="300" w:lineRule="exact"/>
              <w:jc w:val="center"/>
            </w:pPr>
            <w:r>
              <w:rPr>
                <w:b/>
                <w:color w:val="000000"/>
                <w:sz w:val="21"/>
              </w:rPr>
              <w:t>인접 전공·직무 전환 희망자</w:t>
            </w:r>
          </w:p>
        </w:tc>
        <w:tc>
          <w:tcPr>
            <w:tcW w:type="dxa" w:w="7344"/>
            <w:vAlign w:val="center"/>
            <w:tcMar>
              <w:top w:w="95" w:type="dxa"/>
              <w:bottom w:w="95" w:type="dxa"/>
              <w:left w:w="100" w:type="dxa"/>
              <w:right w:w="100" w:type="dxa"/>
            </w:tcMar>
            <w:shd w:fill="FFFFFF"/>
          </w:tcPr>
          <w:p>
            <w:pPr>
              <w:spacing w:after="0" w:line="300" w:lineRule="exact"/>
              <w:jc w:val="left"/>
            </w:pPr>
            <w:r>
              <w:rPr>
                <w:b w:val="0"/>
                <w:color w:val="000000"/>
                <w:sz w:val="21"/>
              </w:rPr>
              <w:t>보유 역량과 연결되는 직무 탐색, 추가 학습 항목 파악</w:t>
            </w:r>
          </w:p>
        </w:tc>
      </w:tr>
    </w:tbl>
    <w:p>
      <w:pPr>
        <w:spacing w:after="0"/>
      </w:pPr>
      <w:r/>
    </w:p>
    <w:p>
      <w:pPr>
        <w:pStyle w:val="Heading1"/>
      </w:pPr>
      <w:r>
        <w:t>4 기대효과</w:t>
      </w:r>
    </w:p>
    <w:p>
      <w:pPr>
        <w:pStyle w:val="ListBullet"/>
        <w:spacing w:after="100"/>
      </w:pPr>
      <w:r>
        <w:t>산업 이해 확대: 활용 분야와 실제 업무 사례를 통해 드론 산업에 대한 이해와 진로 관심 확대</w:t>
      </w:r>
    </w:p>
    <w:p>
      <w:pPr>
        <w:pStyle w:val="ListBullet"/>
        <w:spacing w:after="100"/>
      </w:pPr>
      <w:r>
        <w:t>선택 기준 확보: 관심·보유 역량·채용 조건을 함께 고려한 직무 및 기업 탐색 지원</w:t>
      </w:r>
    </w:p>
    <w:p>
      <w:pPr>
        <w:pStyle w:val="ListBullet"/>
        <w:spacing w:after="100"/>
      </w:pPr>
      <w:r>
        <w:t>준비 효율 향상: 목표 직무에 관련된 학습·교육·프로젝트를 연결하여 준비 방향의 구체화 기대</w:t>
      </w:r>
    </w:p>
    <w:p>
      <w:pPr>
        <w:pStyle w:val="ListBullet"/>
        <w:spacing w:after="100"/>
      </w:pPr>
      <w:r>
        <w:t>실행 가능한 계획 마련: 정보 탐색 결과를 다음 학습과 지원 조건 확인으로 이어지는 준비 로드맵으로 정리</w:t>
      </w:r>
    </w:p>
    <w:p>
      <w:pPr>
        <w:pStyle w:val="Heading1"/>
        <w:pageBreakBefore/>
      </w:pPr>
      <w:r>
        <w:t>5 프로젝트 흐름과 데이터 활용</w:t>
      </w:r>
    </w:p>
    <w:p>
      <w:r>
        <w:rPr>
          <w:b/>
        </w:rPr>
        <w:t>산업 이해 → 직무 탐색 → 준비 역량 → 실제 채용 → 취업 준비 로드맵</w:t>
      </w:r>
      <w:r/>
    </w:p>
    <w:p>
      <w:r>
        <w:t>관심 직무와 활용 분야를 중심으로 정보를 연결하고, 단계별 탐색 결과를 마지막 준비 계획에 반영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2923"/>
        <w:gridCol w:w="2808"/>
        <w:gridCol w:w="3024"/>
      </w:tblGrid>
      <w:tr>
        <w:trPr>
          <w:cantSplit/>
          <w:tblHeader/>
        </w:trPr>
        <w:tc>
          <w:tcPr>
            <w:tcW w:type="dxa" w:w="1469"/>
            <w:vAlign w:val="center"/>
            <w:tcMar>
              <w:top w:w="95" w:type="dxa"/>
              <w:bottom w:w="95" w:type="dxa"/>
              <w:left w:w="100" w:type="dxa"/>
              <w:right w:w="100" w:type="dxa"/>
            </w:tcMar>
            <w:shd w:fill="233D52"/>
          </w:tcPr>
          <w:p>
            <w:pPr>
              <w:spacing w:after="0" w:line="300" w:lineRule="exact"/>
              <w:jc w:val="center"/>
            </w:pPr>
            <w:r>
              <w:rPr>
                <w:b/>
                <w:color w:val="FFFFFF"/>
                <w:sz w:val="20"/>
              </w:rPr>
              <w:t>단계</w:t>
            </w:r>
          </w:p>
        </w:tc>
        <w:tc>
          <w:tcPr>
            <w:tcW w:type="dxa" w:w="2923"/>
            <w:vAlign w:val="center"/>
            <w:tcMar>
              <w:top w:w="95" w:type="dxa"/>
              <w:bottom w:w="95" w:type="dxa"/>
              <w:left w:w="100" w:type="dxa"/>
              <w:right w:w="100" w:type="dxa"/>
            </w:tcMar>
            <w:shd w:fill="233D52"/>
          </w:tcPr>
          <w:p>
            <w:pPr>
              <w:spacing w:after="0" w:line="300" w:lineRule="exact"/>
              <w:jc w:val="center"/>
            </w:pPr>
            <w:r>
              <w:rPr>
                <w:b/>
                <w:color w:val="FFFFFF"/>
                <w:sz w:val="20"/>
              </w:rPr>
              <w:t>활용 데이터</w:t>
            </w:r>
          </w:p>
        </w:tc>
        <w:tc>
          <w:tcPr>
            <w:tcW w:type="dxa" w:w="2808"/>
            <w:vAlign w:val="center"/>
            <w:tcMar>
              <w:top w:w="95" w:type="dxa"/>
              <w:bottom w:w="95" w:type="dxa"/>
              <w:left w:w="100" w:type="dxa"/>
              <w:right w:w="100" w:type="dxa"/>
            </w:tcMar>
            <w:shd w:fill="233D52"/>
          </w:tcPr>
          <w:p>
            <w:pPr>
              <w:spacing w:after="0" w:line="300" w:lineRule="exact"/>
              <w:jc w:val="center"/>
            </w:pPr>
            <w:r>
              <w:rPr>
                <w:b/>
                <w:color w:val="FFFFFF"/>
                <w:sz w:val="20"/>
              </w:rPr>
              <w:t>활용 목적</w:t>
            </w:r>
          </w:p>
        </w:tc>
        <w:tc>
          <w:tcPr>
            <w:tcW w:type="dxa" w:w="3024"/>
            <w:vAlign w:val="center"/>
            <w:tcMar>
              <w:top w:w="95" w:type="dxa"/>
              <w:bottom w:w="95" w:type="dxa"/>
              <w:left w:w="100" w:type="dxa"/>
              <w:right w:w="100" w:type="dxa"/>
            </w:tcMar>
            <w:shd w:fill="233D52"/>
          </w:tcPr>
          <w:p>
            <w:pPr>
              <w:spacing w:after="0" w:line="300" w:lineRule="exact"/>
              <w:jc w:val="center"/>
            </w:pPr>
            <w:r>
              <w:rPr>
                <w:b/>
                <w:color w:val="FFFFFF"/>
                <w:sz w:val="20"/>
              </w:rPr>
              <w:t>다음 단계 연결</w:t>
            </w:r>
          </w:p>
        </w:tc>
      </w:tr>
      <w:tr>
        <w:trPr>
          <w:cantSplit/>
        </w:trPr>
        <w:tc>
          <w:tcPr>
            <w:tcW w:type="dxa" w:w="1469"/>
            <w:vAlign w:val="center"/>
            <w:tcMar>
              <w:top w:w="95" w:type="dxa"/>
              <w:bottom w:w="95" w:type="dxa"/>
              <w:left w:w="100" w:type="dxa"/>
              <w:right w:w="100" w:type="dxa"/>
            </w:tcMar>
            <w:shd w:fill="FFFFFF"/>
          </w:tcPr>
          <w:p>
            <w:pPr>
              <w:spacing w:after="0" w:line="300" w:lineRule="exact"/>
              <w:jc w:val="center"/>
            </w:pPr>
            <w:r>
              <w:rPr>
                <w:b/>
                <w:color w:val="000000"/>
                <w:sz w:val="20"/>
              </w:rPr>
              <w:t>1 산업 이해</w:t>
            </w:r>
          </w:p>
        </w:tc>
        <w:tc>
          <w:tcPr>
            <w:tcW w:type="dxa" w:w="2923"/>
            <w:vAlign w:val="center"/>
            <w:tcMar>
              <w:top w:w="95" w:type="dxa"/>
              <w:bottom w:w="95" w:type="dxa"/>
              <w:left w:w="100" w:type="dxa"/>
              <w:right w:w="100" w:type="dxa"/>
            </w:tcMar>
            <w:shd w:fill="FFFFFF"/>
          </w:tcPr>
          <w:p>
            <w:pPr>
              <w:spacing w:after="0" w:line="300" w:lineRule="exact"/>
              <w:jc w:val="left"/>
            </w:pPr>
            <w:r>
              <w:rPr>
                <w:b w:val="0"/>
                <w:color w:val="000000"/>
                <w:sz w:val="20"/>
              </w:rPr>
              <w:t>산업 규모·활용 통계</w:t>
              <w:br/>
              <w:t>연구개발·특허·조달</w:t>
              <w:br/>
              <w:t>국방 기술·사업 자료</w:t>
            </w:r>
          </w:p>
        </w:tc>
        <w:tc>
          <w:tcPr>
            <w:tcW w:type="dxa" w:w="2808"/>
            <w:vAlign w:val="center"/>
            <w:tcMar>
              <w:top w:w="95" w:type="dxa"/>
              <w:bottom w:w="95" w:type="dxa"/>
              <w:left w:w="100" w:type="dxa"/>
              <w:right w:w="100" w:type="dxa"/>
            </w:tcMar>
            <w:shd w:fill="FFFFFF"/>
          </w:tcPr>
          <w:p>
            <w:pPr>
              <w:spacing w:after="0" w:line="300" w:lineRule="exact"/>
              <w:jc w:val="left"/>
            </w:pPr>
            <w:r>
              <w:rPr>
                <w:b w:val="0"/>
                <w:color w:val="000000"/>
                <w:sz w:val="20"/>
              </w:rPr>
              <w:t>산업의 구조와 변화,</w:t>
              <w:br/>
              <w:t>주요 활용 분야 이해</w:t>
            </w:r>
          </w:p>
        </w:tc>
        <w:tc>
          <w:tcPr>
            <w:tcW w:type="dxa" w:w="3024"/>
            <w:vAlign w:val="center"/>
            <w:tcMar>
              <w:top w:w="95" w:type="dxa"/>
              <w:bottom w:w="95" w:type="dxa"/>
              <w:left w:w="100" w:type="dxa"/>
              <w:right w:w="100" w:type="dxa"/>
            </w:tcMar>
            <w:shd w:fill="FFFFFF"/>
          </w:tcPr>
          <w:p>
            <w:pPr>
              <w:spacing w:after="0" w:line="300" w:lineRule="exact"/>
              <w:jc w:val="left"/>
            </w:pPr>
            <w:r>
              <w:rPr>
                <w:b w:val="0"/>
                <w:color w:val="000000"/>
                <w:sz w:val="20"/>
              </w:rPr>
              <w:t>관심 분야 선택 후</w:t>
              <w:br/>
              <w:t>관련 직무 탐색으로 연결</w:t>
            </w:r>
          </w:p>
        </w:tc>
      </w:tr>
      <w:tr>
        <w:trPr>
          <w:cantSplit/>
        </w:trPr>
        <w:tc>
          <w:tcPr>
            <w:tcW w:type="dxa" w:w="1469"/>
            <w:vAlign w:val="center"/>
            <w:tcMar>
              <w:top w:w="95" w:type="dxa"/>
              <w:bottom w:w="95" w:type="dxa"/>
              <w:left w:w="100" w:type="dxa"/>
              <w:right w:w="100" w:type="dxa"/>
            </w:tcMar>
            <w:shd w:fill="F3F6F8"/>
          </w:tcPr>
          <w:p>
            <w:pPr>
              <w:spacing w:after="0" w:line="300" w:lineRule="exact"/>
              <w:jc w:val="center"/>
            </w:pPr>
            <w:r>
              <w:rPr>
                <w:b/>
                <w:color w:val="000000"/>
                <w:sz w:val="20"/>
              </w:rPr>
              <w:t>2 직무 탐색</w:t>
            </w:r>
          </w:p>
        </w:tc>
        <w:tc>
          <w:tcPr>
            <w:tcW w:type="dxa" w:w="2923"/>
            <w:vAlign w:val="center"/>
            <w:tcMar>
              <w:top w:w="95" w:type="dxa"/>
              <w:bottom w:w="95" w:type="dxa"/>
              <w:left w:w="100" w:type="dxa"/>
              <w:right w:w="100" w:type="dxa"/>
            </w:tcMar>
            <w:shd w:fill="F3F6F8"/>
          </w:tcPr>
          <w:p>
            <w:pPr>
              <w:spacing w:after="0" w:line="300" w:lineRule="exact"/>
              <w:jc w:val="left"/>
            </w:pPr>
            <w:r>
              <w:rPr>
                <w:b w:val="0"/>
                <w:color w:val="000000"/>
                <w:sz w:val="20"/>
              </w:rPr>
              <w:t>직무 분류·업무 설명</w:t>
              <w:br/>
              <w:t>근무처 유형</w:t>
              <w:br/>
              <w:t>실제 채용 업무 사례</w:t>
            </w:r>
          </w:p>
        </w:tc>
        <w:tc>
          <w:tcPr>
            <w:tcW w:type="dxa" w:w="2808"/>
            <w:vAlign w:val="center"/>
            <w:tcMar>
              <w:top w:w="95" w:type="dxa"/>
              <w:bottom w:w="95" w:type="dxa"/>
              <w:left w:w="100" w:type="dxa"/>
              <w:right w:w="100" w:type="dxa"/>
            </w:tcMar>
            <w:shd w:fill="F3F6F8"/>
          </w:tcPr>
          <w:p>
            <w:pPr>
              <w:spacing w:after="0" w:line="300" w:lineRule="exact"/>
              <w:jc w:val="left"/>
            </w:pPr>
            <w:r>
              <w:rPr>
                <w:b w:val="0"/>
                <w:color w:val="000000"/>
                <w:sz w:val="20"/>
              </w:rPr>
              <w:t>직무별 역할과</w:t>
              <w:br/>
              <w:t>진출 분야 파악</w:t>
            </w:r>
          </w:p>
        </w:tc>
        <w:tc>
          <w:tcPr>
            <w:tcW w:type="dxa" w:w="3024"/>
            <w:vAlign w:val="center"/>
            <w:tcMar>
              <w:top w:w="95" w:type="dxa"/>
              <w:bottom w:w="95" w:type="dxa"/>
              <w:left w:w="100" w:type="dxa"/>
              <w:right w:w="100" w:type="dxa"/>
            </w:tcMar>
            <w:shd w:fill="F3F6F8"/>
          </w:tcPr>
          <w:p>
            <w:pPr>
              <w:spacing w:after="0" w:line="300" w:lineRule="exact"/>
              <w:jc w:val="left"/>
            </w:pPr>
            <w:r>
              <w:rPr>
                <w:b w:val="0"/>
                <w:color w:val="000000"/>
                <w:sz w:val="20"/>
              </w:rPr>
              <w:t>관심 직무 선택 후</w:t>
              <w:br/>
              <w:t>준비 역량 확인으로 연결</w:t>
            </w:r>
          </w:p>
        </w:tc>
      </w:tr>
      <w:tr>
        <w:trPr>
          <w:cantSplit/>
        </w:trPr>
        <w:tc>
          <w:tcPr>
            <w:tcW w:type="dxa" w:w="1469"/>
            <w:vAlign w:val="center"/>
            <w:tcMar>
              <w:top w:w="95" w:type="dxa"/>
              <w:bottom w:w="95" w:type="dxa"/>
              <w:left w:w="100" w:type="dxa"/>
              <w:right w:w="100" w:type="dxa"/>
            </w:tcMar>
            <w:shd w:fill="FFFFFF"/>
          </w:tcPr>
          <w:p>
            <w:pPr>
              <w:spacing w:after="0" w:line="300" w:lineRule="exact"/>
              <w:jc w:val="center"/>
            </w:pPr>
            <w:r>
              <w:rPr>
                <w:b/>
                <w:color w:val="000000"/>
                <w:sz w:val="20"/>
              </w:rPr>
              <w:t>3 준비 역량</w:t>
            </w:r>
          </w:p>
        </w:tc>
        <w:tc>
          <w:tcPr>
            <w:tcW w:type="dxa" w:w="2923"/>
            <w:vAlign w:val="center"/>
            <w:tcMar>
              <w:top w:w="95" w:type="dxa"/>
              <w:bottom w:w="95" w:type="dxa"/>
              <w:left w:w="100" w:type="dxa"/>
              <w:right w:w="100" w:type="dxa"/>
            </w:tcMar>
            <w:shd w:fill="FFFFFF"/>
          </w:tcPr>
          <w:p>
            <w:pPr>
              <w:spacing w:after="0" w:line="300" w:lineRule="exact"/>
              <w:jc w:val="left"/>
            </w:pPr>
            <w:r>
              <w:rPr>
                <w:b w:val="0"/>
                <w:color w:val="000000"/>
                <w:sz w:val="20"/>
              </w:rPr>
              <w:t>직무별 역량·기술</w:t>
              <w:br/>
              <w:t>공고 키워드 빈도</w:t>
              <w:br/>
              <w:t>자격·교육과정</w:t>
            </w:r>
          </w:p>
        </w:tc>
        <w:tc>
          <w:tcPr>
            <w:tcW w:type="dxa" w:w="2808"/>
            <w:vAlign w:val="center"/>
            <w:tcMar>
              <w:top w:w="95" w:type="dxa"/>
              <w:bottom w:w="95" w:type="dxa"/>
              <w:left w:w="100" w:type="dxa"/>
              <w:right w:w="100" w:type="dxa"/>
            </w:tcMar>
            <w:shd w:fill="FFFFFF"/>
          </w:tcPr>
          <w:p>
            <w:pPr>
              <w:spacing w:after="0" w:line="300" w:lineRule="exact"/>
              <w:jc w:val="left"/>
            </w:pPr>
            <w:r>
              <w:rPr>
                <w:b w:val="0"/>
                <w:color w:val="000000"/>
                <w:sz w:val="20"/>
              </w:rPr>
              <w:t>필요 지식과 기술 파악,</w:t>
              <w:br/>
              <w:t>관련 학습 기회 탐색</w:t>
            </w:r>
          </w:p>
        </w:tc>
        <w:tc>
          <w:tcPr>
            <w:tcW w:type="dxa" w:w="3024"/>
            <w:vAlign w:val="center"/>
            <w:tcMar>
              <w:top w:w="95" w:type="dxa"/>
              <w:bottom w:w="95" w:type="dxa"/>
              <w:left w:w="100" w:type="dxa"/>
              <w:right w:w="100" w:type="dxa"/>
            </w:tcMar>
            <w:shd w:fill="FFFFFF"/>
          </w:tcPr>
          <w:p>
            <w:pPr>
              <w:spacing w:after="0" w:line="300" w:lineRule="exact"/>
              <w:jc w:val="left"/>
            </w:pPr>
            <w:r>
              <w:rPr>
                <w:b w:val="0"/>
                <w:color w:val="000000"/>
                <w:sz w:val="20"/>
              </w:rPr>
              <w:t>학습 항목을 정리한 뒤</w:t>
              <w:br/>
              <w:t>실제 공고 조건과 비교</w:t>
            </w:r>
          </w:p>
        </w:tc>
      </w:tr>
      <w:tr>
        <w:trPr>
          <w:cantSplit/>
        </w:trPr>
        <w:tc>
          <w:tcPr>
            <w:tcW w:type="dxa" w:w="1469"/>
            <w:vAlign w:val="center"/>
            <w:tcMar>
              <w:top w:w="95" w:type="dxa"/>
              <w:bottom w:w="95" w:type="dxa"/>
              <w:left w:w="100" w:type="dxa"/>
              <w:right w:w="100" w:type="dxa"/>
            </w:tcMar>
            <w:shd w:fill="F3F6F8"/>
          </w:tcPr>
          <w:p>
            <w:pPr>
              <w:spacing w:after="0" w:line="300" w:lineRule="exact"/>
              <w:jc w:val="center"/>
            </w:pPr>
            <w:r>
              <w:rPr>
                <w:b/>
                <w:color w:val="000000"/>
                <w:sz w:val="20"/>
              </w:rPr>
              <w:t>4 실제 채용</w:t>
            </w:r>
          </w:p>
        </w:tc>
        <w:tc>
          <w:tcPr>
            <w:tcW w:type="dxa" w:w="2923"/>
            <w:vAlign w:val="center"/>
            <w:tcMar>
              <w:top w:w="95" w:type="dxa"/>
              <w:bottom w:w="95" w:type="dxa"/>
              <w:left w:w="100" w:type="dxa"/>
              <w:right w:w="100" w:type="dxa"/>
            </w:tcMar>
            <w:shd w:fill="F3F6F8"/>
          </w:tcPr>
          <w:p>
            <w:pPr>
              <w:spacing w:after="0" w:line="300" w:lineRule="exact"/>
              <w:jc w:val="left"/>
            </w:pPr>
            <w:r>
              <w:rPr>
                <w:b w:val="0"/>
                <w:color w:val="000000"/>
                <w:sz w:val="20"/>
              </w:rPr>
              <w:t>채용공고·기업 사업 분야</w:t>
              <w:br/>
              <w:t>기업별 방산 관련 근거</w:t>
            </w:r>
          </w:p>
        </w:tc>
        <w:tc>
          <w:tcPr>
            <w:tcW w:type="dxa" w:w="2808"/>
            <w:vAlign w:val="center"/>
            <w:tcMar>
              <w:top w:w="95" w:type="dxa"/>
              <w:bottom w:w="95" w:type="dxa"/>
              <w:left w:w="100" w:type="dxa"/>
              <w:right w:w="100" w:type="dxa"/>
            </w:tcMar>
            <w:shd w:fill="F3F6F8"/>
          </w:tcPr>
          <w:p>
            <w:pPr>
              <w:spacing w:after="0" w:line="300" w:lineRule="exact"/>
              <w:jc w:val="left"/>
            </w:pPr>
            <w:r>
              <w:rPr>
                <w:b w:val="0"/>
                <w:color w:val="000000"/>
                <w:sz w:val="20"/>
              </w:rPr>
              <w:t>직무·지역·경력·학력 등</w:t>
              <w:br/>
              <w:t>관측된 채용 조건 확인</w:t>
            </w:r>
          </w:p>
        </w:tc>
        <w:tc>
          <w:tcPr>
            <w:tcW w:type="dxa" w:w="3024"/>
            <w:vAlign w:val="center"/>
            <w:tcMar>
              <w:top w:w="95" w:type="dxa"/>
              <w:bottom w:w="95" w:type="dxa"/>
              <w:left w:w="100" w:type="dxa"/>
              <w:right w:w="100" w:type="dxa"/>
            </w:tcMar>
            <w:shd w:fill="F3F6F8"/>
          </w:tcPr>
          <w:p>
            <w:pPr>
              <w:spacing w:after="0" w:line="300" w:lineRule="exact"/>
              <w:jc w:val="left"/>
            </w:pPr>
            <w:r>
              <w:rPr>
                <w:b w:val="0"/>
                <w:color w:val="000000"/>
                <w:sz w:val="20"/>
              </w:rPr>
              <w:t>관심 기업과 조건을</w:t>
              <w:br/>
              <w:t>개인 준비 계획에 반영</w:t>
            </w:r>
          </w:p>
        </w:tc>
      </w:tr>
      <w:tr>
        <w:trPr>
          <w:cantSplit/>
        </w:trPr>
        <w:tc>
          <w:tcPr>
            <w:tcW w:type="dxa" w:w="1469"/>
            <w:vAlign w:val="center"/>
            <w:tcMar>
              <w:top w:w="95" w:type="dxa"/>
              <w:bottom w:w="95" w:type="dxa"/>
              <w:left w:w="100" w:type="dxa"/>
              <w:right w:w="100" w:type="dxa"/>
            </w:tcMar>
            <w:shd w:fill="FFFFFF"/>
          </w:tcPr>
          <w:p>
            <w:pPr>
              <w:spacing w:after="0" w:line="300" w:lineRule="exact"/>
              <w:jc w:val="center"/>
            </w:pPr>
            <w:r>
              <w:rPr>
                <w:b/>
                <w:color w:val="000000"/>
                <w:sz w:val="20"/>
              </w:rPr>
              <w:t>5 취업 준비</w:t>
              <w:br/>
              <w:t>로드맵</w:t>
            </w:r>
          </w:p>
        </w:tc>
        <w:tc>
          <w:tcPr>
            <w:tcW w:type="dxa" w:w="2923"/>
            <w:vAlign w:val="center"/>
            <w:tcMar>
              <w:top w:w="95" w:type="dxa"/>
              <w:bottom w:w="95" w:type="dxa"/>
              <w:left w:w="100" w:type="dxa"/>
              <w:right w:w="100" w:type="dxa"/>
            </w:tcMar>
            <w:shd w:fill="FFFFFF"/>
          </w:tcPr>
          <w:p>
            <w:pPr>
              <w:spacing w:after="0" w:line="300" w:lineRule="exact"/>
              <w:jc w:val="left"/>
            </w:pPr>
            <w:r>
              <w:rPr>
                <w:b w:val="0"/>
                <w:color w:val="000000"/>
                <w:sz w:val="20"/>
              </w:rPr>
              <w:t>앞 단계 탐색 결과</w:t>
              <w:br/>
              <w:t>사용자 보유 역량</w:t>
              <w:br/>
              <w:t>교육·프로젝트 후보</w:t>
            </w:r>
          </w:p>
        </w:tc>
        <w:tc>
          <w:tcPr>
            <w:tcW w:type="dxa" w:w="2808"/>
            <w:vAlign w:val="center"/>
            <w:tcMar>
              <w:top w:w="95" w:type="dxa"/>
              <w:bottom w:w="95" w:type="dxa"/>
              <w:left w:w="100" w:type="dxa"/>
              <w:right w:w="100" w:type="dxa"/>
            </w:tcMar>
            <w:shd w:fill="FFFFFF"/>
          </w:tcPr>
          <w:p>
            <w:pPr>
              <w:spacing w:after="0" w:line="300" w:lineRule="exact"/>
              <w:jc w:val="left"/>
            </w:pPr>
            <w:r>
              <w:rPr>
                <w:b w:val="0"/>
                <w:color w:val="000000"/>
                <w:sz w:val="20"/>
              </w:rPr>
              <w:t>부족 역량과 확인 사항</w:t>
              <w:br/>
              <w:t>정리, 다음 행동 설정</w:t>
            </w:r>
          </w:p>
        </w:tc>
        <w:tc>
          <w:tcPr>
            <w:tcW w:type="dxa" w:w="3024"/>
            <w:vAlign w:val="center"/>
            <w:tcMar>
              <w:top w:w="95" w:type="dxa"/>
              <w:bottom w:w="95" w:type="dxa"/>
              <w:left w:w="100" w:type="dxa"/>
              <w:right w:w="100" w:type="dxa"/>
            </w:tcMar>
            <w:shd w:fill="FFFFFF"/>
          </w:tcPr>
          <w:p>
            <w:pPr>
              <w:spacing w:after="0" w:line="300" w:lineRule="exact"/>
              <w:jc w:val="left"/>
            </w:pPr>
            <w:r>
              <w:rPr>
                <w:b w:val="0"/>
                <w:color w:val="000000"/>
                <w:sz w:val="20"/>
              </w:rPr>
              <w:t>학습·결과물 준비 후</w:t>
              <w:br/>
              <w:t>관심 직무와 공고 재검토</w:t>
            </w:r>
          </w:p>
        </w:tc>
      </w:tr>
    </w:tbl>
    <w:p>
      <w:pPr>
        <w:spacing w:after="0"/>
      </w:pPr>
      <w:r/>
    </w:p>
    <w:p>
      <w:pPr>
        <w:pStyle w:val="Heading1"/>
      </w:pPr>
      <w:r>
        <w:t>6 서비스 구성 방향</w:t>
      </w:r>
    </w:p>
    <w:p>
      <w:pPr>
        <w:pStyle w:val="ListBullet"/>
        <w:spacing w:after="100"/>
      </w:pPr>
      <w:r>
        <w:t>질문 중심 구성: 이용자의 궁금증에 맞춰 핵심 정보·간단한 시각화·다음 탐색 경로 배치</w:t>
      </w:r>
    </w:p>
    <w:p>
      <w:pPr>
        <w:pStyle w:val="ListBullet"/>
        <w:spacing w:after="100"/>
      </w:pPr>
      <w:r>
        <w:t>직무 중심 연결: 관심 직무를 유지하며 역량·교육·기업·채용 정보를 연속적으로 탐색</w:t>
      </w:r>
    </w:p>
    <w:p>
      <w:pPr>
        <w:pStyle w:val="ListBullet"/>
        <w:spacing w:after="100"/>
      </w:pPr>
      <w:r>
        <w:t>준비 방법 제시: 확인된 업무와 역량을 토대로 교육·자격·프로젝트 후보 및 준비 항목 안내</w:t>
      </w:r>
    </w:p>
    <w:p>
      <w:pPr>
        <w:pStyle w:val="ListBullet"/>
        <w:spacing w:after="100"/>
      </w:pPr>
      <w:r>
        <w:t>민간·국방 맥락 제공: 활용 분야와 확인된 기업 근거를 통해 업무·기술·준비 방향의 차이 탐색</w:t>
      </w:r>
    </w:p>
    <w:p>
      <w:pPr>
        <w:pStyle w:val="Heading1"/>
      </w:pPr>
      <w:r>
        <w:t>7 데이터 활용 원칙과 보완 방향</w:t>
      </w:r>
    </w:p>
    <w:p>
      <w:pPr>
        <w:pStyle w:val="ListBullet"/>
        <w:spacing w:after="100"/>
      </w:pPr>
      <w:r>
        <w:t>근거 구분: 직무 사전의 준비 역량, 공고에서 확인된 조건, 규칙에 따른 제안을 구분하여 제공</w:t>
      </w:r>
    </w:p>
    <w:p>
      <w:pPr>
        <w:pStyle w:val="ListBullet"/>
        <w:spacing w:after="100"/>
      </w:pPr>
      <w:r>
        <w:t>해석 범위 명시: 수집 시점·표본·미확인 정보를 표시하고 현재 채용 여부와 취업 가능성의 단정 방지</w:t>
      </w:r>
    </w:p>
    <w:p>
      <w:pPr>
        <w:pStyle w:val="ListBullet"/>
        <w:spacing w:after="100"/>
      </w:pPr>
      <w:r>
        <w:t>우선 보완: 공고별 키워드 연결표, 교육 커리큘럼, 최신 모집 상태 확보를 통한 단계 간 연결 강화</w:t>
      </w:r>
    </w:p>
    <w:p>
      <w:pPr>
        <w:spacing w:before="160"/>
      </w:pPr>
      <w:r>
        <w:rPr>
          <w:sz w:val="18"/>
        </w:rPr>
        <w:t>참고자료  드론 진로탐색 대시보드 설계보고서</w:t>
      </w:r>
    </w:p>
    <w:p>
      <w:pPr>
        <w:pStyle w:val="Heading1"/>
        <w:pageBreakBefore/>
      </w:pPr>
      <w:r>
        <w:t>8 현재 테스트 구현 범위</w:t>
      </w:r>
    </w:p>
    <w:p>
      <w:r>
        <w:rPr>
          <w:rFonts w:ascii="맑은 고딕" w:hAnsi="맑은 고딕" w:eastAsia="맑은 고딕"/>
          <w:b w:val="0"/>
          <w:color w:val="000000"/>
        </w:rPr>
        <w:t>보완 기준일 2026년 9월 27일. 원문 1~7절의 목적·대상·기대효과·흐름은 유지한다. 이 절부터는 시각화 개선판의 현재 상태와 후속 검토 범위를 구분한 구현 보완 내용이다.</w:t>
      </w:r>
    </w:p>
    <w:p>
      <w:r>
        <w:rPr>
          <w:rFonts w:ascii="맑은 고딕" w:hAnsi="맑은 고딕" w:eastAsia="맑은 고딕"/>
          <w:b w:val="0"/>
          <w:color w:val="000000"/>
        </w:rPr>
        <w:t>현재 단계는 제작자가 데이터 활용을 선별하고 흐름을 검토하는 테스트 구현이다. 원본 CSV 54개 중 17개를 사용하고 37개는 보존했다. 모든 자료를 사용하는 것이 목표는 아니며, 각 모듈의 목적과 다음 단계 연결이 채택 기준이다.</w:t>
      </w:r>
    </w:p>
    <w:tbl>
      <w:tblPr>
        <w:tblW w:type="auto" w:w="0"/>
        <w:jc w:val="center"/>
        <w:tblLayout w:type="fixed"/>
        <w:tblLook w:firstColumn="1" w:firstRow="1" w:lastColumn="0" w:lastRow="0" w:noHBand="0" w:noVBand="1" w:val="04A0"/>
      </w:tblPr>
      <w:tblGrid>
        <w:gridCol w:w="1814"/>
        <w:gridCol w:w="4649"/>
        <w:gridCol w:w="3572"/>
      </w:tblGrid>
      <w:tr>
        <w:trPr>
          <w:cantSplit/>
          <w:tblHeader/>
        </w:trPr>
        <w:tc>
          <w:tcPr>
            <w:tcW w:type="dxa" w:w="1814"/>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원래 단계</w:t>
            </w:r>
          </w:p>
        </w:tc>
        <w:tc>
          <w:tcPr>
            <w:tcW w:type="dxa" w:w="4649"/>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현재 구현</w:t>
            </w:r>
          </w:p>
        </w:tc>
        <w:tc>
          <w:tcPr>
            <w:tcW w:type="dxa" w:w="3572"/>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선택 결과</w:t>
            </w:r>
          </w:p>
        </w:tc>
      </w:tr>
      <w:tr>
        <w:trPr>
          <w:cantSplit/>
        </w:trPr>
        <w:tc>
          <w:tcPr>
            <w:tcW w:type="dxa" w:w="181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산업 이해</w:t>
            </w:r>
          </w:p>
        </w:tc>
        <w:tc>
          <w:tcPr>
            <w:tcW w:type="dxa" w:w="4649"/>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3개 산업 추이, 연구 분야·기술, 국방 기술·계약</w:t>
            </w:r>
          </w:p>
        </w:tc>
        <w:tc>
          <w:tcPr>
            <w:tcW w:type="dxa" w:w="357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관심 분야와 관련 직무 탐색</w:t>
            </w:r>
          </w:p>
        </w:tc>
      </w:tr>
      <w:tr>
        <w:trPr>
          <w:cantSplit/>
        </w:trPr>
        <w:tc>
          <w:tcPr>
            <w:tcW w:type="dxa" w:w="181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직무 탐색</w:t>
            </w:r>
          </w:p>
        </w:tc>
        <w:tc>
          <w:tcPr>
            <w:tcW w:type="dxa" w:w="4649"/>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분류 타일·활동 필터·직무 설명·공통 역량 행렬</w:t>
            </w:r>
          </w:p>
        </w:tc>
        <w:tc>
          <w:tcPr>
            <w:tcW w:type="dxa" w:w="3572"/>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관심 직무 1개</w:t>
            </w:r>
          </w:p>
        </w:tc>
      </w:tr>
      <w:tr>
        <w:trPr>
          <w:cantSplit/>
        </w:trPr>
        <w:tc>
          <w:tcPr>
            <w:tcW w:type="dxa" w:w="181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준비 역량</w:t>
            </w:r>
          </w:p>
        </w:tc>
        <w:tc>
          <w:tcPr>
            <w:tcW w:type="dxa" w:w="4649"/>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기술 체크, 교육 산점도·일정, 자격과 프로젝트</w:t>
            </w:r>
          </w:p>
        </w:tc>
        <w:tc>
          <w:tcPr>
            <w:tcW w:type="dxa" w:w="357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과정 1개와 프로젝트 제안</w:t>
            </w:r>
          </w:p>
        </w:tc>
      </w:tr>
      <w:tr>
        <w:trPr>
          <w:cantSplit/>
        </w:trPr>
        <w:tc>
          <w:tcPr>
            <w:tcW w:type="dxa" w:w="181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실제 채용</w:t>
            </w:r>
          </w:p>
        </w:tc>
        <w:tc>
          <w:tcPr>
            <w:tcW w:type="dxa" w:w="4649"/>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수집 채용 공고의 분포·기업 근거·방산 흐름도</w:t>
            </w:r>
          </w:p>
        </w:tc>
        <w:tc>
          <w:tcPr>
            <w:tcW w:type="dxa" w:w="3572"/>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비교 공고 1개</w:t>
            </w:r>
          </w:p>
        </w:tc>
      </w:tr>
      <w:tr>
        <w:trPr>
          <w:cantSplit/>
        </w:trPr>
        <w:tc>
          <w:tcPr>
            <w:tcW w:type="dxa" w:w="181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취업 준비 로드맵</w:t>
            </w:r>
          </w:p>
        </w:tc>
        <w:tc>
          <w:tcPr>
            <w:tcW w:type="dxa" w:w="4649"/>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학습 경로·조건 상태·다음 행동 3개</w:t>
            </w:r>
          </w:p>
        </w:tc>
        <w:tc>
          <w:tcPr>
            <w:tcW w:type="dxa" w:w="357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선택·보유 기술·확인 사항</w:t>
            </w:r>
          </w:p>
        </w:tc>
      </w:tr>
    </w:tbl>
    <w:p>
      <w:pPr>
        <w:spacing w:after="40"/>
      </w:pPr>
    </w:p>
    <w:p>
      <w:r>
        <w:rPr>
          <w:rFonts w:ascii="맑은 고딕" w:hAnsi="맑은 고딕" w:eastAsia="맑은 고딕"/>
          <w:b w:val="0"/>
          <w:color w:val="000000"/>
        </w:rPr>
        <w:t>화면의 “수집 채용 공고”는 원문 기획의 “실제 채용”을 관측 자료의 범위에 맞게 표현한 명칭이다. 현재 모집 여부가 미확인인 공고를 포함하며 지원 가능 확정을 의미하지 않는다.</w:t>
      </w:r>
    </w:p>
    <w:p>
      <w:r>
        <w:rPr>
          <w:rFonts w:ascii="맑은 고딕" w:hAnsi="맑은 고딕" w:eastAsia="맑은 고딕"/>
          <w:b w:val="0"/>
          <w:color w:val="000000"/>
        </w:rPr>
        <w:t>시각화는 차트 선택과 다음 탐색에 집중한다. 사용 데이터·흐름·목적·기대효과·계산 규칙·한계·검토 의견은 모든 모듈의 더보기에 둔다. 근거 전체 펼치기, 원문 데이터 검색, 미검토/유지/수정/제외 판단과 메모를 제공한다.</w:t>
      </w:r>
    </w:p>
    <w:p>
      <w:r>
        <w:rPr>
          <w:rFonts w:ascii="맑은 고딕" w:hAnsi="맑은 고딕" w:eastAsia="맑은 고딕"/>
          <w:b w:val="0"/>
          <w:color w:val="000000"/>
        </w:rPr>
        <w:t>HTML 한 파일에 데이터와 코드를 내장하여 서버 없이 열람한다. “검토 내용 포함 HTML 저장”으로 현재 선택·개인 입력·보유 기술·메모를 팀원에게 전달할 수 있다. 자동 저장과 공동 편집 서버는 없다. 기준일은 2026년 9월 26일이며 원본 통계의 연도와 개별 자료의 시점은 따로 표시한다.</w:t>
      </w:r>
    </w:p>
    <w:p>
      <w:pPr>
        <w:pStyle w:val="Heading1"/>
        <w:pageBreakBefore/>
      </w:pPr>
      <w:r>
        <w:t>9 기획과 현재 구현의 차이 1</w:t>
      </w:r>
    </w:p>
    <w:p>
      <w:r>
        <w:rPr>
          <w:rFonts w:ascii="맑은 고딕" w:hAnsi="맑은 고딕" w:eastAsia="맑은 고딕"/>
          <w:b w:val="0"/>
          <w:color w:val="000000"/>
        </w:rPr>
        <w:t>원문 단계별 데이터는 기획의 활용 후보 범위이며 모두 현재 구현되었다는 뜻은 아니다. 상세 설계의 미구현 사항을 완료로 바꾸거나 삭제하지 않고 다음과 같이 기록한다.</w:t>
      </w:r>
    </w:p>
    <w:p>
      <w:pPr>
        <w:pStyle w:val="Heading2"/>
      </w:pPr>
      <w:r>
        <w:t>특허와 일반 조달 등 산업 보조 맥락</w:t>
      </w:r>
    </w:p>
    <w:p>
      <w:r>
        <w:rPr>
          <w:rFonts w:ascii="맑은 고딕" w:hAnsi="맑은 고딕" w:eastAsia="맑은 고딕"/>
          <w:b/>
          <w:color w:val="000000"/>
        </w:rPr>
        <w:t xml:space="preserve">기준  </w:t>
      </w:r>
      <w:r>
        <w:rPr>
          <w:rFonts w:ascii="맑은 고딕" w:hAnsi="맑은 고딕" w:eastAsia="맑은 고딕"/>
          <w:color w:val="000000"/>
        </w:rPr>
        <w:t>기획안 5절 산업 단계의 특허·조달, 설계 A04~A06·4절 산업 상세</w:t>
      </w:r>
    </w:p>
    <w:p>
      <w:r>
        <w:rPr>
          <w:rFonts w:ascii="맑은 고딕" w:hAnsi="맑은 고딕" w:eastAsia="맑은 고딕"/>
          <w:b/>
          <w:color w:val="000000"/>
        </w:rPr>
        <w:t xml:space="preserve">현재 상태  </w:t>
      </w:r>
      <w:r>
        <w:rPr>
          <w:rFonts w:ascii="맑은 고딕" w:hAnsi="맑은 고딕" w:eastAsia="맑은 고딕"/>
          <w:color w:val="000000"/>
        </w:rPr>
        <w:t>특허 순위, PPS 일반 조달, 전망 O, 산업 원시 IR, 수출 X, 예산 상세는 미채택이다. 연구 R와 국방 계약 D 중심으로 구현했다.</w:t>
      </w:r>
    </w:p>
    <w:p>
      <w:r>
        <w:rPr>
          <w:rFonts w:ascii="맑은 고딕" w:hAnsi="맑은 고딕" w:eastAsia="맑은 고딕"/>
          <w:b/>
          <w:color w:val="000000"/>
        </w:rPr>
        <w:t xml:space="preserve">후속 처리  </w:t>
      </w:r>
      <w:r>
        <w:rPr>
          <w:rFonts w:ascii="맑은 고딕" w:hAnsi="맑은 고딕" w:eastAsia="맑은 고딕"/>
          <w:color w:val="000000"/>
        </w:rPr>
        <w:t>현재 선별 범위로 명시한다. 필요한 보조 질문을 정한 뒤 추가 검토하며 원래 기획 항목을 삭제하지 않는다.</w:t>
      </w:r>
    </w:p>
    <w:p>
      <w:pPr>
        <w:pStyle w:val="Heading2"/>
      </w:pPr>
      <w:r>
        <w:t>관심 분야의 수량 의미</w:t>
      </w:r>
    </w:p>
    <w:p>
      <w:r>
        <w:rPr>
          <w:rFonts w:ascii="맑은 고딕" w:hAnsi="맑은 고딕" w:eastAsia="맑은 고딕"/>
          <w:b/>
          <w:color w:val="000000"/>
        </w:rPr>
        <w:t xml:space="preserve">기준  </w:t>
      </w:r>
      <w:r>
        <w:rPr>
          <w:rFonts w:ascii="맑은 고딕" w:hAnsi="맑은 고딕" w:eastAsia="맑은 고딕"/>
          <w:color w:val="000000"/>
        </w:rPr>
        <w:t>설계 A02의 활용 매출·공공 응답과 사례</w:t>
      </w:r>
    </w:p>
    <w:p>
      <w:r>
        <w:rPr>
          <w:rFonts w:ascii="맑은 고딕" w:hAnsi="맑은 고딕" w:eastAsia="맑은 고딕"/>
          <w:b/>
          <w:color w:val="000000"/>
        </w:rPr>
        <w:t xml:space="preserve">현재 상태  </w:t>
      </w:r>
      <w:r>
        <w:rPr>
          <w:rFonts w:ascii="맑은 고딕" w:hAnsi="맑은 고딕" w:eastAsia="맑은 고딕"/>
          <w:color w:val="000000"/>
        </w:rPr>
        <w:t>현재 분야 막대는 R 고신뢰 연구의 활용 태그 수이고 U의 활용 목적은 펼침 사례다. 산업 활용 시장 규모 차트는 아니다.</w:t>
      </w:r>
    </w:p>
    <w:p>
      <w:r>
        <w:rPr>
          <w:rFonts w:ascii="맑은 고딕" w:hAnsi="맑은 고딕" w:eastAsia="맑은 고딕"/>
          <w:b/>
          <w:color w:val="000000"/>
        </w:rPr>
        <w:t xml:space="preserve">후속 처리  </w:t>
      </w:r>
      <w:r>
        <w:rPr>
          <w:rFonts w:ascii="맑은 고딕" w:hAnsi="맑은 고딕" w:eastAsia="맑은 고딕"/>
          <w:color w:val="000000"/>
        </w:rPr>
        <w:t>연구 태그로 보는 분야 탐색이라는 범위를 유지한다. 매출·공공 응답을 원하면 IR 정제가 필요하다.</w:t>
      </w:r>
    </w:p>
    <w:p>
      <w:pPr>
        <w:pStyle w:val="Heading2"/>
      </w:pPr>
      <w:r>
        <w:t>진입 조건과 개인 조건 비교</w:t>
      </w:r>
    </w:p>
    <w:p>
      <w:r>
        <w:rPr>
          <w:rFonts w:ascii="맑은 고딕" w:hAnsi="맑은 고딕" w:eastAsia="맑은 고딕"/>
          <w:b/>
          <w:color w:val="000000"/>
        </w:rPr>
        <w:t xml:space="preserve">기준  </w:t>
      </w:r>
      <w:r>
        <w:rPr>
          <w:rFonts w:ascii="맑은 고딕" w:hAnsi="맑은 고딕" w:eastAsia="맑은 고딕"/>
          <w:color w:val="000000"/>
        </w:rPr>
        <w:t>설계 D02·D08·J02·J04 및 5번째 화면</w:t>
      </w:r>
    </w:p>
    <w:p>
      <w:r>
        <w:rPr>
          <w:rFonts w:ascii="맑은 고딕" w:hAnsi="맑은 고딕" w:eastAsia="맑은 고딕"/>
          <w:b/>
          <w:color w:val="000000"/>
        </w:rPr>
        <w:t xml:space="preserve">현재 상태  </w:t>
      </w:r>
      <w:r>
        <w:rPr>
          <w:rFonts w:ascii="맑은 고딕" w:hAnsi="맑은 고딕" w:eastAsia="맑은 고딕"/>
          <w:color w:val="000000"/>
        </w:rPr>
        <w:t>경력·학력 구성과 선택 공고의 학력·경력·지역 비교는 구현했다. 직무별 신입/경력 2축 산점도, 최소 경력 분포, 사용자 전공·고용형태 입력 비교는 미구현이다.</w:t>
      </w:r>
    </w:p>
    <w:p>
      <w:r>
        <w:rPr>
          <w:rFonts w:ascii="맑은 고딕" w:hAnsi="맑은 고딕" w:eastAsia="맑은 고딕"/>
          <w:b/>
          <w:color w:val="000000"/>
        </w:rPr>
        <w:t xml:space="preserve">후속 처리  </w:t>
      </w:r>
      <w:r>
        <w:rPr>
          <w:rFonts w:ascii="맑은 고딕" w:hAnsi="맑은 고딕" w:eastAsia="맑은 고딕"/>
          <w:color w:val="000000"/>
        </w:rPr>
        <w:t>단순화된 테스트 범위를 명시한다. 입력과 원문 해석을 검토한 후 확장하며 완전한 개인 매칭으로 표현하지 않는다.</w:t>
      </w:r>
    </w:p>
    <w:p>
      <w:pPr>
        <w:pStyle w:val="Heading1"/>
        <w:pageBreakBefore/>
      </w:pPr>
      <w:r>
        <w:t>9 기획과 현재 구현의 차이 2</w:t>
      </w:r>
    </w:p>
    <w:p>
      <w:pPr>
        <w:pStyle w:val="Heading2"/>
      </w:pPr>
      <w:r>
        <w:t>직무와 과정 및 공고 연결</w:t>
      </w:r>
    </w:p>
    <w:p>
      <w:r>
        <w:rPr>
          <w:rFonts w:ascii="맑은 고딕" w:hAnsi="맑은 고딕" w:eastAsia="맑은 고딕"/>
          <w:b/>
          <w:color w:val="000000"/>
        </w:rPr>
        <w:t xml:space="preserve">기준  </w:t>
      </w:r>
      <w:r>
        <w:rPr>
          <w:rFonts w:ascii="맑은 고딕" w:hAnsi="맑은 고딕" w:eastAsia="맑은 고딕"/>
          <w:color w:val="000000"/>
        </w:rPr>
        <w:t>기획안 6절 직무 중심 연결, 설계 7절 다대다 연결표</w:t>
      </w:r>
    </w:p>
    <w:p>
      <w:r>
        <w:rPr>
          <w:rFonts w:ascii="맑은 고딕" w:hAnsi="맑은 고딕" w:eastAsia="맑은 고딕"/>
          <w:b/>
          <w:color w:val="000000"/>
        </w:rPr>
        <w:t xml:space="preserve">현재 상태  </w:t>
      </w:r>
      <w:r>
        <w:rPr>
          <w:rFonts w:ascii="맑은 고딕" w:hAnsi="맑은 고딕" w:eastAsia="맑은 고딕"/>
          <w:color w:val="000000"/>
        </w:rPr>
        <w:t>T 제목/분류에 처음 맞는 ROLE_RULES 규칙으로 J의 넓은 대분류와 E 검색어를 정한다. 검토된 독립 다대다 매핑 원장은 없다.</w:t>
      </w:r>
    </w:p>
    <w:p>
      <w:r>
        <w:rPr>
          <w:rFonts w:ascii="맑은 고딕" w:hAnsi="맑은 고딕" w:eastAsia="맑은 고딕"/>
          <w:b/>
          <w:color w:val="000000"/>
        </w:rPr>
        <w:t xml:space="preserve">후속 처리  </w:t>
      </w:r>
      <w:r>
        <w:rPr>
          <w:rFonts w:ascii="맑은 고딕" w:hAnsi="맑은 고딕" w:eastAsia="맑은 고딕"/>
          <w:color w:val="000000"/>
        </w:rPr>
        <w:t>후보 연결로 유지한다. 역할별 다중 매핑·예외·근거를 검토해 원장화하는 작업은 후속이다.</w:t>
      </w:r>
    </w:p>
    <w:p>
      <w:pPr>
        <w:pStyle w:val="Heading2"/>
      </w:pPr>
      <w:r>
        <w:t>직접 기술 문구와 방산 특수 조건</w:t>
      </w:r>
    </w:p>
    <w:p>
      <w:r>
        <w:rPr>
          <w:rFonts w:ascii="맑은 고딕" w:hAnsi="맑은 고딕" w:eastAsia="맑은 고딕"/>
          <w:b/>
          <w:color w:val="000000"/>
        </w:rPr>
        <w:t xml:space="preserve">기준  </w:t>
      </w:r>
      <w:r>
        <w:rPr>
          <w:rFonts w:ascii="맑은 고딕" w:hAnsi="맑은 고딕" w:eastAsia="맑은 고딕"/>
          <w:color w:val="000000"/>
        </w:rPr>
        <w:t>설계 E06·E07·I05의 제한적 원문 사례</w:t>
      </w:r>
    </w:p>
    <w:p>
      <w:r>
        <w:rPr>
          <w:rFonts w:ascii="맑은 고딕" w:hAnsi="맑은 고딕" w:eastAsia="맑은 고딕"/>
          <w:b/>
          <w:color w:val="000000"/>
        </w:rPr>
        <w:t xml:space="preserve">현재 상태  </w:t>
      </w:r>
      <w:r>
        <w:rPr>
          <w:rFonts w:ascii="맑은 고딕" w:hAnsi="맑은 고딕" w:eastAsia="맑은 고딕"/>
          <w:color w:val="000000"/>
        </w:rPr>
        <w:t>공고 업무·전공·경력 원문은 열람 가능하다. 공고별 기술 및 병역 문구를 구조화해 재추출하지 않았고 기술 빈도·특수 조건 영역은 빈 결과로 두었다.</w:t>
      </w:r>
    </w:p>
    <w:p>
      <w:r>
        <w:rPr>
          <w:rFonts w:ascii="맑은 고딕" w:hAnsi="맑은 고딕" w:eastAsia="맑은 고딕"/>
          <w:b/>
          <w:color w:val="000000"/>
        </w:rPr>
        <w:t xml:space="preserve">후속 처리  </w:t>
      </w:r>
      <w:r>
        <w:rPr>
          <w:rFonts w:ascii="맑은 고딕" w:hAnsi="맑은 고딕" w:eastAsia="맑은 고딕"/>
          <w:color w:val="000000"/>
        </w:rPr>
        <w:t>완전한 관계표 부재와 원문 일부 보유를 구분한다. 추가 추출과 검토가 필요한 상태로 기록한다.</w:t>
      </w:r>
    </w:p>
    <w:p>
      <w:pPr>
        <w:pStyle w:val="Heading2"/>
      </w:pPr>
      <w:r>
        <w:t>여러 목표와 세부 교육 비교</w:t>
      </w:r>
    </w:p>
    <w:p>
      <w:r>
        <w:rPr>
          <w:rFonts w:ascii="맑은 고딕" w:hAnsi="맑은 고딕" w:eastAsia="맑은 고딕"/>
          <w:b/>
          <w:color w:val="000000"/>
        </w:rPr>
        <w:t xml:space="preserve">기준  </w:t>
      </w:r>
      <w:r>
        <w:rPr>
          <w:rFonts w:ascii="맑은 고딕" w:hAnsi="맑은 고딕" w:eastAsia="맑은 고딕"/>
          <w:color w:val="000000"/>
        </w:rPr>
        <w:t>설계의 관심 직무 1~2개, G06·G07, 지역 시나리오</w:t>
      </w:r>
    </w:p>
    <w:p>
      <w:r>
        <w:rPr>
          <w:rFonts w:ascii="맑은 고딕" w:hAnsi="맑은 고딕" w:eastAsia="맑은 고딕"/>
          <w:b/>
          <w:color w:val="000000"/>
        </w:rPr>
        <w:t xml:space="preserve">현재 상태  </w:t>
      </w:r>
      <w:r>
        <w:rPr>
          <w:rFonts w:ascii="맑은 고딕" w:hAnsi="맑은 고딕" w:eastAsia="맑은 고딕"/>
          <w:color w:val="000000"/>
        </w:rPr>
        <w:t>현재 직무·과정·공고는 각각 하나를 선택한다. 교육 만족도·수료율·난도 태그 및 지역 교육/공고 통합 비교는 별도 구현하지 않았다.</w:t>
      </w:r>
    </w:p>
    <w:p>
      <w:r>
        <w:rPr>
          <w:rFonts w:ascii="맑은 고딕" w:hAnsi="맑은 고딕" w:eastAsia="맑은 고딕"/>
          <w:b/>
          <w:color w:val="000000"/>
        </w:rPr>
        <w:t xml:space="preserve">후속 처리  </w:t>
      </w:r>
      <w:r>
        <w:rPr>
          <w:rFonts w:ascii="맑은 고딕" w:hAnsi="맑은 고딕" w:eastAsia="맑은 고딕"/>
          <w:color w:val="000000"/>
        </w:rPr>
        <w:t>목표 다중 저장과 보조 비교를 후속 후보로 남긴다. 원본 교육 평가지표 보유를 데이터 부재로 쓰지 않는다.</w:t>
      </w:r>
    </w:p>
    <w:p>
      <w:pPr>
        <w:pStyle w:val="Heading1"/>
        <w:pageBreakBefore/>
      </w:pPr>
      <w:r>
        <w:t>10 데이터 보완과 검증</w:t>
      </w:r>
    </w:p>
    <w:p>
      <w:r>
        <w:rPr>
          <w:rFonts w:ascii="맑은 고딕" w:hAnsi="맑은 고딕" w:eastAsia="맑은 고딕"/>
          <w:b w:val="0"/>
          <w:color w:val="000000"/>
        </w:rPr>
        <w:t>자료가 부족한 부분에는 빈 결과와 수집 제안을 배치한다. 최신 모집 상태·공고별 기술 관계·교육 커리큘럼을 우선 보완한다. 현직자 업무, 방산 특수 지원 조건, 교육·자격 성과, 실제 경력 이동은 후속 수집 영역으로 둔다. 기존 원문이 일부 존재하는 것과 구조화된 전체 관계표가 없는 것은 구분한다.</w:t>
      </w:r>
    </w:p>
    <w:tbl>
      <w:tblPr>
        <w:tblW w:type="auto" w:w="0"/>
        <w:jc w:val="center"/>
        <w:tblLayout w:type="fixed"/>
        <w:tblLook w:firstColumn="1" w:firstRow="1" w:lastColumn="0" w:lastRow="0" w:noHBand="0" w:noVBand="1" w:val="04A0"/>
      </w:tblPr>
      <w:tblGrid>
        <w:gridCol w:w="3458"/>
        <w:gridCol w:w="6576"/>
      </w:tblGrid>
      <w:tr>
        <w:trPr>
          <w:cantSplit/>
          <w:tblHeader/>
        </w:trPr>
        <w:tc>
          <w:tcPr>
            <w:tcW w:type="dxa" w:w="3458"/>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추가 데이터</w:t>
            </w:r>
          </w:p>
        </w:tc>
        <w:tc>
          <w:tcPr>
            <w:tcW w:type="dxa" w:w="6576"/>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연결 목적과 기대효과</w:t>
            </w:r>
          </w:p>
        </w:tc>
      </w:tr>
      <w:tr>
        <w:trPr>
          <w:cantSplit/>
        </w:trPr>
        <w:tc>
          <w:tcPr>
            <w:tcW w:type="dxa" w:w="345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현재 지원 가능한 공고</w:t>
            </w:r>
          </w:p>
        </w:tc>
        <w:tc>
          <w:tcPr>
            <w:tcW w:type="dxa" w:w="657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과거 공고 탐색을 실제 지원 행동으로 이어가기. 마감된 공고에 대한 반복 확인을 줄이고 지금 확인할 대상을 좁힘</w:t>
            </w:r>
          </w:p>
        </w:tc>
      </w:tr>
      <w:tr>
        <w:trPr>
          <w:cantSplit/>
        </w:trPr>
        <w:tc>
          <w:tcPr>
            <w:tcW w:type="dxa" w:w="3458"/>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선택 직무의 실제 요구 기술 빈도</w:t>
            </w:r>
          </w:p>
        </w:tc>
        <w:tc>
          <w:tcPr>
            <w:tcW w:type="dxa" w:w="6576"/>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사전 기준 역량과 실제 공고 요구를 분리해 비교. 기술 학습 우선순위를 관측된 요구로 검토할 수 있음</w:t>
            </w:r>
          </w:p>
        </w:tc>
      </w:tr>
      <w:tr>
        <w:trPr>
          <w:cantSplit/>
        </w:trPr>
        <w:tc>
          <w:tcPr>
            <w:tcW w:type="dxa" w:w="345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이 과정에서 부족한 기술을 실제로 배우는가?</w:t>
            </w:r>
          </w:p>
        </w:tc>
        <w:tc>
          <w:tcPr>
            <w:tcW w:type="dxa" w:w="657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과정명에 기반한 후보를 실제 커리큘럼으로 검증. 이름만 비슷한 과정 선택을 줄이고 보완 학습을 구체화</w:t>
            </w:r>
          </w:p>
        </w:tc>
      </w:tr>
      <w:tr>
        <w:trPr>
          <w:cantSplit/>
        </w:trPr>
        <w:tc>
          <w:tcPr>
            <w:tcW w:type="dxa" w:w="3458"/>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이 직무의 하루 업무와 협업은?</w:t>
            </w:r>
          </w:p>
        </w:tc>
        <w:tc>
          <w:tcPr>
            <w:tcW w:type="dxa" w:w="6576"/>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직무 설명만으로 보기 어려운 일의 맥락 이해. 관심과 실제 활동의 차이를 비교해 직무 선택을 도움</w:t>
            </w:r>
          </w:p>
        </w:tc>
      </w:tr>
      <w:tr>
        <w:trPr>
          <w:cantSplit/>
        </w:trPr>
        <w:tc>
          <w:tcPr>
            <w:tcW w:type="dxa" w:w="345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방산 업무에서 추가로 확인할 지원 조건</w:t>
            </w:r>
          </w:p>
        </w:tc>
        <w:tc>
          <w:tcPr>
            <w:tcW w:type="dxa" w:w="657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기업의 방산 관계를 개인의 지원 자격으로 오해하지 않고 실제 조건 확인. 확인할 조건을 명확히 하여 근거 없는 진로 배제를 방지</w:t>
            </w:r>
          </w:p>
        </w:tc>
      </w:tr>
      <w:tr>
        <w:trPr>
          <w:cantSplit/>
        </w:trPr>
        <w:tc>
          <w:tcPr>
            <w:tcW w:type="dxa" w:w="3458"/>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교육·자격 이후 관련 직무 취업 현황</w:t>
            </w:r>
          </w:p>
        </w:tc>
        <w:tc>
          <w:tcPr>
            <w:tcW w:type="dxa" w:w="6576"/>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과정 선택 후 관측된 진로 결과를 확인. 학습 경로의 적합성을 검토할 추가 근거 확보</w:t>
            </w:r>
          </w:p>
        </w:tc>
      </w:tr>
      <w:tr>
        <w:trPr>
          <w:cantSplit/>
        </w:trPr>
        <w:tc>
          <w:tcPr>
            <w:tcW w:type="dxa" w:w="345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드론에서 인접 분야로의 실제 경력 이동</w:t>
            </w:r>
          </w:p>
        </w:tc>
        <w:tc>
          <w:tcPr>
            <w:tcW w:type="dxa" w:w="657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기술 겹침과 실제 경력 이동 사례를 구분. 진입·전환 준비를 사례에 근거해 구체화</w:t>
            </w:r>
          </w:p>
        </w:tc>
      </w:tr>
    </w:tbl>
    <w:p>
      <w:pPr>
        <w:spacing w:after="40"/>
      </w:pPr>
    </w:p>
    <w:p>
      <w:r>
        <w:rPr>
          <w:rFonts w:ascii="맑은 고딕" w:hAnsi="맑은 고딕" w:eastAsia="맑은 고딕"/>
          <w:b w:val="0"/>
          <w:color w:val="000000"/>
        </w:rPr>
        <w:t>집계와 직접 연결키, 연봉 원문·비용·일정의 데이터 테스트 7개를 통과했다. Edge에서 주요 탐색 경로, 32개 검토 모듈, 차트 필터·합계·키보드 선택, 모바일 표시, HTML 저장과 오프라인 복원을 검증했다. 기업 정확 일치는 52/135공고이며 미연결 83개를 유지한다.</w:t>
      </w:r>
    </w:p>
    <w:p>
      <w:r>
        <w:rPr>
          <w:rFonts w:ascii="맑은 고딕" w:hAnsi="맑은 고딕" w:eastAsia="맑은 고딕"/>
          <w:b w:val="0"/>
          <w:color w:val="000000"/>
        </w:rPr>
        <w:t>직무 후보 규칙의 의미 적합성 전수 검토, 최신 모집 상태, 기업 동일성 전체, 공식 방산 지정, 교육 품질과 비용 정의 확정은 후속 과제다. 사용자 탐색 개선이나 취업 성과를 실측한 결과로 현재 기대효과를 표현하지 않는다.</w:t>
      </w:r>
    </w:p>
    <w:p>
      <w:pPr>
        <w:pStyle w:val="Heading1"/>
        <w:pageBreakBefore/>
      </w:pPr>
      <w:r>
        <w:t>11 이번 보완 이력</w:t>
      </w:r>
    </w:p>
    <w:p>
      <w:r>
        <w:rPr>
          <w:rFonts w:ascii="맑은 고딕" w:hAnsi="맑은 고딕" w:eastAsia="맑은 고딕"/>
          <w:b w:val="0"/>
          <w:color w:val="000000"/>
        </w:rPr>
        <w:t>원문 제목과 1~7절의 문장·표는 변경하지 않았다. 목적과 기대효과를 현재의 미구현 범위에 맞춰 축소하는 수정은 하지 않았다. 아래 네 절을 추가하여 기획과 구현 상태를 함께 읽을 수 있도록 했다.</w:t>
      </w:r>
    </w:p>
    <w:tbl>
      <w:tblPr>
        <w:tblW w:type="auto" w:w="0"/>
        <w:jc w:val="center"/>
        <w:tblLayout w:type="fixed"/>
        <w:tblLook w:firstColumn="1" w:firstRow="1" w:lastColumn="0" w:lastRow="0" w:noHBand="0" w:noVBand="1" w:val="04A0"/>
      </w:tblPr>
      <w:tblGrid>
        <w:gridCol w:w="1134"/>
        <w:gridCol w:w="1701"/>
        <w:gridCol w:w="7200"/>
      </w:tblGrid>
      <w:tr>
        <w:trPr>
          <w:cantSplit/>
          <w:tblHeader/>
        </w:trPr>
        <w:tc>
          <w:tcPr>
            <w:tcW w:type="dxa" w:w="1134"/>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color w:val="000000"/>
                <w:sz w:val="20"/>
              </w:rPr>
              <w:t>구분</w:t>
            </w:r>
          </w:p>
        </w:tc>
        <w:tc>
          <w:tcPr>
            <w:tcW w:type="dxa" w:w="1701"/>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color w:val="000000"/>
                <w:sz w:val="20"/>
              </w:rPr>
              <w:t>위치</w:t>
            </w:r>
          </w:p>
        </w:tc>
        <w:tc>
          <w:tcPr>
            <w:tcW w:type="dxa" w:w="7200"/>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color w:val="000000"/>
                <w:sz w:val="20"/>
              </w:rPr>
              <w:t>내용과 사유</w:t>
            </w:r>
          </w:p>
        </w:tc>
      </w:tr>
      <w:tr>
        <w:trPr>
          <w:cantSplit/>
        </w:trPr>
        <w:tc>
          <w:tcPr>
            <w:tcW w:type="dxa" w:w="113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유지</w:t>
            </w:r>
          </w:p>
        </w:tc>
        <w:tc>
          <w:tcPr>
            <w:tcW w:type="dxa" w:w="170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원문 1~7절</w:t>
            </w:r>
          </w:p>
        </w:tc>
        <w:tc>
          <w:tcPr>
            <w:tcW w:type="dxa" w:w="720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개요·배경·대상·기대효과·흐름·구성·활용 원칙 유지</w:t>
            </w:r>
          </w:p>
        </w:tc>
      </w:tr>
      <w:tr>
        <w:trPr>
          <w:cantSplit/>
        </w:trPr>
        <w:tc>
          <w:tcPr>
            <w:tcW w:type="dxa" w:w="113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추가</w:t>
            </w:r>
          </w:p>
        </w:tc>
        <w:tc>
          <w:tcPr>
            <w:tcW w:type="dxa" w:w="1701"/>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8절</w:t>
            </w:r>
          </w:p>
        </w:tc>
        <w:tc>
          <w:tcPr>
            <w:tcW w:type="dxa" w:w="720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채택 범위·시각화·검토·단일 선택·HTML 공유 현황</w:t>
            </w:r>
          </w:p>
        </w:tc>
      </w:tr>
      <w:tr>
        <w:trPr>
          <w:cantSplit/>
        </w:trPr>
        <w:tc>
          <w:tcPr>
            <w:tcW w:type="dxa" w:w="113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추가</w:t>
            </w:r>
          </w:p>
        </w:tc>
        <w:tc>
          <w:tcPr>
            <w:tcW w:type="dxa" w:w="170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9절</w:t>
            </w:r>
          </w:p>
        </w:tc>
        <w:tc>
          <w:tcPr>
            <w:tcW w:type="dxa" w:w="720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미채택 데이터와 미구현 비교 기능, 후보 규칙의 한계</w:t>
            </w:r>
          </w:p>
        </w:tc>
      </w:tr>
      <w:tr>
        <w:trPr>
          <w:cantSplit/>
        </w:trPr>
        <w:tc>
          <w:tcPr>
            <w:tcW w:type="dxa" w:w="113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추가</w:t>
            </w:r>
          </w:p>
        </w:tc>
        <w:tc>
          <w:tcPr>
            <w:tcW w:type="dxa" w:w="1701"/>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10절</w:t>
            </w:r>
          </w:p>
        </w:tc>
        <w:tc>
          <w:tcPr>
            <w:tcW w:type="dxa" w:w="720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7개 빈 영역·수집 우선순위·검증 완료 및 미검증 범위</w:t>
            </w:r>
          </w:p>
        </w:tc>
      </w:tr>
      <w:tr>
        <w:trPr>
          <w:cantSplit/>
        </w:trPr>
        <w:tc>
          <w:tcPr>
            <w:tcW w:type="dxa" w:w="113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추가</w:t>
            </w:r>
          </w:p>
        </w:tc>
        <w:tc>
          <w:tcPr>
            <w:tcW w:type="dxa" w:w="170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11절</w:t>
            </w:r>
          </w:p>
        </w:tc>
        <w:tc>
          <w:tcPr>
            <w:tcW w:type="dxa" w:w="720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70" w:lineRule="exact"/>
            </w:pPr>
            <w:r>
              <w:rPr>
                <w:rFonts w:ascii="맑은 고딕" w:hAnsi="맑은 고딕" w:eastAsia="맑은 고딕"/>
                <w:b w:val="0"/>
                <w:color w:val="000000"/>
                <w:sz w:val="20"/>
              </w:rPr>
              <w:t>변경 위치와 이유를 추적하는 보완 이력</w:t>
            </w:r>
          </w:p>
        </w:tc>
      </w:tr>
    </w:tbl>
    <w:p>
      <w:pPr>
        <w:spacing w:after="40"/>
      </w:pPr>
    </w:p>
    <w:p>
      <w:r>
        <w:rPr>
          <w:rFonts w:ascii="맑은 고딕" w:hAnsi="맑은 고딕" w:eastAsia="맑은 고딕"/>
          <w:b w:val="0"/>
          <w:color w:val="000000"/>
        </w:rPr>
        <w:t>현재 기획안 자체의 핵심 방향을 바꿀 필요는 없다. 다만 상세 설계와 구현의 차이는 남아 있으므로 원문에 있던 기능이 구현되었다고 해석해서는 안 된다. 현재 버전의 선별 범위는 기획과 별도로 검토하고, 후속 추가 여부는 데이터 활용 목적과 기대효과에 따라 결정한다.</w:t>
      </w:r>
    </w:p>
    <w:p>
      <w:r>
        <w:rPr>
          <w:rFonts w:ascii="맑은 고딕" w:hAnsi="맑은 고딕" w:eastAsia="맑은 고딕"/>
          <w:b w:val="0"/>
          <w:color w:val="000000"/>
        </w:rPr>
        <w:t>함께 볼 문서: 01 데이터 명세와 활용설계, 02 제작과정과 기획정합성 보고서. 두 문서에는 파일별 핵심 필드·관측 단위·연결 규칙과 세부 차이·검증 결과가 기록되어 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line="320" w:lineRule="exact" w:after="120"/>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60" w:after="140" w:line="320" w:lineRule="exact"/>
      <w:outlineLvl w:val="0"/>
    </w:pPr>
    <w:rPr>
      <w:rFonts w:asciiTheme="majorHAnsi" w:eastAsiaTheme="majorEastAsia" w:hAnsiTheme="majorHAnsi" w:cstheme="majorBidi" w:ascii="Noto Sans CJK KR" w:hAnsi="Noto Sans CJK KR" w:eastAsia="Noto Sans CJK KR"/>
      <w:b/>
      <w:bCs/>
      <w:color w:val="000000"/>
      <w:sz w:val="26"/>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20" w:line="320" w:lineRule="exact"/>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ageBreakBefore w:val="0"/>
      <w:spacing w:after="180" w:line="600" w:lineRule="exact"/>
      <w:contextualSpacing/>
    </w:pPr>
    <w:rPr>
      <w:rFonts w:asciiTheme="majorHAnsi" w:eastAsiaTheme="majorEastAsia" w:hAnsiTheme="majorHAnsi" w:cstheme="majorBidi"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pageBreakBefore w:val="0"/>
      <w:numPr>
        <w:ilvl w:val="1"/>
      </w:numPr>
      <w:spacing w:line="320" w:lineRule="exact" w:after="120"/>
    </w:pPr>
    <w:rPr>
      <w:rFonts w:asciiTheme="majorHAnsi" w:eastAsiaTheme="majorEastAsia" w:hAnsiTheme="majorHAnsi" w:cstheme="majorBidi" w:ascii="Noto Sans CJK KR" w:hAnsi="Noto Sans CJK KR" w:eastAsia="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pageBreakBefore w:val="0"/>
      <w:numPr>
        <w:numId w:val="1"/>
      </w:numPr>
      <w:spacing w:line="320" w:lineRule="exact" w:after="120"/>
      <w:ind w:left="216" w:hanging="216"/>
      <w:contextualSpacing/>
    </w:pPr>
    <w:rPr>
      <w:rFonts w:ascii="Noto Sans CJK KR" w:hAnsi="Noto Sans CJK KR" w:eastAsia="Noto Sans CJK KR"/>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드론 진로 탐색 대시보드 프로젝트 기획서</dc:title>
  <dc:subject>프로젝트 목적과 기대효과 및 데이터 활용 흐름</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