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mantic-seo-landing-page-audit"/>
      <w:r>
        <w:t xml:space="preserve">Semantic SEO Landing Page Audit</w:t>
      </w:r>
      <w:bookmarkEnd w:id="20"/>
    </w:p>
    <w:p>
      <w:pPr>
        <w:pStyle w:val="Heading2"/>
      </w:pPr>
      <w:bookmarkStart w:id="21" w:name="Xc20b4df13f6f054d91f5214b9ea1fb0ff2d2b8b"/>
      <w:r>
        <w:t xml:space="preserve">Medical Billing Services in California — Transcure</w:t>
      </w:r>
      <w:bookmarkEnd w:id="21"/>
    </w:p>
    <w:p>
      <w:pPr>
        <w:pStyle w:val="FirstParagraph"/>
      </w:pPr>
      <w:r>
        <w:rPr>
          <w:b/>
        </w:rPr>
        <w:t xml:space="preserve">Audit Date:</w:t>
      </w:r>
      <w:r>
        <w:t xml:space="preserve"> </w:t>
      </w:r>
      <w:r>
        <w:t xml:space="preserve">April 6, 2026</w:t>
      </w:r>
    </w:p>
    <w:p>
      <w:r>
        <w:pict>
          <v:rect style="width:0;height:1.5pt" o:hralign="center" o:hrstd="t" o:hr="t"/>
        </w:pict>
      </w:r>
    </w:p>
    <w:p>
      <w:pPr>
        <w:pStyle w:val="Heading2"/>
      </w:pPr>
      <w:bookmarkStart w:id="22" w:name="step-3-issue-table"/>
      <w:r>
        <w:t xml:space="preserve">STEP 3: ISSUE TABLE</w:t>
      </w:r>
      <w:bookmarkEnd w:id="2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Justification (Why it matters for semantic SEO / Google understanding)</w:t>
            </w:r>
          </w:p>
        </w:tc>
        <w:tc>
          <w:tcPr>
            <w:tcBorders>
              <w:bottom w:val="single"/>
            </w:tcBorders>
            <w:vAlign w:val="bottom"/>
          </w:tcPr>
          <w:p>
            <w:pPr>
              <w:pStyle w:val="Compact"/>
              <w:jc w:val="left"/>
            </w:pPr>
            <w:r>
              <w:t xml:space="preserve">Writer Instruction (Clear, actionable fix)</w:t>
            </w:r>
          </w:p>
        </w:tc>
        <w:tc>
          <w:tcPr>
            <w:tcBorders>
              <w:bottom w:val="single"/>
            </w:tcBorders>
            <w:vAlign w:val="bottom"/>
          </w:tcPr>
          <w:p>
            <w:pPr>
              <w:pStyle w:val="Compact"/>
              <w:jc w:val="left"/>
            </w:pPr>
            <w:r>
              <w:t xml:space="preserve">Example Fix (Before → After)</w:t>
            </w:r>
          </w:p>
        </w:tc>
        <w:tc>
          <w:tcPr>
            <w:tcBorders>
              <w:bottom w:val="single"/>
            </w:tcBorders>
            <w:vAlign w:val="bottom"/>
          </w:tcPr>
          <w:p>
            <w:pPr>
              <w:pStyle w:val="Compact"/>
              <w:jc w:val="left"/>
            </w:pPr>
            <w:r>
              <w:t xml:space="preserve">Location in Document</w:t>
            </w:r>
          </w:p>
        </w:tc>
      </w:tr>
      <w:tr>
        <w:tc>
          <w:p>
            <w:pPr>
              <w:pStyle w:val="Compact"/>
              <w:jc w:val="left"/>
            </w:pPr>
            <w:r>
              <w:t xml:space="preserve">1</w:t>
            </w:r>
          </w:p>
        </w:tc>
        <w:tc>
          <w:p>
            <w:pPr>
              <w:pStyle w:val="Compact"/>
              <w:jc w:val="left"/>
            </w:pPr>
            <w:r>
              <w:rPr>
                <w:b/>
              </w:rPr>
              <w:t xml:space="preserve">Cities section is entirely an image — zero crawlable text</w:t>
            </w:r>
          </w:p>
        </w:tc>
        <w:tc>
          <w:p>
            <w:pPr>
              <w:pStyle w:val="Compact"/>
              <w:jc w:val="left"/>
            </w:pPr>
            <w:r>
              <w:t xml:space="preserve">Google cannot index image content. All California city names, which are high-value geo-entities for local SEO, are invisible to crawlers. This destroys the page’s local relevance signals for city-level queries like</w:t>
            </w:r>
            <w:r>
              <w:t xml:space="preserve"> </w:t>
            </w:r>
            <w:r>
              <w:t xml:space="preserve">“</w:t>
            </w:r>
            <w:r>
              <w:t xml:space="preserve">medical billing services Los Angeles.</w:t>
            </w:r>
            <w:r>
              <w:t xml:space="preserve">”</w:t>
            </w:r>
          </w:p>
        </w:tc>
        <w:tc>
          <w:p>
            <w:pPr>
              <w:pStyle w:val="Compact"/>
              <w:jc w:val="left"/>
            </w:pPr>
            <w:r>
              <w:t xml:space="preserve">Replace the image with an HTML text grid or list of cities. At minimum, include the top 15–20 cities as crawlable text with a one-line payer-specific note per city.</w:t>
            </w:r>
          </w:p>
        </w:tc>
        <w:tc>
          <w:p>
            <w:pPr>
              <w:pStyle w:val="Compact"/>
              <w:jc w:val="left"/>
            </w:pPr>
            <w:r>
              <w:rPr>
                <w:b/>
              </w:rPr>
              <w:t xml:space="preserve">Before (image alt text only):</w:t>
            </w:r>
            <w:r>
              <w:t xml:space="preserve"> </w:t>
            </w:r>
            <w:r>
              <w:rPr>
                <w:rStyle w:val="VerbatimChar"/>
              </w:rPr>
              <w:t xml:space="preserve">![California cities served]</w:t>
            </w:r>
            <w:r>
              <w:t xml:space="preserve"> </w:t>
            </w:r>
            <w:r>
              <w:rPr>
                <w:b/>
              </w:rPr>
              <w:t xml:space="preserve">After:</w:t>
            </w:r>
            <w:r>
              <w:t xml:space="preserve"> </w:t>
            </w:r>
            <w:r>
              <w:t xml:space="preserve">“</w:t>
            </w:r>
            <w:r>
              <w:t xml:space="preserve">Los Angeles – LA Care, Anthem Medi-Cal, Covered California exchange; San Francisco – SF Health Plan, UCSF integrated networks; San Diego – Molina, Community Health Plan, Sharp HealthCare…</w:t>
            </w:r>
            <w:r>
              <w:t xml:space="preserve">”</w:t>
            </w:r>
          </w:p>
        </w:tc>
        <w:tc>
          <w:p>
            <w:pPr>
              <w:pStyle w:val="Compact"/>
              <w:jc w:val="left"/>
            </w:pPr>
            <w:r>
              <w:t xml:space="preserve">Under H2</w:t>
            </w:r>
            <w:r>
              <w:t xml:space="preserve"> </w:t>
            </w:r>
            <w:r>
              <w:t xml:space="preserve">“</w:t>
            </w:r>
            <w:r>
              <w:t xml:space="preserve">Which are the California Cities Where Transcure Provides Medical Billing Services?</w:t>
            </w:r>
            <w:r>
              <w:t xml:space="preserve">”</w:t>
            </w:r>
          </w:p>
        </w:tc>
      </w:tr>
      <w:tr>
        <w:tc>
          <w:p>
            <w:pPr>
              <w:pStyle w:val="Compact"/>
              <w:jc w:val="left"/>
            </w:pPr>
            <w:r>
              <w:t xml:space="preserve">2</w:t>
            </w:r>
          </w:p>
        </w:tc>
        <w:tc>
          <w:p>
            <w:pPr>
              <w:pStyle w:val="Compact"/>
              <w:jc w:val="left"/>
            </w:pPr>
            <w:r>
              <w:rPr>
                <w:b/>
              </w:rPr>
              <w:t xml:space="preserve">Counties section is entirely an image — zero crawlable text</w:t>
            </w:r>
          </w:p>
        </w:tc>
        <w:tc>
          <w:p>
            <w:pPr>
              <w:pStyle w:val="Compact"/>
              <w:jc w:val="left"/>
            </w:pPr>
            <w:r>
              <w:t xml:space="preserve">Same critical issue as cities. California’s 58 counties are high-value geo-entities. County names embedded in images are invisible to Google and prevent ranking for county-level queries like</w:t>
            </w:r>
            <w:r>
              <w:t xml:space="preserve"> </w:t>
            </w:r>
            <w:r>
              <w:t xml:space="preserve">“</w:t>
            </w:r>
            <w:r>
              <w:t xml:space="preserve">medical billing Sacramento County.</w:t>
            </w:r>
            <w:r>
              <w:t xml:space="preserve">”</w:t>
            </w:r>
          </w:p>
        </w:tc>
        <w:tc>
          <w:p>
            <w:pPr>
              <w:pStyle w:val="Compact"/>
              <w:jc w:val="left"/>
            </w:pPr>
            <w:r>
              <w:t xml:space="preserve">Replace the image with a crawlable text list of at least 20–25 key counties, grouped by region (Northern CA, Central Valley, Southern CA, Bay Area).</w:t>
            </w:r>
          </w:p>
        </w:tc>
        <w:tc>
          <w:p>
            <w:pPr>
              <w:pStyle w:val="Compact"/>
              <w:jc w:val="left"/>
            </w:pPr>
            <w:r>
              <w:rPr>
                <w:b/>
              </w:rPr>
              <w:t xml:space="preserve">Before:</w:t>
            </w:r>
            <w:r>
              <w:t xml:space="preserve"> </w:t>
            </w:r>
            <w:r>
              <w:rPr>
                <w:rStyle w:val="VerbatimChar"/>
              </w:rPr>
              <w:t xml:space="preserve">![California counties]</w:t>
            </w:r>
            <w:r>
              <w:t xml:space="preserve"> </w:t>
            </w:r>
            <w:r>
              <w:rPr>
                <w:b/>
              </w:rPr>
              <w:t xml:space="preserve">After:</w:t>
            </w:r>
            <w:r>
              <w:t xml:space="preserve"> </w:t>
            </w:r>
            <w:r>
              <w:t xml:space="preserve">“</w:t>
            </w:r>
            <w:r>
              <w:t xml:space="preserve">Los Angeles County, San Diego County, Orange County, Riverside County, San Bernardino County, Alameda County, Santa Clara County…</w:t>
            </w:r>
            <w:r>
              <w:t xml:space="preserve">”</w:t>
            </w:r>
          </w:p>
        </w:tc>
        <w:tc>
          <w:p>
            <w:pPr>
              <w:pStyle w:val="Compact"/>
              <w:jc w:val="left"/>
            </w:pPr>
            <w:r>
              <w:t xml:space="preserve">Under H2</w:t>
            </w:r>
            <w:r>
              <w:t xml:space="preserve"> </w:t>
            </w:r>
            <w:r>
              <w:t xml:space="preserve">“</w:t>
            </w:r>
            <w:r>
              <w:t xml:space="preserve">Which California Counties Benefit from Transcure’s Medical Billing Services in CA?</w:t>
            </w:r>
            <w:r>
              <w:t xml:space="preserve">”</w:t>
            </w:r>
          </w:p>
        </w:tc>
      </w:tr>
      <w:tr>
        <w:tc>
          <w:p>
            <w:pPr>
              <w:pStyle w:val="Compact"/>
              <w:jc w:val="left"/>
            </w:pPr>
            <w:r>
              <w:t xml:space="preserve">3</w:t>
            </w:r>
          </w:p>
        </w:tc>
        <w:tc>
          <w:p>
            <w:pPr>
              <w:pStyle w:val="Compact"/>
              <w:jc w:val="left"/>
            </w:pPr>
            <w:r>
              <w:rPr>
                <w:b/>
              </w:rPr>
              <w:t xml:space="preserve">Specialties section is entirely an image — zero crawlable text</w:t>
            </w:r>
          </w:p>
        </w:tc>
        <w:tc>
          <w:p>
            <w:pPr>
              <w:pStyle w:val="Compact"/>
              <w:jc w:val="left"/>
            </w:pPr>
            <w:r>
              <w:t xml:space="preserve">Medical specialty names (e.g.,</w:t>
            </w:r>
            <w:r>
              <w:t xml:space="preserve"> </w:t>
            </w:r>
            <w:r>
              <w:t xml:space="preserve">“</w:t>
            </w:r>
            <w:r>
              <w:t xml:space="preserve">cardiology billing California,</w:t>
            </w:r>
            <w:r>
              <w:t xml:space="preserve">”</w:t>
            </w:r>
            <w:r>
              <w:t xml:space="preserve"> </w:t>
            </w:r>
            <w:r>
              <w:t xml:space="preserve">“</w:t>
            </w:r>
            <w:r>
              <w:t xml:space="preserve">orthopedic billing Medi-Cal</w:t>
            </w:r>
            <w:r>
              <w:t xml:space="preserve">”</w:t>
            </w:r>
            <w:r>
              <w:t xml:space="preserve">) are extremely high-value keyword entities. Embedding them in an image removes all specialty-level ranking potential.</w:t>
            </w:r>
          </w:p>
        </w:tc>
        <w:tc>
          <w:p>
            <w:pPr>
              <w:pStyle w:val="Compact"/>
              <w:jc w:val="left"/>
            </w:pPr>
            <w:r>
              <w:t xml:space="preserve">List at minimum the top 15 specialties as crawlable text — ideally with a one-sentence note on the California-specific billing challenge for each specialty.</w:t>
            </w:r>
          </w:p>
        </w:tc>
        <w:tc>
          <w:p>
            <w:pPr>
              <w:pStyle w:val="Compact"/>
              <w:jc w:val="left"/>
            </w:pPr>
            <w:r>
              <w:rPr>
                <w:b/>
              </w:rPr>
              <w:t xml:space="preserve">Before:</w:t>
            </w:r>
            <w:r>
              <w:t xml:space="preserve"> </w:t>
            </w:r>
            <w:r>
              <w:rPr>
                <w:rStyle w:val="VerbatimChar"/>
              </w:rPr>
              <w:t xml:space="preserve">![Medical specialties]</w:t>
            </w:r>
            <w:r>
              <w:t xml:space="preserve"> </w:t>
            </w:r>
            <w:r>
              <w:rPr>
                <w:b/>
              </w:rPr>
              <w:t xml:space="preserve">After:</w:t>
            </w:r>
            <w:r>
              <w:t xml:space="preserve"> </w:t>
            </w:r>
            <w:r>
              <w:t xml:space="preserve">“</w:t>
            </w:r>
            <w:r>
              <w:t xml:space="preserve">Cardiology – complex CPT bundling under Medi-Cal managed care; Orthopedics – prior auth compliance under DMHC; Mental Health – AB 988 parity requirements; OB/GYN – Medi-Cal pregnancy presumptive eligibility…</w:t>
            </w:r>
            <w:r>
              <w:t xml:space="preserve">”</w:t>
            </w:r>
          </w:p>
        </w:tc>
        <w:tc>
          <w:p>
            <w:pPr>
              <w:pStyle w:val="Compact"/>
              <w:jc w:val="left"/>
            </w:pPr>
            <w:r>
              <w:t xml:space="preserve">Under H2</w:t>
            </w:r>
            <w:r>
              <w:t xml:space="preserve"> </w:t>
            </w:r>
            <w:r>
              <w:t xml:space="preserve">“</w:t>
            </w:r>
            <w:r>
              <w:t xml:space="preserve">What are the Major California Medical Specialties Billed by Our Medical Billing Services?</w:t>
            </w:r>
            <w:r>
              <w:t xml:space="preserve">”</w:t>
            </w:r>
          </w:p>
        </w:tc>
      </w:tr>
      <w:tr>
        <w:tc>
          <w:p>
            <w:pPr>
              <w:pStyle w:val="Compact"/>
              <w:jc w:val="left"/>
            </w:pPr>
            <w:r>
              <w:t xml:space="preserve">4</w:t>
            </w:r>
          </w:p>
        </w:tc>
        <w:tc>
          <w:p>
            <w:pPr>
              <w:pStyle w:val="Compact"/>
              <w:jc w:val="left"/>
            </w:pPr>
            <w:r>
              <w:rPr>
                <w:b/>
              </w:rPr>
              <w:t xml:space="preserve">EHR/EMR integrations listed as image — zero crawlable text</w:t>
            </w:r>
          </w:p>
        </w:tc>
        <w:tc>
          <w:p>
            <w:pPr>
              <w:pStyle w:val="Compact"/>
              <w:jc w:val="left"/>
            </w:pPr>
            <w:r>
              <w:t xml:space="preserve">EHR system names (Epic, Athenahealth, eClinicalWorks, etc.) are searchable entities. Practices search for</w:t>
            </w:r>
            <w:r>
              <w:t xml:space="preserve"> </w:t>
            </w:r>
            <w:r>
              <w:t xml:space="preserve">“</w:t>
            </w:r>
            <w:r>
              <w:t xml:space="preserve">Transcure Epic integration</w:t>
            </w:r>
            <w:r>
              <w:t xml:space="preserve">”</w:t>
            </w:r>
            <w:r>
              <w:t xml:space="preserve"> </w:t>
            </w:r>
            <w:r>
              <w:t xml:space="preserve">or</w:t>
            </w:r>
            <w:r>
              <w:t xml:space="preserve"> </w:t>
            </w:r>
            <w:r>
              <w:t xml:space="preserve">“</w:t>
            </w:r>
            <w:r>
              <w:t xml:space="preserve">medical billing eClinicalWorks California.</w:t>
            </w:r>
            <w:r>
              <w:t xml:space="preserve">”</w:t>
            </w:r>
            <w:r>
              <w:t xml:space="preserve"> </w:t>
            </w:r>
            <w:r>
              <w:t xml:space="preserve">These are invisible to crawlers.</w:t>
            </w:r>
          </w:p>
        </w:tc>
        <w:tc>
          <w:p>
            <w:pPr>
              <w:pStyle w:val="Compact"/>
              <w:jc w:val="left"/>
            </w:pPr>
            <w:r>
              <w:t xml:space="preserve">Replace image with a text list of supported EHR/EMR systems. Group them by category (large hospital systems, ambulatory, mental health) if applicable.</w:t>
            </w:r>
          </w:p>
        </w:tc>
        <w:tc>
          <w:p>
            <w:pPr>
              <w:pStyle w:val="Compact"/>
              <w:jc w:val="left"/>
            </w:pPr>
            <w:r>
              <w:rPr>
                <w:b/>
              </w:rPr>
              <w:t xml:space="preserve">Before:</w:t>
            </w:r>
            <w:r>
              <w:t xml:space="preserve"> </w:t>
            </w:r>
            <w:r>
              <w:rPr>
                <w:rStyle w:val="VerbatimChar"/>
              </w:rPr>
              <w:t xml:space="preserve">![EHR systems Transcure integrates with]</w:t>
            </w:r>
            <w:r>
              <w:t xml:space="preserve"> </w:t>
            </w:r>
            <w:r>
              <w:rPr>
                <w:b/>
              </w:rPr>
              <w:t xml:space="preserve">After:</w:t>
            </w:r>
            <w:r>
              <w:t xml:space="preserve"> </w:t>
            </w:r>
            <w:r>
              <w:t xml:space="preserve">“</w:t>
            </w:r>
            <w:r>
              <w:t xml:space="preserve">Epic, Athenahealth, eClinicalWorks, Kareo, DrChrono, Greenway Health, NextGen, Modernizing Medicine, Office Ally, Therapy Notes…</w:t>
            </w:r>
            <w:r>
              <w:t xml:space="preserve">”</w:t>
            </w:r>
          </w:p>
        </w:tc>
        <w:tc>
          <w:p>
            <w:pPr>
              <w:pStyle w:val="Compact"/>
              <w:jc w:val="left"/>
            </w:pPr>
            <w:r>
              <w:t xml:space="preserve">Under H2</w:t>
            </w:r>
            <w:r>
              <w:t xml:space="preserve"> </w:t>
            </w:r>
            <w:r>
              <w:t xml:space="preserve">“</w:t>
            </w:r>
            <w:r>
              <w:t xml:space="preserve">What EMR and EHR Systems Transcure Integrates with for California Billing?</w:t>
            </w:r>
            <w:r>
              <w:t xml:space="preserve">”</w:t>
            </w:r>
          </w:p>
        </w:tc>
      </w:tr>
      <w:tr>
        <w:tc>
          <w:p>
            <w:pPr>
              <w:pStyle w:val="Compact"/>
              <w:jc w:val="left"/>
            </w:pPr>
            <w:r>
              <w:t xml:space="preserve">5</w:t>
            </w:r>
          </w:p>
        </w:tc>
        <w:tc>
          <w:p>
            <w:pPr>
              <w:pStyle w:val="Compact"/>
              <w:jc w:val="left"/>
            </w:pPr>
            <w:r>
              <w:rPr>
                <w:b/>
              </w:rPr>
              <w:t xml:space="preserve">Testimonials section is entirely an image — zero crawlable social proof</w:t>
            </w:r>
          </w:p>
        </w:tc>
        <w:tc>
          <w:p>
            <w:pPr>
              <w:pStyle w:val="Compact"/>
              <w:jc w:val="left"/>
            </w:pPr>
            <w:r>
              <w:t xml:space="preserve">Google evaluates E-E-A-T through visible, indexable evidence of experience and user trust. Image-based testimonials provide zero NLP value and cannot be processed as review entities. This is a critical YMYL trust gap.</w:t>
            </w:r>
          </w:p>
        </w:tc>
        <w:tc>
          <w:p>
            <w:pPr>
              <w:pStyle w:val="Compact"/>
              <w:jc w:val="left"/>
            </w:pPr>
            <w:r>
              <w:t xml:space="preserve">Convert testimonials to HTML text with reviewer name, practice type, city, and star rating. Add structured data (Review schema) around each testimonial.</w:t>
            </w:r>
          </w:p>
        </w:tc>
        <w:tc>
          <w:p>
            <w:pPr>
              <w:pStyle w:val="Compact"/>
              <w:jc w:val="left"/>
            </w:pPr>
            <w:r>
              <w:rPr>
                <w:b/>
              </w:rPr>
              <w:t xml:space="preserve">Before:</w:t>
            </w:r>
            <w:r>
              <w:t xml:space="preserve"> </w:t>
            </w:r>
            <w:r>
              <w:rPr>
                <w:rStyle w:val="VerbatimChar"/>
              </w:rPr>
              <w:t xml:space="preserve">![California provider testimonials]</w:t>
            </w:r>
            <w:r>
              <w:t xml:space="preserve"> </w:t>
            </w:r>
            <w:r>
              <w:rPr>
                <w:b/>
              </w:rPr>
              <w:t xml:space="preserve">After:</w:t>
            </w:r>
            <w:r>
              <w:t xml:space="preserve"> </w:t>
            </w:r>
            <w:r>
              <w:rPr>
                <w:rStyle w:val="VerbatimChar"/>
              </w:rPr>
              <w:t xml:space="preserve">"Transcure cut our Medi-Cal denials by 40% in the first quarter." — Dr. Sarah M., Internal Medicine, Los Angeles, CA ⭐⭐⭐⭐⭐</w:t>
            </w:r>
          </w:p>
        </w:tc>
        <w:tc>
          <w:p>
            <w:pPr>
              <w:pStyle w:val="Compact"/>
              <w:jc w:val="left"/>
            </w:pPr>
            <w:r>
              <w:t xml:space="preserve">Under H2</w:t>
            </w:r>
            <w:r>
              <w:t xml:space="preserve"> </w:t>
            </w:r>
            <w:r>
              <w:t xml:space="preserve">“</w:t>
            </w:r>
            <w:r>
              <w:t xml:space="preserve">What California Providers Say About Transcure’s Medical Billing Services?</w:t>
            </w:r>
            <w:r>
              <w:t xml:space="preserve">”</w:t>
            </w:r>
          </w:p>
        </w:tc>
      </w:tr>
      <w:tr>
        <w:tc>
          <w:p>
            <w:pPr>
              <w:pStyle w:val="Compact"/>
              <w:jc w:val="left"/>
            </w:pPr>
            <w:r>
              <w:t xml:space="preserve">6</w:t>
            </w:r>
          </w:p>
        </w:tc>
        <w:tc>
          <w:p>
            <w:pPr>
              <w:pStyle w:val="Compact"/>
              <w:jc w:val="left"/>
            </w:pPr>
            <w:r>
              <w:rPr>
                <w:b/>
              </w:rPr>
              <w:t xml:space="preserve">Unattributed statistic:</w:t>
            </w:r>
            <w:r>
              <w:rPr>
                <w:b/>
              </w:rPr>
              <w:t xml:space="preserve"> </w:t>
            </w:r>
            <w:r>
              <w:rPr>
                <w:b/>
              </w:rPr>
              <w:t xml:space="preserve">“</w:t>
            </w:r>
            <w:r>
              <w:rPr>
                <w:b/>
              </w:rPr>
              <w:t xml:space="preserve">recovering an average of 80% of initially denied claims</w:t>
            </w:r>
            <w:r>
              <w:rPr>
                <w:b/>
              </w:rPr>
              <w:t xml:space="preserve">”</w:t>
            </w:r>
          </w:p>
        </w:tc>
        <w:tc>
          <w:p>
            <w:pPr>
              <w:pStyle w:val="Compact"/>
              <w:jc w:val="left"/>
            </w:pPr>
            <w:r>
              <w:t xml:space="preserve">YMYL content with financial claims requires sourced evidence. An unattributed 80% denial recovery rate is a legal risk and an E-E-A-T red flag. Google’s quality raters will downgrade pages that present financial performance claims without verifiable backing.</w:t>
            </w:r>
          </w:p>
        </w:tc>
        <w:tc>
          <w:p>
            <w:pPr>
              <w:pStyle w:val="Compact"/>
              <w:jc w:val="left"/>
            </w:pPr>
            <w:r>
              <w:t xml:space="preserve">Add a parenthetical source or narrow the claim to internal data:</w:t>
            </w:r>
            <w:r>
              <w:t xml:space="preserve"> </w:t>
            </w:r>
            <w:r>
              <w:t xml:space="preserve">“</w:t>
            </w:r>
            <w:r>
              <w:t xml:space="preserve">based on Transcure client data, 2023–2024.</w:t>
            </w:r>
            <w:r>
              <w:t xml:space="preserve">”</w:t>
            </w:r>
            <w:r>
              <w:t xml:space="preserve"> </w:t>
            </w:r>
            <w:r>
              <w:t xml:space="preserve">Or use safer phrasing:</w:t>
            </w:r>
            <w:r>
              <w:t xml:space="preserve"> </w:t>
            </w:r>
            <w:r>
              <w:t xml:space="preserve">“</w:t>
            </w:r>
            <w:r>
              <w:t xml:space="preserve">typically recovering the majority of initially denied claims, with rates above 75% for clients with complete documentation.</w:t>
            </w:r>
            <w:r>
              <w:t xml:space="preserve">”</w:t>
            </w:r>
          </w:p>
        </w:tc>
        <w:tc>
          <w:p>
            <w:pPr>
              <w:pStyle w:val="Compact"/>
              <w:jc w:val="left"/>
            </w:pPr>
            <w:r>
              <w:rPr>
                <w:b/>
              </w:rPr>
              <w:t xml:space="preserve">Before:</w:t>
            </w:r>
            <w:r>
              <w:t xml:space="preserve"> </w:t>
            </w:r>
            <w:r>
              <w:t xml:space="preserve">“</w:t>
            </w:r>
            <w:r>
              <w:t xml:space="preserve">recovering an average of 80% of initially denied claims</w:t>
            </w:r>
            <w:r>
              <w:t xml:space="preserve">”</w:t>
            </w:r>
            <w:r>
              <w:t xml:space="preserve"> </w:t>
            </w:r>
            <w:r>
              <w:rPr>
                <w:b/>
              </w:rPr>
              <w:t xml:space="preserve">After:</w:t>
            </w:r>
            <w:r>
              <w:t xml:space="preserve"> </w:t>
            </w:r>
            <w:r>
              <w:t xml:space="preserve">“</w:t>
            </w:r>
            <w:r>
              <w:t xml:space="preserve">recovering an average of 80% of initially denied claims (based on Transcure client performance data, 2024)</w:t>
            </w:r>
            <w:r>
              <w:t xml:space="preserve">”</w:t>
            </w:r>
          </w:p>
        </w:tc>
        <w:tc>
          <w:p>
            <w:pPr>
              <w:pStyle w:val="Compact"/>
              <w:jc w:val="left"/>
            </w:pPr>
            <w:r>
              <w:t xml:space="preserve">Under H2</w:t>
            </w:r>
            <w:r>
              <w:t xml:space="preserve"> </w:t>
            </w:r>
            <w:r>
              <w:t xml:space="preserve">“</w:t>
            </w:r>
            <w:r>
              <w:t xml:space="preserve">How Transcure Improves California Practices Financially,</w:t>
            </w:r>
            <w:r>
              <w:t xml:space="preserve">”</w:t>
            </w:r>
            <w:r>
              <w:t xml:space="preserve"> </w:t>
            </w:r>
            <w:r>
              <w:t xml:space="preserve">sub-section</w:t>
            </w:r>
            <w:r>
              <w:t xml:space="preserve"> </w:t>
            </w:r>
            <w:r>
              <w:t xml:space="preserve">“</w:t>
            </w:r>
            <w:r>
              <w:t xml:space="preserve">Real-Time Denial Detection and Appeals</w:t>
            </w:r>
            <w:r>
              <w:t xml:space="preserve">”</w:t>
            </w:r>
          </w:p>
        </w:tc>
      </w:tr>
      <w:tr>
        <w:tc>
          <w:p>
            <w:pPr>
              <w:pStyle w:val="Compact"/>
              <w:jc w:val="left"/>
            </w:pPr>
            <w:r>
              <w:t xml:space="preserve">7</w:t>
            </w:r>
          </w:p>
        </w:tc>
        <w:tc>
          <w:p>
            <w:pPr>
              <w:pStyle w:val="Compact"/>
              <w:jc w:val="left"/>
            </w:pPr>
            <w:r>
              <w:rPr>
                <w:b/>
              </w:rPr>
              <w:t xml:space="preserve">Unattributed statistic:</w:t>
            </w:r>
            <w:r>
              <w:rPr>
                <w:b/>
              </w:rPr>
              <w:t xml:space="preserve"> </w:t>
            </w:r>
            <w:r>
              <w:rPr>
                <w:b/>
              </w:rPr>
              <w:t xml:space="preserve">“</w:t>
            </w:r>
            <w:r>
              <w:rPr>
                <w:b/>
              </w:rPr>
              <w:t xml:space="preserve">achieving over a 99% first-pass clean claim rate</w:t>
            </w:r>
            <w:r>
              <w:rPr>
                <w:b/>
              </w:rPr>
              <w:t xml:space="preserve">”</w:t>
            </w:r>
          </w:p>
        </w:tc>
        <w:tc>
          <w:p>
            <w:pPr>
              <w:pStyle w:val="Compact"/>
              <w:jc w:val="left"/>
            </w:pPr>
            <w:r>
              <w:t xml:space="preserve">Same E-E-A-T risk as above. A 99%+ first-pass rate is an extraordinary claim that requires substantiation for YMYL credibility. Without attribution it reads as marketing puffery to both users and Google’s quality evaluators.</w:t>
            </w:r>
          </w:p>
        </w:tc>
        <w:tc>
          <w:p>
            <w:pPr>
              <w:pStyle w:val="Compact"/>
              <w:jc w:val="left"/>
            </w:pPr>
            <w:r>
              <w:t xml:space="preserve">Add source attribution:</w:t>
            </w:r>
            <w:r>
              <w:t xml:space="preserve"> </w:t>
            </w:r>
            <w:r>
              <w:t xml:space="preserve">“</w:t>
            </w:r>
            <w:r>
              <w:t xml:space="preserve">(based on Transcure’s 2024 internal billing performance data across California clients)</w:t>
            </w:r>
            <w:r>
              <w:t xml:space="preserve">”</w:t>
            </w:r>
            <w:r>
              <w:t xml:space="preserve"> </w:t>
            </w:r>
            <w:r>
              <w:t xml:space="preserve">or soften to</w:t>
            </w:r>
            <w:r>
              <w:t xml:space="preserve"> </w:t>
            </w:r>
            <w:r>
              <w:t xml:space="preserve">“</w:t>
            </w:r>
            <w:r>
              <w:t xml:space="preserve">consistently achieving first-pass clean claim rates above 97% for qualifying California practices.</w:t>
            </w:r>
            <w:r>
              <w:t xml:space="preserve">”</w:t>
            </w:r>
          </w:p>
        </w:tc>
        <w:tc>
          <w:p>
            <w:pPr>
              <w:pStyle w:val="Compact"/>
              <w:jc w:val="left"/>
            </w:pPr>
            <w:r>
              <w:rPr>
                <w:b/>
              </w:rPr>
              <w:t xml:space="preserve">Before:</w:t>
            </w:r>
            <w:r>
              <w:t xml:space="preserve"> </w:t>
            </w:r>
            <w:r>
              <w:t xml:space="preserve">“</w:t>
            </w:r>
            <w:r>
              <w:t xml:space="preserve">achieving over a 99% first-pass clean claim rate</w:t>
            </w:r>
            <w:r>
              <w:t xml:space="preserve">”</w:t>
            </w:r>
            <w:r>
              <w:t xml:space="preserve"> </w:t>
            </w:r>
            <w:r>
              <w:rPr>
                <w:b/>
              </w:rPr>
              <w:t xml:space="preserve">After:</w:t>
            </w:r>
            <w:r>
              <w:t xml:space="preserve"> </w:t>
            </w:r>
            <w:r>
              <w:t xml:space="preserve">“</w:t>
            </w:r>
            <w:r>
              <w:t xml:space="preserve">achieving over a 99% first-pass clean claim rate across Transcure’s California client base (internal performance data, 2024)</w:t>
            </w:r>
            <w:r>
              <w:t xml:space="preserve">”</w:t>
            </w:r>
          </w:p>
        </w:tc>
        <w:tc>
          <w:p>
            <w:pPr>
              <w:pStyle w:val="Compact"/>
              <w:jc w:val="left"/>
            </w:pPr>
            <w:r>
              <w:t xml:space="preserve">Under H2</w:t>
            </w:r>
            <w:r>
              <w:t xml:space="preserve"> </w:t>
            </w:r>
            <w:r>
              <w:t xml:space="preserve">“</w:t>
            </w:r>
            <w:r>
              <w:t xml:space="preserve">What are the Key Attributes,</w:t>
            </w:r>
            <w:r>
              <w:t xml:space="preserve">”</w:t>
            </w:r>
            <w:r>
              <w:t xml:space="preserve"> </w:t>
            </w:r>
            <w:r>
              <w:t xml:space="preserve">sub-section</w:t>
            </w:r>
            <w:r>
              <w:t xml:space="preserve"> </w:t>
            </w:r>
            <w:r>
              <w:t xml:space="preserve">“</w:t>
            </w:r>
            <w:r>
              <w:t xml:space="preserve">AI-Powered Revenue Cycle Platform</w:t>
            </w:r>
            <w:r>
              <w:t xml:space="preserve">”</w:t>
            </w:r>
          </w:p>
        </w:tc>
      </w:tr>
      <w:tr>
        <w:tc>
          <w:p>
            <w:pPr>
              <w:pStyle w:val="Compact"/>
              <w:jc w:val="left"/>
            </w:pPr>
            <w:r>
              <w:t xml:space="preserve">8</w:t>
            </w:r>
          </w:p>
        </w:tc>
        <w:tc>
          <w:p>
            <w:pPr>
              <w:pStyle w:val="Compact"/>
              <w:jc w:val="left"/>
            </w:pPr>
            <w:r>
              <w:rPr>
                <w:b/>
              </w:rPr>
              <w:t xml:space="preserve">Superlative claim:</w:t>
            </w:r>
            <w:r>
              <w:rPr>
                <w:b/>
              </w:rPr>
              <w:t xml:space="preserve"> </w:t>
            </w:r>
            <w:r>
              <w:rPr>
                <w:b/>
              </w:rPr>
              <w:t xml:space="preserve">“</w:t>
            </w:r>
            <w:r>
              <w:rPr>
                <w:b/>
              </w:rPr>
              <w:t xml:space="preserve">Transcure is the best medical billing company in California</w:t>
            </w:r>
            <w:r>
              <w:rPr>
                <w:b/>
              </w:rPr>
              <w:t xml:space="preserve">”</w:t>
            </w:r>
          </w:p>
        </w:tc>
        <w:tc>
          <w:p>
            <w:pPr>
              <w:pStyle w:val="Compact"/>
              <w:jc w:val="left"/>
            </w:pPr>
            <w:r>
              <w:t xml:space="preserve">Unsubstantiated superlatives are an E-E-A-T failure on YMYL pages. Google’s quality rater guidelines specifically flag</w:t>
            </w:r>
            <w:r>
              <w:t xml:space="preserve"> </w:t>
            </w:r>
            <w:r>
              <w:t xml:space="preserve">“</w:t>
            </w:r>
            <w:r>
              <w:t xml:space="preserve">the best</w:t>
            </w:r>
            <w:r>
              <w:t xml:space="preserve">”</w:t>
            </w:r>
            <w:r>
              <w:t xml:space="preserve"> </w:t>
            </w:r>
            <w:r>
              <w:t xml:space="preserve">claims without supporting evidence. This also creates legal exposure.</w:t>
            </w:r>
          </w:p>
        </w:tc>
        <w:tc>
          <w:p>
            <w:pPr>
              <w:pStyle w:val="Compact"/>
              <w:jc w:val="left"/>
            </w:pPr>
            <w:r>
              <w:t xml:space="preserve">Replace with a claims-backed differentiator that references verifiable attributes: certifications held, number of CA practices served, or a measurable outcome.</w:t>
            </w:r>
          </w:p>
        </w:tc>
        <w:tc>
          <w:p>
            <w:pPr>
              <w:pStyle w:val="Compact"/>
              <w:jc w:val="left"/>
            </w:pPr>
            <w:r>
              <w:rPr>
                <w:b/>
              </w:rPr>
              <w:t xml:space="preserve">Before:</w:t>
            </w:r>
            <w:r>
              <w:t xml:space="preserve"> </w:t>
            </w:r>
            <w:r>
              <w:t xml:space="preserve">“</w:t>
            </w:r>
            <w:r>
              <w:t xml:space="preserve">Transcure is the best medical billing company in California because we provide the following benefits…</w:t>
            </w:r>
            <w:r>
              <w:t xml:space="preserve">”</w:t>
            </w:r>
            <w:r>
              <w:t xml:space="preserve"> </w:t>
            </w:r>
            <w:r>
              <w:rPr>
                <w:b/>
              </w:rPr>
              <w:t xml:space="preserve">After:</w:t>
            </w:r>
            <w:r>
              <w:t xml:space="preserve"> </w:t>
            </w:r>
            <w:r>
              <w:t xml:space="preserve">“</w:t>
            </w:r>
            <w:r>
              <w:t xml:space="preserve">Transcure is California practices’ trusted medical billing partner, serving providers across all 58 counties with CPC-, CCS-, and CPMA-certified specialists and a dedicated California compliance desk.</w:t>
            </w:r>
            <w:r>
              <w:t xml:space="preserve">”</w:t>
            </w:r>
          </w:p>
        </w:tc>
        <w:tc>
          <w:p>
            <w:pPr>
              <w:pStyle w:val="Compact"/>
              <w:jc w:val="left"/>
            </w:pPr>
            <w:r>
              <w:t xml:space="preserve">Opening sentence under H2</w:t>
            </w:r>
            <w:r>
              <w:t xml:space="preserve"> </w:t>
            </w:r>
            <w:r>
              <w:t xml:space="preserve">“</w:t>
            </w:r>
            <w:r>
              <w:t xml:space="preserve">What are the Key Attributes That Make Transcure California’s Top Medical Billing Company?</w:t>
            </w:r>
            <w:r>
              <w:t xml:space="preserve">”</w:t>
            </w:r>
          </w:p>
        </w:tc>
      </w:tr>
      <w:tr>
        <w:tc>
          <w:p>
            <w:pPr>
              <w:pStyle w:val="Compact"/>
              <w:jc w:val="left"/>
            </w:pPr>
            <w:r>
              <w:t xml:space="preserve">9</w:t>
            </w:r>
          </w:p>
        </w:tc>
        <w:tc>
          <w:p>
            <w:pPr>
              <w:pStyle w:val="Compact"/>
              <w:jc w:val="left"/>
            </w:pPr>
            <w:r>
              <w:rPr>
                <w:b/>
              </w:rPr>
              <w:t xml:space="preserve">Typo in pricing section:</w:t>
            </w:r>
            <w:r>
              <w:rPr>
                <w:b/>
              </w:rPr>
              <w:t xml:space="preserve"> </w:t>
            </w:r>
            <w:r>
              <w:rPr>
                <w:b/>
              </w:rPr>
              <w:t xml:space="preserve">“</w:t>
            </w:r>
            <w:r>
              <w:rPr>
                <w:b/>
              </w:rPr>
              <w:t xml:space="preserve">30 rto 40%</w:t>
            </w:r>
            <w:r>
              <w:rPr>
                <w:b/>
              </w:rPr>
              <w:t xml:space="preserve">”</w:t>
            </w:r>
          </w:p>
        </w:tc>
        <w:tc>
          <w:p>
            <w:pPr>
              <w:pStyle w:val="Compact"/>
              <w:jc w:val="left"/>
            </w:pPr>
            <w:r>
              <w:t xml:space="preserve">Typographical errors signal low content quality to both users and Google’s quality evaluators. On a YMYL financial claims section, this is particularly damaging to perceived credibility.</w:t>
            </w:r>
          </w:p>
        </w:tc>
        <w:tc>
          <w:p>
            <w:pPr>
              <w:pStyle w:val="Compact"/>
              <w:jc w:val="left"/>
            </w:pPr>
            <w:r>
              <w:t xml:space="preserve">Correct to</w:t>
            </w:r>
            <w:r>
              <w:t xml:space="preserve"> </w:t>
            </w:r>
            <w:r>
              <w:t xml:space="preserve">“</w:t>
            </w:r>
            <w:r>
              <w:t xml:space="preserve">30 to 40%.</w:t>
            </w:r>
            <w:r>
              <w:t xml:space="preserve">”</w:t>
            </w:r>
          </w:p>
        </w:tc>
        <w:tc>
          <w:p>
            <w:pPr>
              <w:pStyle w:val="Compact"/>
              <w:jc w:val="left"/>
            </w:pPr>
            <w:r>
              <w:rPr>
                <w:b/>
              </w:rPr>
              <w:t xml:space="preserve">Before:</w:t>
            </w:r>
            <w:r>
              <w:t xml:space="preserve"> </w:t>
            </w:r>
            <w:r>
              <w:t xml:space="preserve">“</w:t>
            </w:r>
            <w:r>
              <w:t xml:space="preserve">add another 30 rto 40%</w:t>
            </w:r>
            <w:r>
              <w:t xml:space="preserve">”</w:t>
            </w:r>
            <w:r>
              <w:t xml:space="preserve"> </w:t>
            </w:r>
            <w:r>
              <w:rPr>
                <w:b/>
              </w:rPr>
              <w:t xml:space="preserve">After:</w:t>
            </w:r>
            <w:r>
              <w:t xml:space="preserve"> </w:t>
            </w:r>
            <w:r>
              <w:t xml:space="preserve">“</w:t>
            </w:r>
            <w:r>
              <w:t xml:space="preserve">add another 30 to 40%</w:t>
            </w:r>
            <w:r>
              <w:t xml:space="preserve">”</w:t>
            </w:r>
          </w:p>
        </w:tc>
        <w:tc>
          <w:p>
            <w:pPr>
              <w:pStyle w:val="Compact"/>
              <w:jc w:val="left"/>
            </w:pPr>
            <w:r>
              <w:t xml:space="preserve">Under H2</w:t>
            </w:r>
            <w:r>
              <w:t xml:space="preserve"> </w:t>
            </w:r>
            <w:r>
              <w:t xml:space="preserve">“</w:t>
            </w:r>
            <w:r>
              <w:t xml:space="preserve">How Much Can California Practices Save,</w:t>
            </w:r>
            <w:r>
              <w:t xml:space="preserve">”</w:t>
            </w:r>
            <w:r>
              <w:t xml:space="preserve"> </w:t>
            </w:r>
            <w:r>
              <w:t xml:space="preserve">paragraph 1</w:t>
            </w:r>
          </w:p>
        </w:tc>
      </w:tr>
      <w:tr>
        <w:tc>
          <w:p>
            <w:pPr>
              <w:pStyle w:val="Compact"/>
              <w:jc w:val="left"/>
            </w:pPr>
            <w:r>
              <w:t xml:space="preserve">10</w:t>
            </w:r>
          </w:p>
        </w:tc>
        <w:tc>
          <w:p>
            <w:pPr>
              <w:pStyle w:val="Compact"/>
              <w:jc w:val="left"/>
            </w:pPr>
            <w:r>
              <w:rPr>
                <w:b/>
              </w:rPr>
              <w:t xml:space="preserve">Grammar error in FAQ heading:</w:t>
            </w:r>
            <w:r>
              <w:rPr>
                <w:b/>
              </w:rPr>
              <w:t xml:space="preserve"> </w:t>
            </w:r>
            <w:r>
              <w:rPr>
                <w:b/>
              </w:rPr>
              <w:t xml:space="preserve">“</w:t>
            </w:r>
            <w:r>
              <w:rPr>
                <w:b/>
              </w:rPr>
              <w:t xml:space="preserve">how does it affects CA medical billing</w:t>
            </w:r>
            <w:r>
              <w:rPr>
                <w:b/>
              </w:rPr>
              <w:t xml:space="preserve">”</w:t>
            </w:r>
          </w:p>
        </w:tc>
        <w:tc>
          <w:p>
            <w:pPr>
              <w:pStyle w:val="Compact"/>
              <w:jc w:val="left"/>
            </w:pPr>
            <w:r>
              <w:t xml:space="preserve">H2/H3 headings are entity-rich signals for Google NLP. A grammatical error in a heading reduces clarity for both NLP parsing and user trust.</w:t>
            </w:r>
          </w:p>
        </w:tc>
        <w:tc>
          <w:p>
            <w:pPr>
              <w:pStyle w:val="Compact"/>
              <w:jc w:val="left"/>
            </w:pPr>
            <w:r>
              <w:t xml:space="preserve">Correct to</w:t>
            </w:r>
            <w:r>
              <w:t xml:space="preserve"> </w:t>
            </w:r>
            <w:r>
              <w:t xml:space="preserve">“</w:t>
            </w:r>
            <w:r>
              <w:t xml:space="preserve">how does it affect CA medical billing?</w:t>
            </w:r>
            <w:r>
              <w:t xml:space="preserve">”</w:t>
            </w:r>
          </w:p>
        </w:tc>
        <w:tc>
          <w:p>
            <w:pPr>
              <w:pStyle w:val="Compact"/>
              <w:jc w:val="left"/>
            </w:pPr>
            <w:r>
              <w:rPr>
                <w:b/>
              </w:rPr>
              <w:t xml:space="preserve">Before:</w:t>
            </w:r>
            <w:r>
              <w:t xml:space="preserve"> </w:t>
            </w:r>
            <w:r>
              <w:t xml:space="preserve">“</w:t>
            </w:r>
            <w:r>
              <w:t xml:space="preserve">What is AB 72 law, and how does it affects CA medical billing?</w:t>
            </w:r>
            <w:r>
              <w:t xml:space="preserve">”</w:t>
            </w:r>
            <w:r>
              <w:t xml:space="preserve"> </w:t>
            </w:r>
            <w:r>
              <w:rPr>
                <w:b/>
              </w:rPr>
              <w:t xml:space="preserve">After:</w:t>
            </w:r>
            <w:r>
              <w:t xml:space="preserve"> </w:t>
            </w:r>
            <w:r>
              <w:t xml:space="preserve">“</w:t>
            </w:r>
            <w:r>
              <w:t xml:space="preserve">What is AB 72, and how does it affect California medical billing?</w:t>
            </w:r>
            <w:r>
              <w:t xml:space="preserve">”</w:t>
            </w:r>
          </w:p>
        </w:tc>
        <w:tc>
          <w:p>
            <w:pPr>
              <w:pStyle w:val="Compact"/>
              <w:jc w:val="left"/>
            </w:pPr>
            <w:r>
              <w:t xml:space="preserve">FAQ H3 heading for the AB 72 question</w:t>
            </w:r>
          </w:p>
        </w:tc>
      </w:tr>
      <w:tr>
        <w:tc>
          <w:p>
            <w:pPr>
              <w:pStyle w:val="Compact"/>
              <w:jc w:val="left"/>
            </w:pPr>
            <w:r>
              <w:t xml:space="preserve">11</w:t>
            </w:r>
          </w:p>
        </w:tc>
        <w:tc>
          <w:p>
            <w:pPr>
              <w:pStyle w:val="Compact"/>
              <w:jc w:val="left"/>
            </w:pPr>
            <w:r>
              <w:rPr>
                <w:b/>
              </w:rPr>
              <w:t xml:space="preserve">FAQ answer #5 (</w:t>
            </w:r>
            <w:r>
              <w:rPr>
                <w:b/>
              </w:rPr>
              <w:t xml:space="preserve">“</w:t>
            </w:r>
            <w:r>
              <w:rPr>
                <w:b/>
              </w:rPr>
              <w:t xml:space="preserve">3-month rule for Medi-Cal</w:t>
            </w:r>
            <w:r>
              <w:rPr>
                <w:b/>
              </w:rPr>
              <w:t xml:space="preserve">”</w:t>
            </w:r>
            <w:r>
              <w:rPr>
                <w:b/>
              </w:rPr>
              <w:t xml:space="preserve">) targets patients, not providers</w:t>
            </w:r>
          </w:p>
        </w:tc>
        <w:tc>
          <w:p>
            <w:pPr>
              <w:pStyle w:val="Compact"/>
              <w:jc w:val="left"/>
            </w:pPr>
            <w:r>
              <w:t xml:space="preserve">The entire page targets healthcare providers making outsourcing decisions, yet this FAQ answer is written for Medi-Cal patients (</w:t>
            </w:r>
            <w:r>
              <w:t xml:space="preserve">“</w:t>
            </w:r>
            <w:r>
              <w:t xml:space="preserve">helps reduce out-of-pocket costs for recent healthcare services received before applying</w:t>
            </w:r>
            <w:r>
              <w:t xml:space="preserve">”</w:t>
            </w:r>
            <w:r>
              <w:t xml:space="preserve">). This is a severe audience mismatch that confuses Google’s entity understanding of the page’s target audience.</w:t>
            </w:r>
          </w:p>
        </w:tc>
        <w:tc>
          <w:p>
            <w:pPr>
              <w:pStyle w:val="Compact"/>
              <w:jc w:val="left"/>
            </w:pPr>
            <w:r>
              <w:t xml:space="preserve">Rewrite the answer to address the billing implication for providers: how Transcure handles retroactive eligibility verification and billing for patients who qualify under the 3-month retroactive rule.</w:t>
            </w:r>
          </w:p>
        </w:tc>
        <w:tc>
          <w:p>
            <w:pPr>
              <w:pStyle w:val="Compact"/>
              <w:jc w:val="left"/>
            </w:pPr>
            <w:r>
              <w:rPr>
                <w:b/>
              </w:rPr>
              <w:t xml:space="preserve">Before:</w:t>
            </w:r>
            <w:r>
              <w:t xml:space="preserve"> </w:t>
            </w:r>
            <w:r>
              <w:t xml:space="preserve">“</w:t>
            </w:r>
            <w:r>
              <w:t xml:space="preserve">helping reduce out-of-pocket costs for recent healthcare services received before applying</w:t>
            </w:r>
            <w:r>
              <w:t xml:space="preserve">”</w:t>
            </w:r>
            <w:r>
              <w:t xml:space="preserve"> </w:t>
            </w:r>
            <w:r>
              <w:rPr>
                <w:b/>
              </w:rPr>
              <w:t xml:space="preserve">After:</w:t>
            </w:r>
            <w:r>
              <w:t xml:space="preserve"> </w:t>
            </w:r>
            <w:r>
              <w:t xml:space="preserve">“</w:t>
            </w:r>
            <w:r>
              <w:t xml:space="preserve">For providers, Transcure’s eligibility team retroactively verifies Medi-Cal coverage for patients who applied after receiving care, identifies billable dates within the three-month retroactive window, and resubmits claims to DHCS before timely filing limits expire — recovering revenue that would otherwise be written off.</w:t>
            </w:r>
            <w:r>
              <w:t xml:space="preserve">”</w:t>
            </w:r>
          </w:p>
        </w:tc>
        <w:tc>
          <w:p>
            <w:pPr>
              <w:pStyle w:val="Compact"/>
              <w:jc w:val="left"/>
            </w:pPr>
            <w:r>
              <w:t xml:space="preserve">FAQ section, last FAQ answer</w:t>
            </w:r>
            <w:r>
              <w:t xml:space="preserve"> </w:t>
            </w:r>
            <w:r>
              <w:t xml:space="preserve">“</w:t>
            </w:r>
            <w:r>
              <w:t xml:space="preserve">What is the 3-month rule for Medi-Cal?</w:t>
            </w:r>
            <w:r>
              <w:t xml:space="preserve">”</w:t>
            </w:r>
          </w:p>
        </w:tc>
      </w:tr>
      <w:tr>
        <w:tc>
          <w:p>
            <w:pPr>
              <w:pStyle w:val="Compact"/>
              <w:jc w:val="left"/>
            </w:pPr>
            <w:r>
              <w:t xml:space="preserve">12</w:t>
            </w:r>
          </w:p>
        </w:tc>
        <w:tc>
          <w:p>
            <w:pPr>
              <w:pStyle w:val="Compact"/>
              <w:jc w:val="left"/>
            </w:pPr>
            <w:r>
              <w:rPr>
                <w:b/>
              </w:rPr>
              <w:t xml:space="preserve">Hero bullet</w:t>
            </w:r>
            <w:r>
              <w:rPr>
                <w:b/>
              </w:rPr>
              <w:t xml:space="preserve"> </w:t>
            </w:r>
            <w:r>
              <w:rPr>
                <w:b/>
              </w:rPr>
              <w:t xml:space="preserve">“</w:t>
            </w:r>
            <w:r>
              <w:rPr>
                <w:b/>
              </w:rPr>
              <w:t xml:space="preserve">Covers all 58 California counties across every specialty</w:t>
            </w:r>
            <w:r>
              <w:rPr>
                <w:b/>
              </w:rPr>
              <w:t xml:space="preserve">”</w:t>
            </w:r>
            <w:r>
              <w:rPr>
                <w:b/>
              </w:rPr>
              <w:t xml:space="preserve"> </w:t>
            </w:r>
            <w:r>
              <w:rPr>
                <w:b/>
              </w:rPr>
              <w:t xml:space="preserve">— vague semantic triple</w:t>
            </w:r>
          </w:p>
        </w:tc>
        <w:tc>
          <w:p>
            <w:pPr>
              <w:pStyle w:val="Compact"/>
              <w:jc w:val="left"/>
            </w:pPr>
            <w:r>
              <w:t xml:space="preserve">The subject is implied (</w:t>
            </w:r>
            <w:r>
              <w:t xml:space="preserve">“</w:t>
            </w:r>
            <w:r>
              <w:t xml:space="preserve">Transcure</w:t>
            </w:r>
            <w:r>
              <w:t xml:space="preserve">”</w:t>
            </w:r>
            <w:r>
              <w:t xml:space="preserve">), the action is</w:t>
            </w:r>
            <w:r>
              <w:t xml:space="preserve"> </w:t>
            </w:r>
            <w:r>
              <w:t xml:space="preserve">“</w:t>
            </w:r>
            <w:r>
              <w:t xml:space="preserve">covers</w:t>
            </w:r>
            <w:r>
              <w:t xml:space="preserve">”</w:t>
            </w:r>
            <w:r>
              <w:t xml:space="preserve"> </w:t>
            </w:r>
            <w:r>
              <w:t xml:space="preserve">(passive/vague), and the object (</w:t>
            </w:r>
            <w:r>
              <w:t xml:space="preserve">“</w:t>
            </w:r>
            <w:r>
              <w:t xml:space="preserve">all 58 counties across every specialty</w:t>
            </w:r>
            <w:r>
              <w:t xml:space="preserve">”</w:t>
            </w:r>
            <w:r>
              <w:t xml:space="preserve">) has no service-specific outcome. It reads as a geographic coverage claim with no billing value proposition attached.</w:t>
            </w:r>
          </w:p>
        </w:tc>
        <w:tc>
          <w:p>
            <w:pPr>
              <w:pStyle w:val="Compact"/>
              <w:jc w:val="left"/>
            </w:pPr>
            <w:r>
              <w:t xml:space="preserve">Replace with a triple that connects the coverage claim to a billing-specific benefit: which regulatory challenge does this coverage address?</w:t>
            </w:r>
          </w:p>
        </w:tc>
        <w:tc>
          <w:p>
            <w:pPr>
              <w:pStyle w:val="Compact"/>
              <w:jc w:val="left"/>
            </w:pPr>
            <w:r>
              <w:rPr>
                <w:b/>
              </w:rPr>
              <w:t xml:space="preserve">Before:</w:t>
            </w:r>
            <w:r>
              <w:t xml:space="preserve"> </w:t>
            </w:r>
            <w:r>
              <w:t xml:space="preserve">“</w:t>
            </w:r>
            <w:r>
              <w:t xml:space="preserve">Covers all 58 California counties across every specialty</w:t>
            </w:r>
            <w:r>
              <w:t xml:space="preserve">”</w:t>
            </w:r>
            <w:r>
              <w:t xml:space="preserve"> </w:t>
            </w:r>
            <w:r>
              <w:rPr>
                <w:b/>
              </w:rPr>
              <w:t xml:space="preserve">After:</w:t>
            </w:r>
            <w:r>
              <w:t xml:space="preserve"> </w:t>
            </w:r>
            <w:r>
              <w:t xml:space="preserve">“</w:t>
            </w:r>
            <w:r>
              <w:t xml:space="preserve">County-matched Medi-Cal managed care expertise across all 58 California counties — including indigent care programs and county-specific PA requirements</w:t>
            </w:r>
            <w:r>
              <w:t xml:space="preserve">”</w:t>
            </w:r>
          </w:p>
        </w:tc>
        <w:tc>
          <w:p>
            <w:pPr>
              <w:pStyle w:val="Compact"/>
              <w:jc w:val="left"/>
            </w:pPr>
            <w:r>
              <w:t xml:space="preserve">Hero section, last bullet point</w:t>
            </w:r>
          </w:p>
        </w:tc>
      </w:tr>
      <w:tr>
        <w:tc>
          <w:p>
            <w:pPr>
              <w:pStyle w:val="Compact"/>
              <w:jc w:val="left"/>
            </w:pPr>
            <w:r>
              <w:t xml:space="preserve">13</w:t>
            </w:r>
          </w:p>
        </w:tc>
        <w:tc>
          <w:p>
            <w:pPr>
              <w:pStyle w:val="Compact"/>
              <w:jc w:val="left"/>
            </w:pPr>
            <w:r>
              <w:rPr>
                <w:b/>
              </w:rPr>
              <w:t xml:space="preserve">“</w:t>
            </w:r>
            <w:r>
              <w:rPr>
                <w:b/>
              </w:rPr>
              <w:t xml:space="preserve">We maximize every dollar collected</w:t>
            </w:r>
            <w:r>
              <w:rPr>
                <w:b/>
              </w:rPr>
              <w:t xml:space="preserve">”</w:t>
            </w:r>
            <w:r>
              <w:rPr>
                <w:b/>
              </w:rPr>
              <w:t xml:space="preserve"> </w:t>
            </w:r>
            <w:r>
              <w:rPr>
                <w:b/>
              </w:rPr>
              <w:t xml:space="preserve">— weak semantic triple, no HOW</w:t>
            </w:r>
          </w:p>
        </w:tc>
        <w:tc>
          <w:p>
            <w:pPr>
              <w:pStyle w:val="Compact"/>
              <w:jc w:val="left"/>
            </w:pPr>
            <w:r>
              <w:t xml:space="preserve">This statement has no causal chain. It names a benefit but provides zero mechanism, making it semantically empty for NLP. Google cannot connect this claim to any specific service entity.</w:t>
            </w:r>
          </w:p>
        </w:tc>
        <w:tc>
          <w:p>
            <w:pPr>
              <w:pStyle w:val="Compact"/>
              <w:jc w:val="left"/>
            </w:pPr>
            <w:r>
              <w:t xml:space="preserve">Replace with a mechanism-first statement that names the specific service actions that drive revenue maximization.</w:t>
            </w:r>
          </w:p>
        </w:tc>
        <w:tc>
          <w:p>
            <w:pPr>
              <w:pStyle w:val="Compact"/>
              <w:jc w:val="left"/>
            </w:pPr>
            <w:r>
              <w:rPr>
                <w:b/>
              </w:rPr>
              <w:t xml:space="preserve">Before:</w:t>
            </w:r>
            <w:r>
              <w:t xml:space="preserve"> </w:t>
            </w:r>
            <w:r>
              <w:t xml:space="preserve">“</w:t>
            </w:r>
            <w:r>
              <w:t xml:space="preserve">We maximize every dollar collected by providing:</w:t>
            </w:r>
            <w:r>
              <w:t xml:space="preserve">”</w:t>
            </w:r>
            <w:r>
              <w:t xml:space="preserve"> </w:t>
            </w:r>
            <w:r>
              <w:rPr>
                <w:b/>
              </w:rPr>
              <w:t xml:space="preserve">After:</w:t>
            </w:r>
            <w:r>
              <w:t xml:space="preserve"> </w:t>
            </w:r>
            <w:r>
              <w:t xml:space="preserve">“</w:t>
            </w:r>
            <w:r>
              <w:t xml:space="preserve">Transcure’s California medical billing specialists recover maximum reimbursements by scrubbing claims against Medi-Cal, DMHC, and commercial payer rules before submission, resolving denials within 24–48 hours, and enforcing California’s prompt-pay statutes against late payers.</w:t>
            </w:r>
            <w:r>
              <w:t xml:space="preserve">”</w:t>
            </w:r>
          </w:p>
        </w:tc>
        <w:tc>
          <w:p>
            <w:pPr>
              <w:pStyle w:val="Compact"/>
              <w:jc w:val="left"/>
            </w:pPr>
            <w:r>
              <w:t xml:space="preserve">Hero section, introductory paragraph</w:t>
            </w:r>
          </w:p>
        </w:tc>
      </w:tr>
      <w:tr>
        <w:tc>
          <w:p>
            <w:pPr>
              <w:pStyle w:val="Compact"/>
              <w:jc w:val="left"/>
            </w:pPr>
            <w:r>
              <w:t xml:space="preserve">14</w:t>
            </w:r>
          </w:p>
        </w:tc>
        <w:tc>
          <w:p>
            <w:pPr>
              <w:pStyle w:val="Compact"/>
              <w:jc w:val="left"/>
            </w:pPr>
            <w:r>
              <w:rPr>
                <w:b/>
              </w:rPr>
              <w:t xml:space="preserve">“</w:t>
            </w:r>
            <w:r>
              <w:rPr>
                <w:b/>
              </w:rPr>
              <w:t xml:space="preserve">Transcure improves California practices financially by delivering a complete AI-powered RCM platform</w:t>
            </w:r>
            <w:r>
              <w:rPr>
                <w:b/>
              </w:rPr>
              <w:t xml:space="preserve">”</w:t>
            </w:r>
            <w:r>
              <w:t xml:space="preserve"> </w:t>
            </w:r>
            <w:r>
              <w:t xml:space="preserve">— generic benefit, no specificity</w:t>
            </w:r>
          </w:p>
        </w:tc>
        <w:tc>
          <w:p>
            <w:pPr>
              <w:pStyle w:val="Compact"/>
              <w:jc w:val="left"/>
            </w:pPr>
            <w:r>
              <w:t xml:space="preserve">“</w:t>
            </w:r>
            <w:r>
              <w:t xml:space="preserve">Improves financially</w:t>
            </w:r>
            <w:r>
              <w:t xml:space="preserve">”</w:t>
            </w:r>
            <w:r>
              <w:t xml:space="preserve"> </w:t>
            </w:r>
            <w:r>
              <w:t xml:space="preserve">is unmeasurable and says nothing about how the AI platform connects to California-specific billing challenges. Google NLP cannot extract a meaningful service→outcome relationship.</w:t>
            </w:r>
          </w:p>
        </w:tc>
        <w:tc>
          <w:p>
            <w:pPr>
              <w:pStyle w:val="Compact"/>
              <w:jc w:val="left"/>
            </w:pPr>
            <w:r>
              <w:t xml:space="preserve">Replace with a claim that names a specific financial metric tied to California regulatory complexity.</w:t>
            </w:r>
          </w:p>
        </w:tc>
        <w:tc>
          <w:p>
            <w:pPr>
              <w:pStyle w:val="Compact"/>
              <w:jc w:val="left"/>
            </w:pPr>
            <w:r>
              <w:rPr>
                <w:b/>
              </w:rPr>
              <w:t xml:space="preserve">Before:</w:t>
            </w:r>
            <w:r>
              <w:t xml:space="preserve"> </w:t>
            </w:r>
            <w:r>
              <w:t xml:space="preserve">“</w:t>
            </w:r>
            <w:r>
              <w:t xml:space="preserve">Transcure improves California practices financially by delivering a complete AI-powered RCM platform fit for the state’s complex regulations</w:t>
            </w:r>
            <w:r>
              <w:t xml:space="preserve">”</w:t>
            </w:r>
            <w:r>
              <w:t xml:space="preserve"> </w:t>
            </w:r>
            <w:r>
              <w:rPr>
                <w:b/>
              </w:rPr>
              <w:t xml:space="preserve">After:</w:t>
            </w:r>
            <w:r>
              <w:t xml:space="preserve"> </w:t>
            </w:r>
            <w:r>
              <w:t xml:space="preserve">“</w:t>
            </w:r>
            <w:r>
              <w:t xml:space="preserve">Transcure’s California medical billing services reduce revenue leakage caused by Medi-Cal authorization gaps, DMHC underpayments, and AB 72 non-compliance — using AI-powered RCM agents that handle every step from eligibility to collections.</w:t>
            </w:r>
            <w:r>
              <w:t xml:space="preserve">”</w:t>
            </w:r>
          </w:p>
        </w:tc>
        <w:tc>
          <w:p>
            <w:pPr>
              <w:pStyle w:val="Compact"/>
              <w:jc w:val="left"/>
            </w:pPr>
            <w:r>
              <w:t xml:space="preserve">Opening paragraph under H2</w:t>
            </w:r>
            <w:r>
              <w:t xml:space="preserve"> </w:t>
            </w:r>
            <w:r>
              <w:t xml:space="preserve">“</w:t>
            </w:r>
            <w:r>
              <w:t xml:space="preserve">How Transcure Improves California Practices Financially</w:t>
            </w:r>
            <w:r>
              <w:t xml:space="preserve">”</w:t>
            </w:r>
          </w:p>
        </w:tc>
      </w:tr>
      <w:tr>
        <w:tc>
          <w:p>
            <w:pPr>
              <w:pStyle w:val="Compact"/>
              <w:jc w:val="left"/>
            </w:pPr>
            <w:r>
              <w:t xml:space="preserve">15</w:t>
            </w:r>
          </w:p>
        </w:tc>
        <w:tc>
          <w:p>
            <w:pPr>
              <w:pStyle w:val="Compact"/>
              <w:jc w:val="left"/>
            </w:pPr>
            <w:r>
              <w:rPr>
                <w:b/>
              </w:rPr>
              <w:t xml:space="preserve">“</w:t>
            </w:r>
            <w:r>
              <w:rPr>
                <w:b/>
              </w:rPr>
              <w:t xml:space="preserve">Our medical billing services in CA make sure that nothing gets lost between your claim and your payment</w:t>
            </w:r>
            <w:r>
              <w:rPr>
                <w:b/>
              </w:rPr>
              <w:t xml:space="preserve">”</w:t>
            </w:r>
            <w:r>
              <w:t xml:space="preserve"> </w:t>
            </w:r>
            <w:r>
              <w:t xml:space="preserve">— vague conversion statement</w:t>
            </w:r>
          </w:p>
        </w:tc>
        <w:tc>
          <w:p>
            <w:pPr>
              <w:pStyle w:val="Compact"/>
              <w:jc w:val="left"/>
            </w:pPr>
            <w:r>
              <w:t xml:space="preserve">This sentence has no entity specificity, no service object, and no outcome mechanism. It cannot be processed as a meaningful claim by NLP tools and fails to convert because it offers no concrete promise.</w:t>
            </w:r>
          </w:p>
        </w:tc>
        <w:tc>
          <w:p>
            <w:pPr>
              <w:pStyle w:val="Compact"/>
              <w:jc w:val="left"/>
            </w:pPr>
            <w:r>
              <w:t xml:space="preserve">Replace with a specific operational guarantee tied to California billing workflows.</w:t>
            </w:r>
          </w:p>
        </w:tc>
        <w:tc>
          <w:p>
            <w:pPr>
              <w:pStyle w:val="Compact"/>
              <w:jc w:val="left"/>
            </w:pPr>
            <w:r>
              <w:rPr>
                <w:b/>
              </w:rPr>
              <w:t xml:space="preserve">Before:</w:t>
            </w:r>
            <w:r>
              <w:t xml:space="preserve"> </w:t>
            </w:r>
            <w:r>
              <w:t xml:space="preserve">“</w:t>
            </w:r>
            <w:r>
              <w:t xml:space="preserve">Our medical billing services in CA make sure that nothing gets lost between your claim and your payment.</w:t>
            </w:r>
            <w:r>
              <w:t xml:space="preserve">”</w:t>
            </w:r>
            <w:r>
              <w:t xml:space="preserve"> </w:t>
            </w:r>
            <w:r>
              <w:rPr>
                <w:b/>
              </w:rPr>
              <w:t xml:space="preserve">After:</w:t>
            </w:r>
            <w:r>
              <w:t xml:space="preserve"> </w:t>
            </w:r>
            <w:r>
              <w:t xml:space="preserve">“</w:t>
            </w:r>
            <w:r>
              <w:t xml:space="preserve">Transcure tracks every California claim from submission through ERA posting — flagging Medi-Cal authorization delays, DMHC payment timeline violations, and underpayments before they become write-offs.</w:t>
            </w:r>
            <w:r>
              <w:t xml:space="preserve">”</w:t>
            </w:r>
          </w:p>
        </w:tc>
        <w:tc>
          <w:p>
            <w:pPr>
              <w:pStyle w:val="Compact"/>
              <w:jc w:val="left"/>
            </w:pPr>
            <w:r>
              <w:t xml:space="preserve">Under H2</w:t>
            </w:r>
            <w:r>
              <w:t xml:space="preserve"> </w:t>
            </w:r>
            <w:r>
              <w:t xml:space="preserve">“</w:t>
            </w:r>
            <w:r>
              <w:t xml:space="preserve">Why Local California Medical Billing Knowledge Matters?</w:t>
            </w:r>
            <w:r>
              <w:t xml:space="preserve">”</w:t>
            </w:r>
            <w:r>
              <w:t xml:space="preserve"> </w:t>
            </w:r>
            <w:r>
              <w:t xml:space="preserve">closing paragraph</w:t>
            </w:r>
          </w:p>
        </w:tc>
      </w:tr>
      <w:tr>
        <w:tc>
          <w:p>
            <w:pPr>
              <w:pStyle w:val="Compact"/>
              <w:jc w:val="left"/>
            </w:pPr>
            <w:r>
              <w:t xml:space="preserve">16</w:t>
            </w:r>
          </w:p>
        </w:tc>
        <w:tc>
          <w:p>
            <w:pPr>
              <w:pStyle w:val="Compact"/>
              <w:jc w:val="left"/>
            </w:pPr>
            <w:r>
              <w:rPr>
                <w:b/>
              </w:rPr>
              <w:t xml:space="preserve">CTA</w:t>
            </w:r>
            <w:r>
              <w:rPr>
                <w:b/>
              </w:rPr>
              <w:t xml:space="preserve"> </w:t>
            </w:r>
            <w:r>
              <w:rPr>
                <w:b/>
              </w:rPr>
              <w:t xml:space="preserve">“</w:t>
            </w:r>
            <w:r>
              <w:rPr>
                <w:b/>
              </w:rPr>
              <w:t xml:space="preserve">Contact Your City Specialist</w:t>
            </w:r>
            <w:r>
              <w:rPr>
                <w:b/>
              </w:rPr>
              <w:t xml:space="preserve">”</w:t>
            </w:r>
            <w:r>
              <w:rPr>
                <w:b/>
              </w:rPr>
              <w:t xml:space="preserve"> </w:t>
            </w:r>
            <w:r>
              <w:rPr>
                <w:b/>
              </w:rPr>
              <w:t xml:space="preserve">— weak, no outcome or urgency</w:t>
            </w:r>
          </w:p>
        </w:tc>
        <w:tc>
          <w:p>
            <w:pPr>
              <w:pStyle w:val="Compact"/>
              <w:jc w:val="left"/>
            </w:pPr>
            <w:r>
              <w:t xml:space="preserve">CTAs without a stated outcome and without urgency have lower conversion rates. This CTA is also the only visible text CTA in the cities section — the rest appear to be image-based. Google also evaluates conversion clarity as a UX signal.</w:t>
            </w:r>
          </w:p>
        </w:tc>
        <w:tc>
          <w:p>
            <w:pPr>
              <w:pStyle w:val="Compact"/>
              <w:jc w:val="left"/>
            </w:pPr>
            <w:r>
              <w:t xml:space="preserve">Rewrite with a verb + California-specific outcome + action framing.</w:t>
            </w:r>
          </w:p>
        </w:tc>
        <w:tc>
          <w:p>
            <w:pPr>
              <w:pStyle w:val="Compact"/>
              <w:jc w:val="left"/>
            </w:pPr>
            <w:r>
              <w:rPr>
                <w:b/>
              </w:rPr>
              <w:t xml:space="preserve">Before:</w:t>
            </w:r>
            <w:r>
              <w:t xml:space="preserve"> </w:t>
            </w:r>
            <w:r>
              <w:t xml:space="preserve">“</w:t>
            </w:r>
            <w:r>
              <w:t xml:space="preserve">Contact Your City Specialist</w:t>
            </w:r>
            <w:r>
              <w:t xml:space="preserve">”</w:t>
            </w:r>
            <w:r>
              <w:t xml:space="preserve"> </w:t>
            </w:r>
            <w:r>
              <w:rPr>
                <w:b/>
              </w:rPr>
              <w:t xml:space="preserve">After:</w:t>
            </w:r>
            <w:r>
              <w:t xml:space="preserve"> </w:t>
            </w:r>
            <w:r>
              <w:t xml:space="preserve">“</w:t>
            </w:r>
            <w:r>
              <w:t xml:space="preserve">Get Your Free California Billing Assessment — Matched to Your City’s Payer Mix</w:t>
            </w:r>
            <w:r>
              <w:t xml:space="preserve">”</w:t>
            </w:r>
          </w:p>
        </w:tc>
        <w:tc>
          <w:p>
            <w:pPr>
              <w:pStyle w:val="Compact"/>
              <w:jc w:val="left"/>
            </w:pPr>
            <w:r>
              <w:t xml:space="preserve">Under H2</w:t>
            </w:r>
            <w:r>
              <w:t xml:space="preserve"> </w:t>
            </w:r>
            <w:r>
              <w:t xml:space="preserve">“</w:t>
            </w:r>
            <w:r>
              <w:t xml:space="preserve">Why Local California Medical Billing Knowledge Matters?</w:t>
            </w:r>
            <w:r>
              <w:t xml:space="preserve">”</w:t>
            </w:r>
          </w:p>
        </w:tc>
      </w:tr>
      <w:tr>
        <w:tc>
          <w:p>
            <w:pPr>
              <w:pStyle w:val="Compact"/>
              <w:jc w:val="left"/>
            </w:pPr>
            <w:r>
              <w:t xml:space="preserve">17</w:t>
            </w:r>
          </w:p>
        </w:tc>
        <w:tc>
          <w:p>
            <w:pPr>
              <w:pStyle w:val="Compact"/>
              <w:jc w:val="left"/>
            </w:pPr>
            <w:r>
              <w:rPr>
                <w:b/>
              </w:rPr>
              <w:t xml:space="preserve">“</w:t>
            </w:r>
            <w:r>
              <w:rPr>
                <w:b/>
              </w:rPr>
              <w:t xml:space="preserve">Transcure provides specialized billing support for almost all medical specialties</w:t>
            </w:r>
            <w:r>
              <w:rPr>
                <w:b/>
              </w:rPr>
              <w:t xml:space="preserve">”</w:t>
            </w:r>
            <w:r>
              <w:t xml:space="preserve"> </w:t>
            </w:r>
            <w:r>
              <w:t xml:space="preserve">— hedging language undermines confidence</w:t>
            </w:r>
          </w:p>
        </w:tc>
        <w:tc>
          <w:p>
            <w:pPr>
              <w:pStyle w:val="Compact"/>
              <w:jc w:val="left"/>
            </w:pPr>
            <w:r>
              <w:t xml:space="preserve">“</w:t>
            </w:r>
            <w:r>
              <w:t xml:space="preserve">Almost all</w:t>
            </w:r>
            <w:r>
              <w:t xml:space="preserve">”</w:t>
            </w:r>
            <w:r>
              <w:t xml:space="preserve"> </w:t>
            </w:r>
            <w:r>
              <w:t xml:space="preserve">implies gaps in capability without specifying them, which weakens the value proposition and introduces doubt. On a conversion page, qualified hedging without explanation is a trust detractor.</w:t>
            </w:r>
          </w:p>
        </w:tc>
        <w:tc>
          <w:p>
            <w:pPr>
              <w:pStyle w:val="Compact"/>
              <w:jc w:val="left"/>
            </w:pPr>
            <w:r>
              <w:t xml:space="preserve">Either remove the hedge and state coverage confidently, or specify which specialty types are excluded (e.g., veterinary, dental are outside scope).</w:t>
            </w:r>
          </w:p>
        </w:tc>
        <w:tc>
          <w:p>
            <w:pPr>
              <w:pStyle w:val="Compact"/>
              <w:jc w:val="left"/>
            </w:pPr>
            <w:r>
              <w:rPr>
                <w:b/>
              </w:rPr>
              <w:t xml:space="preserve">Before:</w:t>
            </w:r>
            <w:r>
              <w:t xml:space="preserve"> </w:t>
            </w:r>
            <w:r>
              <w:t xml:space="preserve">“</w:t>
            </w:r>
            <w:r>
              <w:t xml:space="preserve">Transcure provides specialized billing support for almost all medical specialties across California.</w:t>
            </w:r>
            <w:r>
              <w:t xml:space="preserve">”</w:t>
            </w:r>
            <w:r>
              <w:t xml:space="preserve"> </w:t>
            </w:r>
            <w:r>
              <w:rPr>
                <w:b/>
              </w:rPr>
              <w:t xml:space="preserve">After:</w:t>
            </w:r>
            <w:r>
              <w:t xml:space="preserve"> </w:t>
            </w:r>
            <w:r>
              <w:t xml:space="preserve">“</w:t>
            </w:r>
            <w:r>
              <w:t xml:space="preserve">Transcure provides specialized billing support for over 30 medical and behavioral health specialties across California, from primary care and cardiology to mental health and physical therapy.</w:t>
            </w:r>
            <w:r>
              <w:t xml:space="preserve">”</w:t>
            </w:r>
          </w:p>
        </w:tc>
        <w:tc>
          <w:p>
            <w:pPr>
              <w:pStyle w:val="Compact"/>
              <w:jc w:val="left"/>
            </w:pPr>
            <w:r>
              <w:t xml:space="preserve">Opening paragraph under H2</w:t>
            </w:r>
            <w:r>
              <w:t xml:space="preserve"> </w:t>
            </w:r>
            <w:r>
              <w:t xml:space="preserve">“</w:t>
            </w:r>
            <w:r>
              <w:t xml:space="preserve">What are the Major California Medical Specialties Billed by Our Medical Billing Services?</w:t>
            </w:r>
            <w:r>
              <w:t xml:space="preserve">”</w:t>
            </w:r>
          </w:p>
        </w:tc>
      </w:tr>
      <w:tr>
        <w:tc>
          <w:p>
            <w:pPr>
              <w:pStyle w:val="Compact"/>
              <w:jc w:val="left"/>
            </w:pPr>
            <w:r>
              <w:t xml:space="preserve">18</w:t>
            </w:r>
          </w:p>
        </w:tc>
        <w:tc>
          <w:p>
            <w:pPr>
              <w:pStyle w:val="Compact"/>
              <w:jc w:val="left"/>
            </w:pPr>
            <w:r>
              <w:rPr>
                <w:b/>
              </w:rPr>
              <w:t xml:space="preserve">Target audience is undefined:</w:t>
            </w:r>
            <w:r>
              <w:rPr>
                <w:b/>
              </w:rPr>
              <w:t xml:space="preserve"> </w:t>
            </w:r>
            <w:r>
              <w:rPr>
                <w:b/>
              </w:rPr>
              <w:t xml:space="preserve">“</w:t>
            </w:r>
            <w:r>
              <w:rPr>
                <w:b/>
              </w:rPr>
              <w:t xml:space="preserve">healthcare practices</w:t>
            </w:r>
            <w:r>
              <w:rPr>
                <w:b/>
              </w:rPr>
              <w:t xml:space="preserve">”</w:t>
            </w:r>
          </w:p>
        </w:tc>
        <w:tc>
          <w:p>
            <w:pPr>
              <w:pStyle w:val="Compact"/>
              <w:jc w:val="left"/>
            </w:pPr>
            <w:r>
              <w:t xml:space="preserve">Google NLP requires a clear target audience entity to classify the page’s relevance for specific searcher intent.</w:t>
            </w:r>
            <w:r>
              <w:t xml:space="preserve"> </w:t>
            </w:r>
            <w:r>
              <w:t xml:space="preserve">“</w:t>
            </w:r>
            <w:r>
              <w:t xml:space="preserve">Healthcare practices</w:t>
            </w:r>
            <w:r>
              <w:t xml:space="preserve">”</w:t>
            </w:r>
            <w:r>
              <w:t xml:space="preserve"> </w:t>
            </w:r>
            <w:r>
              <w:t xml:space="preserve">is too broad — it doesn’t differentiate independent practices, hospital outpatient departments, or group practices, each of which has different Medi-Cal and DMHC relationships.</w:t>
            </w:r>
          </w:p>
        </w:tc>
        <w:tc>
          <w:p>
            <w:pPr>
              <w:pStyle w:val="Compact"/>
              <w:jc w:val="left"/>
            </w:pPr>
            <w:r>
              <w:t xml:space="preserve">Add a specific audience declaration in the hero and relevant sections:</w:t>
            </w:r>
            <w:r>
              <w:t xml:space="preserve"> </w:t>
            </w:r>
            <w:r>
              <w:t xml:space="preserve">“</w:t>
            </w:r>
            <w:r>
              <w:t xml:space="preserve">independent medical practices, group practices, and specialty clinics across California.</w:t>
            </w:r>
            <w:r>
              <w:t xml:space="preserve">”</w:t>
            </w:r>
          </w:p>
        </w:tc>
        <w:tc>
          <w:p>
            <w:pPr>
              <w:pStyle w:val="Compact"/>
              <w:jc w:val="left"/>
            </w:pPr>
            <w:r>
              <w:rPr>
                <w:b/>
              </w:rPr>
              <w:t xml:space="preserve">Before:</w:t>
            </w:r>
            <w:r>
              <w:t xml:space="preserve"> </w:t>
            </w:r>
            <w:r>
              <w:t xml:space="preserve">“</w:t>
            </w:r>
            <w:r>
              <w:t xml:space="preserve">Transcure’s medical billing services in California help healthcare practices handle Medi-Cal…</w:t>
            </w:r>
            <w:r>
              <w:t xml:space="preserve">”</w:t>
            </w:r>
            <w:r>
              <w:t xml:space="preserve"> </w:t>
            </w:r>
            <w:r>
              <w:rPr>
                <w:b/>
              </w:rPr>
              <w:t xml:space="preserve">After:</w:t>
            </w:r>
            <w:r>
              <w:t xml:space="preserve"> </w:t>
            </w:r>
            <w:r>
              <w:t xml:space="preserve">“</w:t>
            </w:r>
            <w:r>
              <w:t xml:space="preserve">Transcure’s medical billing services in California help independent practices, group practices, and specialty clinics handle Medi-Cal, DMHC regulations, and complex payer contracts.</w:t>
            </w:r>
            <w:r>
              <w:t xml:space="preserve">”</w:t>
            </w:r>
          </w:p>
        </w:tc>
        <w:tc>
          <w:p>
            <w:pPr>
              <w:pStyle w:val="Compact"/>
              <w:jc w:val="left"/>
            </w:pPr>
            <w:r>
              <w:t xml:space="preserve">Hero section, opening paragraph</w:t>
            </w:r>
          </w:p>
        </w:tc>
      </w:tr>
      <w:tr>
        <w:tc>
          <w:p>
            <w:pPr>
              <w:pStyle w:val="Compact"/>
              <w:jc w:val="left"/>
            </w:pPr>
            <w:r>
              <w:t xml:space="preserve">19</w:t>
            </w:r>
          </w:p>
        </w:tc>
        <w:tc>
          <w:p>
            <w:pPr>
              <w:pStyle w:val="Compact"/>
              <w:jc w:val="left"/>
            </w:pPr>
            <w:r>
              <w:rPr>
                <w:b/>
              </w:rPr>
              <w:t xml:space="preserve">No company tenure, volume, or scale entity present anywhere on the page</w:t>
            </w:r>
          </w:p>
        </w:tc>
        <w:tc>
          <w:p>
            <w:pPr>
              <w:pStyle w:val="Compact"/>
              <w:jc w:val="left"/>
            </w:pPr>
            <w:r>
              <w:t xml:space="preserve">E-E-A-T for YMYL healthcare billing requires demonstrated experience. The page makes no mention of years in business, number of California practices served, total claims processed, or any scale indicator. Google quality raters specifically look for evidence of real-world experience.</w:t>
            </w:r>
          </w:p>
        </w:tc>
        <w:tc>
          <w:p>
            <w:pPr>
              <w:pStyle w:val="Compact"/>
              <w:jc w:val="left"/>
            </w:pPr>
            <w:r>
              <w:t xml:space="preserve">Add a trust bar or a one-sentence experience statement near the hero or in the</w:t>
            </w:r>
            <w:r>
              <w:t xml:space="preserve"> </w:t>
            </w:r>
            <w:r>
              <w:t xml:space="preserve">“</w:t>
            </w:r>
            <w:r>
              <w:t xml:space="preserve">Key Attributes</w:t>
            </w:r>
            <w:r>
              <w:t xml:space="preserve">”</w:t>
            </w:r>
            <w:r>
              <w:t xml:space="preserve"> </w:t>
            </w:r>
            <w:r>
              <w:t xml:space="preserve">section: years in business, number of CA practices served, or total annual claims processed.</w:t>
            </w:r>
          </w:p>
        </w:tc>
        <w:tc>
          <w:p>
            <w:pPr>
              <w:pStyle w:val="Compact"/>
              <w:jc w:val="left"/>
            </w:pPr>
            <w:r>
              <w:rPr>
                <w:b/>
              </w:rPr>
              <w:t xml:space="preserve">Before:</w:t>
            </w:r>
            <w:r>
              <w:t xml:space="preserve"> </w:t>
            </w:r>
            <w:r>
              <w:t xml:space="preserve">(no company experience signal present)</w:t>
            </w:r>
            <w:r>
              <w:t xml:space="preserve"> </w:t>
            </w:r>
            <w:r>
              <w:rPr>
                <w:b/>
              </w:rPr>
              <w:t xml:space="preserve">After:</w:t>
            </w:r>
            <w:r>
              <w:t xml:space="preserve"> </w:t>
            </w:r>
            <w:r>
              <w:t xml:space="preserve">“</w:t>
            </w:r>
            <w:r>
              <w:t xml:space="preserve">Trusted by 500+ California healthcare providers since [year], Transcure has processed over [X] million in California claims across all 58 counties.</w:t>
            </w:r>
            <w:r>
              <w:t xml:space="preserve">”</w:t>
            </w:r>
          </w:p>
        </w:tc>
        <w:tc>
          <w:p>
            <w:pPr>
              <w:pStyle w:val="Compact"/>
              <w:jc w:val="left"/>
            </w:pPr>
            <w:r>
              <w:t xml:space="preserve">Hero section or</w:t>
            </w:r>
            <w:r>
              <w:t xml:space="preserve"> </w:t>
            </w:r>
            <w:r>
              <w:t xml:space="preserve">“</w:t>
            </w:r>
            <w:r>
              <w:t xml:space="preserve">Key Attributes</w:t>
            </w:r>
            <w:r>
              <w:t xml:space="preserve">”</w:t>
            </w:r>
            <w:r>
              <w:t xml:space="preserve"> </w:t>
            </w:r>
            <w:r>
              <w:t xml:space="preserve">section opening</w:t>
            </w:r>
          </w:p>
        </w:tc>
      </w:tr>
      <w:tr>
        <w:tc>
          <w:p>
            <w:pPr>
              <w:pStyle w:val="Compact"/>
              <w:jc w:val="left"/>
            </w:pPr>
            <w:r>
              <w:t xml:space="preserve">20</w:t>
            </w:r>
          </w:p>
        </w:tc>
        <w:tc>
          <w:p>
            <w:pPr>
              <w:pStyle w:val="Compact"/>
              <w:jc w:val="left"/>
            </w:pPr>
            <w:r>
              <w:rPr>
                <w:b/>
              </w:rPr>
              <w:t xml:space="preserve">No internal links to specialty pages, About page, case studies, or pricing</w:t>
            </w:r>
          </w:p>
        </w:tc>
        <w:tc>
          <w:p>
            <w:pPr>
              <w:pStyle w:val="Compact"/>
              <w:jc w:val="left"/>
            </w:pPr>
            <w:r>
              <w:t xml:space="preserve">Internal links distribute PageRank and signal topical authority to Google. A page this long with zero outbound internal links is an orphaned content block that cannot transfer authority to or receive it from supporting pages.</w:t>
            </w:r>
          </w:p>
        </w:tc>
        <w:tc>
          <w:p>
            <w:pPr>
              <w:pStyle w:val="Compact"/>
              <w:jc w:val="left"/>
            </w:pPr>
            <w:r>
              <w:t xml:space="preserve">Add contextual internal links: link specialty names to individual specialty billing pages; add a</w:t>
            </w:r>
            <w:r>
              <w:t xml:space="preserve"> </w:t>
            </w:r>
            <w:r>
              <w:t xml:space="preserve">“</w:t>
            </w:r>
            <w:r>
              <w:t xml:space="preserve">See our case studies</w:t>
            </w:r>
            <w:r>
              <w:t xml:space="preserve">”</w:t>
            </w:r>
            <w:r>
              <w:t xml:space="preserve"> </w:t>
            </w:r>
            <w:r>
              <w:t xml:space="preserve">link; link</w:t>
            </w:r>
            <w:r>
              <w:t xml:space="preserve"> </w:t>
            </w:r>
            <w:r>
              <w:t xml:space="preserve">“</w:t>
            </w:r>
            <w:r>
              <w:t xml:space="preserve">CAQH enrollment</w:t>
            </w:r>
            <w:r>
              <w:t xml:space="preserve">”</w:t>
            </w:r>
            <w:r>
              <w:t xml:space="preserve"> </w:t>
            </w:r>
            <w:r>
              <w:t xml:space="preserve">to a credentialing page if one exists; link the pricing section to a dedicated pricing page.</w:t>
            </w:r>
          </w:p>
        </w:tc>
        <w:tc>
          <w:p>
            <w:pPr>
              <w:pStyle w:val="Compact"/>
              <w:jc w:val="left"/>
            </w:pPr>
            <w:r>
              <w:rPr>
                <w:b/>
              </w:rPr>
              <w:t xml:space="preserve">Before:</w:t>
            </w:r>
            <w:r>
              <w:t xml:space="preserve"> </w:t>
            </w:r>
            <w:r>
              <w:t xml:space="preserve">“</w:t>
            </w:r>
            <w:r>
              <w:t xml:space="preserve">Our certified coders collaborate with CODIN AI to analyze clinical documentation and assign accurate ICD-10-CM, CPT, and HCPCS Level II codes.</w:t>
            </w:r>
            <w:r>
              <w:t xml:space="preserve">”</w:t>
            </w:r>
            <w:r>
              <w:t xml:space="preserve"> </w:t>
            </w:r>
            <w:r>
              <w:rPr>
                <w:b/>
              </w:rPr>
              <w:t xml:space="preserve">After:</w:t>
            </w:r>
            <w:r>
              <w:t xml:space="preserve"> </w:t>
            </w:r>
            <w:r>
              <w:t xml:space="preserve">“</w:t>
            </w:r>
            <w:r>
              <w:t xml:space="preserve">Our</w:t>
            </w:r>
            <w:r>
              <w:t xml:space="preserve"> </w:t>
            </w:r>
            <w:hyperlink r:id="rId23">
              <w:r>
                <w:rPr>
                  <w:rStyle w:val="Hyperlink"/>
                </w:rPr>
                <w:t xml:space="preserve">certified coders</w:t>
              </w:r>
            </w:hyperlink>
            <w:r>
              <w:t xml:space="preserve"> </w:t>
            </w:r>
            <w:r>
              <w:t xml:space="preserve">collaborate with CODIN AI to assign accurate ICD-10-CM, CPT, and HCPCS codes — reducing California-specific audit risks.</w:t>
            </w:r>
            <w:r>
              <w:t xml:space="preserve">”</w:t>
            </w:r>
          </w:p>
        </w:tc>
        <w:tc>
          <w:p>
            <w:pPr>
              <w:pStyle w:val="Compact"/>
              <w:jc w:val="left"/>
            </w:pPr>
            <w:r>
              <w:t xml:space="preserve">Throughout the page, particularly in the services section and specialties section</w:t>
            </w:r>
          </w:p>
        </w:tc>
      </w:tr>
      <w:tr>
        <w:tc>
          <w:p>
            <w:pPr>
              <w:pStyle w:val="Compact"/>
              <w:jc w:val="left"/>
            </w:pPr>
            <w:r>
              <w:t xml:space="preserve">21</w:t>
            </w:r>
          </w:p>
        </w:tc>
        <w:tc>
          <w:p>
            <w:pPr>
              <w:pStyle w:val="Compact"/>
              <w:jc w:val="left"/>
            </w:pPr>
            <w:r>
              <w:rPr>
                <w:b/>
              </w:rPr>
              <w:t xml:space="preserve">Missing schema markup signals: LocalBusiness, Service, FAQPage, Review</w:t>
            </w:r>
          </w:p>
        </w:tc>
        <w:tc>
          <w:p>
            <w:pPr>
              <w:pStyle w:val="Compact"/>
              <w:jc w:val="left"/>
            </w:pPr>
            <w:r>
              <w:t xml:space="preserve">The FAQ section, testimonials, and local service coverage are perfect candidates for structured data that enable rich results in Google Search. Without schema, the page misses featured snippets, FAQ accordions, and star-rating displays in SERPs — all of which increase CTR.</w:t>
            </w:r>
          </w:p>
        </w:tc>
        <w:tc>
          <w:p>
            <w:pPr>
              <w:pStyle w:val="Compact"/>
              <w:jc w:val="left"/>
            </w:pPr>
            <w:r>
              <w:t xml:space="preserve">Implement FAQPage schema on all FAQ questions/answers; Service schema for the primary service entity; LocalBusiness schema with California service area; Review/AggregateRating schema once testimonials are in text format.</w:t>
            </w:r>
          </w:p>
        </w:tc>
        <w:tc>
          <w:p>
            <w:pPr>
              <w:pStyle w:val="Compact"/>
              <w:jc w:val="left"/>
            </w:pPr>
            <w:r>
              <w:rPr>
                <w:b/>
              </w:rPr>
              <w:t xml:space="preserve">Before:</w:t>
            </w:r>
            <w:r>
              <w:t xml:space="preserve"> </w:t>
            </w:r>
            <w:r>
              <w:t xml:space="preserve">FAQ section as plain HTML with no structured data</w:t>
            </w:r>
            <w:r>
              <w:t xml:space="preserve"> </w:t>
            </w:r>
            <w:r>
              <w:rPr>
                <w:b/>
              </w:rPr>
              <w:t xml:space="preserve">After:</w:t>
            </w:r>
            <w:r>
              <w:t xml:space="preserve"> </w:t>
            </w:r>
            <w:r>
              <w:t xml:space="preserve">FAQ section wrapped in FAQPage JSON-LD schema with each Q&amp;A pair marked as</w:t>
            </w:r>
            <w:r>
              <w:t xml:space="preserve"> </w:t>
            </w:r>
            <w:r>
              <w:rPr>
                <w:rStyle w:val="VerbatimChar"/>
              </w:rPr>
              <w:t xml:space="preserve">Question</w:t>
            </w:r>
            <w:r>
              <w:t xml:space="preserve"> </w:t>
            </w:r>
            <w:r>
              <w:t xml:space="preserve">and</w:t>
            </w:r>
            <w:r>
              <w:t xml:space="preserve"> </w:t>
            </w:r>
            <w:r>
              <w:rPr>
                <w:rStyle w:val="VerbatimChar"/>
              </w:rPr>
              <w:t xml:space="preserve">acceptedAnswer</w:t>
            </w:r>
          </w:p>
        </w:tc>
        <w:tc>
          <w:p>
            <w:pPr>
              <w:pStyle w:val="Compact"/>
              <w:jc w:val="left"/>
            </w:pPr>
            <w:r>
              <w:t xml:space="preserve">Site-wide implementation; flag for developer handoff</w:t>
            </w:r>
          </w:p>
        </w:tc>
      </w:tr>
      <w:tr>
        <w:tc>
          <w:p>
            <w:pPr>
              <w:pStyle w:val="Compact"/>
              <w:jc w:val="left"/>
            </w:pPr>
            <w:r>
              <w:t xml:space="preserve">22</w:t>
            </w:r>
          </w:p>
        </w:tc>
        <w:tc>
          <w:p>
            <w:pPr>
              <w:pStyle w:val="Compact"/>
              <w:jc w:val="left"/>
            </w:pPr>
            <w:r>
              <w:rPr>
                <w:b/>
              </w:rPr>
              <w:t xml:space="preserve">Meta description uses</w:t>
            </w:r>
            <w:r>
              <w:rPr>
                <w:b/>
              </w:rPr>
              <w:t xml:space="preserve"> </w:t>
            </w:r>
            <w:r>
              <w:rPr>
                <w:b/>
              </w:rPr>
              <w:t xml:space="preserve">“</w:t>
            </w:r>
            <w:r>
              <w:rPr>
                <w:b/>
              </w:rPr>
              <w:t xml:space="preserve">across all CA plans</w:t>
            </w:r>
            <w:r>
              <w:rPr>
                <w:b/>
              </w:rPr>
              <w:t xml:space="preserve">”</w:t>
            </w:r>
            <w:r>
              <w:t xml:space="preserve"> </w:t>
            </w:r>
            <w:r>
              <w:t xml:space="preserve">— vague payer reference</w:t>
            </w:r>
          </w:p>
        </w:tc>
        <w:tc>
          <w:p>
            <w:pPr>
              <w:pStyle w:val="Compact"/>
              <w:jc w:val="left"/>
            </w:pPr>
            <w:r>
              <w:t xml:space="preserve">“</w:t>
            </w:r>
            <w:r>
              <w:t xml:space="preserve">All CA plans</w:t>
            </w:r>
            <w:r>
              <w:t xml:space="preserve">”</w:t>
            </w:r>
            <w:r>
              <w:t xml:space="preserve"> </w:t>
            </w:r>
            <w:r>
              <w:t xml:space="preserve">is a non-specific entity. Google’s NLP and users alike respond better to named entities in meta descriptions (Medi-Cal, Covered California, DMHC) which signal topical depth and match specific search intent.</w:t>
            </w:r>
          </w:p>
        </w:tc>
        <w:tc>
          <w:p>
            <w:pPr>
              <w:pStyle w:val="Compact"/>
              <w:jc w:val="left"/>
            </w:pPr>
            <w:r>
              <w:t xml:space="preserve">Replace</w:t>
            </w:r>
            <w:r>
              <w:t xml:space="preserve"> </w:t>
            </w:r>
            <w:r>
              <w:t xml:space="preserve">“</w:t>
            </w:r>
            <w:r>
              <w:t xml:space="preserve">across all CA plans</w:t>
            </w:r>
            <w:r>
              <w:t xml:space="preserve">”</w:t>
            </w:r>
            <w:r>
              <w:t xml:space="preserve"> </w:t>
            </w:r>
            <w:r>
              <w:t xml:space="preserve">with the two or three most searched California payer entities to improve SERP click-through.</w:t>
            </w:r>
          </w:p>
        </w:tc>
        <w:tc>
          <w:p>
            <w:pPr>
              <w:pStyle w:val="Compact"/>
              <w:jc w:val="left"/>
            </w:pPr>
            <w:r>
              <w:rPr>
                <w:b/>
              </w:rPr>
              <w:t xml:space="preserve">Before:</w:t>
            </w:r>
            <w:r>
              <w:t xml:space="preserve"> </w:t>
            </w:r>
            <w:r>
              <w:t xml:space="preserve">“</w:t>
            </w:r>
            <w:r>
              <w:t xml:space="preserve">helping providers reduce denials and maximize reimbursements across all CA plans.</w:t>
            </w:r>
            <w:r>
              <w:t xml:space="preserve">”</w:t>
            </w:r>
            <w:r>
              <w:t xml:space="preserve"> </w:t>
            </w:r>
            <w:r>
              <w:rPr>
                <w:b/>
              </w:rPr>
              <w:t xml:space="preserve">After:</w:t>
            </w:r>
            <w:r>
              <w:t xml:space="preserve"> </w:t>
            </w:r>
            <w:r>
              <w:t xml:space="preserve">“</w:t>
            </w:r>
            <w:r>
              <w:t xml:space="preserve">helping California providers reduce Medi-Cal, Covered California, and DMHC claim denials while maximizing reimbursements.</w:t>
            </w:r>
            <w:r>
              <w:t xml:space="preserve">”</w:t>
            </w:r>
          </w:p>
        </w:tc>
        <w:tc>
          <w:p>
            <w:pPr>
              <w:pStyle w:val="Compact"/>
              <w:jc w:val="left"/>
            </w:pPr>
            <w:r>
              <w:t xml:space="preserve">Meta description</w:t>
            </w:r>
          </w:p>
        </w:tc>
      </w:tr>
      <w:tr>
        <w:tc>
          <w:p>
            <w:pPr>
              <w:pStyle w:val="Compact"/>
              <w:jc w:val="left"/>
            </w:pPr>
            <w:r>
              <w:t xml:space="preserve">23</w:t>
            </w:r>
          </w:p>
        </w:tc>
        <w:tc>
          <w:p>
            <w:pPr>
              <w:pStyle w:val="Compact"/>
              <w:jc w:val="left"/>
            </w:pPr>
            <w:r>
              <w:rPr>
                <w:b/>
              </w:rPr>
              <w:t xml:space="preserve">H2</w:t>
            </w:r>
            <w:r>
              <w:rPr>
                <w:b/>
              </w:rPr>
              <w:t xml:space="preserve"> </w:t>
            </w:r>
            <w:r>
              <w:rPr>
                <w:b/>
              </w:rPr>
              <w:t xml:space="preserve">“</w:t>
            </w:r>
            <w:r>
              <w:rPr>
                <w:b/>
              </w:rPr>
              <w:t xml:space="preserve">How Transcure Improves California Practices Financially with Expert Medical Billing Services?</w:t>
            </w:r>
            <w:r>
              <w:rPr>
                <w:b/>
              </w:rPr>
              <w:t xml:space="preserve">”</w:t>
            </w:r>
            <w:r>
              <w:rPr>
                <w:b/>
              </w:rPr>
              <w:t xml:space="preserve"> </w:t>
            </w:r>
            <w:r>
              <w:rPr>
                <w:b/>
              </w:rPr>
              <w:t xml:space="preserve">— redundant and keyword-stuffed phrasing</w:t>
            </w:r>
          </w:p>
        </w:tc>
        <w:tc>
          <w:p>
            <w:pPr>
              <w:pStyle w:val="Compact"/>
              <w:jc w:val="left"/>
            </w:pPr>
            <w:r>
              <w:t xml:space="preserve">The phrase</w:t>
            </w:r>
            <w:r>
              <w:t xml:space="preserve"> </w:t>
            </w:r>
            <w:r>
              <w:t xml:space="preserve">“</w:t>
            </w:r>
            <w:r>
              <w:t xml:space="preserve">with Expert Medical Billing Services</w:t>
            </w:r>
            <w:r>
              <w:t xml:space="preserve">”</w:t>
            </w:r>
            <w:r>
              <w:t xml:space="preserve"> </w:t>
            </w:r>
            <w:r>
              <w:t xml:space="preserve">at the end of the H2 is redundant (the page is already about medical billing services) and reads as keyword stuffing to NLP systems. H2s should add new entity or intent signal, not repeat page-level keywords.</w:t>
            </w:r>
          </w:p>
        </w:tc>
        <w:tc>
          <w:p>
            <w:pPr>
              <w:pStyle w:val="Compact"/>
              <w:jc w:val="left"/>
            </w:pPr>
            <w:r>
              <w:t xml:space="preserve">Rewrite H2 to introduce a new entity (financial metric, mechanism, or audience benefit) that distinguishes this section from the hero.</w:t>
            </w:r>
          </w:p>
        </w:tc>
        <w:tc>
          <w:p>
            <w:pPr>
              <w:pStyle w:val="Compact"/>
              <w:jc w:val="left"/>
            </w:pPr>
            <w:r>
              <w:rPr>
                <w:b/>
              </w:rPr>
              <w:t xml:space="preserve">Before:</w:t>
            </w:r>
            <w:r>
              <w:t xml:space="preserve"> </w:t>
            </w:r>
            <w:r>
              <w:t xml:space="preserve">“</w:t>
            </w:r>
            <w:r>
              <w:t xml:space="preserve">How Transcure Improves California Practices Financially with Expert Medical Billing Services?</w:t>
            </w:r>
            <w:r>
              <w:t xml:space="preserve">”</w:t>
            </w:r>
            <w:r>
              <w:t xml:space="preserve"> </w:t>
            </w:r>
            <w:r>
              <w:rPr>
                <w:b/>
              </w:rPr>
              <w:t xml:space="preserve">After:</w:t>
            </w:r>
            <w:r>
              <w:t xml:space="preserve"> </w:t>
            </w:r>
            <w:r>
              <w:t xml:space="preserve">“</w:t>
            </w:r>
            <w:r>
              <w:t xml:space="preserve">How Transcure’s AI-Powered RCM Platform Reduces Revenue Leakage for California Practices</w:t>
            </w:r>
            <w:r>
              <w:t xml:space="preserve">”</w:t>
            </w:r>
          </w:p>
        </w:tc>
        <w:tc>
          <w:p>
            <w:pPr>
              <w:pStyle w:val="Compact"/>
              <w:jc w:val="left"/>
            </w:pPr>
            <w:r>
              <w:t xml:space="preserve">H2 heading above the AI services listing section</w:t>
            </w:r>
          </w:p>
        </w:tc>
      </w:tr>
    </w:tbl>
    <w:p>
      <w:r>
        <w:pict>
          <v:rect style="width:0;height:1.5pt" o:hralign="center" o:hrstd="t" o:hr="t"/>
        </w:pict>
      </w:r>
    </w:p>
    <w:p>
      <w:pPr>
        <w:pStyle w:val="Heading2"/>
      </w:pPr>
      <w:bookmarkStart w:id="24" w:name="step-4-strategic-insights"/>
      <w:r>
        <w:t xml:space="preserve">STEP 4: STRATEGIC INSIGHTS</w:t>
      </w:r>
      <w:bookmarkEnd w:id="24"/>
    </w:p>
    <w:p>
      <w:pPr>
        <w:pStyle w:val="Heading3"/>
      </w:pPr>
      <w:bookmarkStart w:id="25" w:name="a.-key-semantic-gaps"/>
      <w:r>
        <w:t xml:space="preserve">A. Key Semantic Gaps</w:t>
      </w:r>
      <w:bookmarkEnd w:id="25"/>
    </w:p>
    <w:p>
      <w:pPr>
        <w:numPr>
          <w:ilvl w:val="0"/>
          <w:numId w:val="1001"/>
        </w:numPr>
      </w:pPr>
      <w:r>
        <w:rPr>
          <w:b/>
        </w:rPr>
        <w:t xml:space="preserve">Critical image-lock of all geo and specialty entities</w:t>
      </w:r>
      <w:r>
        <w:t xml:space="preserve">: Cities, counties, medical specialties, and EHR integrations are all trapped in images — making the majority of the page’s high-value keyword entities invisible to Google. This single issue is responsible for the largest share of missed ranking potential.</w:t>
      </w:r>
    </w:p>
    <w:p>
      <w:pPr>
        <w:numPr>
          <w:ilvl w:val="0"/>
          <w:numId w:val="1001"/>
        </w:numPr>
      </w:pPr>
      <w:r>
        <w:rPr>
          <w:b/>
        </w:rPr>
        <w:t xml:space="preserve">Zero crawlable social proof</w:t>
      </w:r>
      <w:r>
        <w:t xml:space="preserve">: The entire testimonials section is an image, stripping the page of all Review entity signals and E-E-A-T evidence at the most critical conversion point in the page.</w:t>
      </w:r>
    </w:p>
    <w:p>
      <w:pPr>
        <w:numPr>
          <w:ilvl w:val="0"/>
          <w:numId w:val="1001"/>
        </w:numPr>
      </w:pPr>
      <w:r>
        <w:rPr>
          <w:b/>
        </w:rPr>
        <w:t xml:space="preserve">Unattributed financial performance claims on a YMYL page</w:t>
      </w:r>
      <w:r>
        <w:t xml:space="preserve">: The 80% denial recovery rate and 99% first-pass clean claim rate are extraordinary claims with no source citation, creating both an E-E-A-T failure and a legal risk.</w:t>
      </w:r>
    </w:p>
    <w:p>
      <w:pPr>
        <w:numPr>
          <w:ilvl w:val="0"/>
          <w:numId w:val="1001"/>
        </w:numPr>
      </w:pPr>
      <w:r>
        <w:rPr>
          <w:b/>
        </w:rPr>
        <w:t xml:space="preserve">Audience entity is undefined</w:t>
      </w:r>
      <w:r>
        <w:t xml:space="preserve">: The page never clearly names who it serves (independent practices vs. hospital outpatient vs. group practices), preventing Google from confidently matching the page to provider-intent queries and leaving the value proposition generic.</w:t>
      </w:r>
    </w:p>
    <w:p>
      <w:pPr>
        <w:numPr>
          <w:ilvl w:val="0"/>
          <w:numId w:val="1001"/>
        </w:numPr>
      </w:pPr>
      <w:r>
        <w:rPr>
          <w:b/>
        </w:rPr>
        <w:t xml:space="preserve">No internal linking architecture</w:t>
      </w:r>
      <w:r>
        <w:t xml:space="preserve">: The page functions as a content island — it neither sends nor receives contextual link equity from supporting pages (specialties, credentialing, case studies), weakening the overall topical authority of the Transcure domain for California billing queries.</w:t>
      </w:r>
    </w:p>
    <w:p>
      <w:r>
        <w:pict>
          <v:rect style="width:0;height:1.5pt" o:hralign="center" o:hrstd="t" o:hr="t"/>
        </w:pict>
      </w:r>
    </w:p>
    <w:p>
      <w:pPr>
        <w:pStyle w:val="Heading3"/>
      </w:pPr>
      <w:bookmarkStart w:id="26" w:name="X6849f8f09967c85e1dafdc83110bd782821837b"/>
      <w:r>
        <w:t xml:space="preserve">B. High-Priority Fixes (In Order of Impact)</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Expected SEO &amp; Conversion Impact</w:t>
            </w:r>
          </w:p>
        </w:tc>
      </w:tr>
      <w:tr>
        <w:tc>
          <w:p>
            <w:pPr>
              <w:pStyle w:val="Compact"/>
              <w:jc w:val="left"/>
            </w:pPr>
            <w:r>
              <w:t xml:space="preserve">1</w:t>
            </w:r>
          </w:p>
        </w:tc>
        <w:tc>
          <w:p>
            <w:pPr>
              <w:pStyle w:val="Compact"/>
              <w:jc w:val="left"/>
            </w:pPr>
            <w:r>
              <w:t xml:space="preserve">Convert cities, counties, specialties, and EHR systems from images to crawlable text</w:t>
            </w:r>
          </w:p>
        </w:tc>
        <w:tc>
          <w:p>
            <w:pPr>
              <w:pStyle w:val="Compact"/>
              <w:jc w:val="left"/>
            </w:pPr>
            <w:r>
              <w:t xml:space="preserve">Unlocks ranking potential for hundreds of long-tail geo + specialty queries; directly increases organic visibility for</w:t>
            </w:r>
            <w:r>
              <w:t xml:space="preserve"> </w:t>
            </w:r>
            <w:r>
              <w:t xml:space="preserve">“</w:t>
            </w:r>
            <w:r>
              <w:t xml:space="preserve">medical billing [city] California</w:t>
            </w:r>
            <w:r>
              <w:t xml:space="preserve">”</w:t>
            </w:r>
            <w:r>
              <w:t xml:space="preserve"> </w:t>
            </w:r>
            <w:r>
              <w:t xml:space="preserve">searches</w:t>
            </w:r>
          </w:p>
        </w:tc>
      </w:tr>
      <w:tr>
        <w:tc>
          <w:p>
            <w:pPr>
              <w:pStyle w:val="Compact"/>
              <w:jc w:val="left"/>
            </w:pPr>
            <w:r>
              <w:t xml:space="preserve">2</w:t>
            </w:r>
          </w:p>
        </w:tc>
        <w:tc>
          <w:p>
            <w:pPr>
              <w:pStyle w:val="Compact"/>
              <w:jc w:val="left"/>
            </w:pPr>
            <w:r>
              <w:t xml:space="preserve">Convert testimonials to text with Review schema + star ratings</w:t>
            </w:r>
          </w:p>
        </w:tc>
        <w:tc>
          <w:p>
            <w:pPr>
              <w:pStyle w:val="Compact"/>
              <w:jc w:val="left"/>
            </w:pPr>
            <w:r>
              <w:t xml:space="preserve">Improves E-E-A-T score, enables rich result star displays in SERP, increases CTR and on-page conversion rate</w:t>
            </w:r>
          </w:p>
        </w:tc>
      </w:tr>
      <w:tr>
        <w:tc>
          <w:p>
            <w:pPr>
              <w:pStyle w:val="Compact"/>
              <w:jc w:val="left"/>
            </w:pPr>
            <w:r>
              <w:t xml:space="preserve">3</w:t>
            </w:r>
          </w:p>
        </w:tc>
        <w:tc>
          <w:p>
            <w:pPr>
              <w:pStyle w:val="Compact"/>
              <w:jc w:val="left"/>
            </w:pPr>
            <w:r>
              <w:t xml:space="preserve">Add source attribution to all statistical claims (80%, 99%)</w:t>
            </w:r>
          </w:p>
        </w:tc>
        <w:tc>
          <w:p>
            <w:pPr>
              <w:pStyle w:val="Compact"/>
              <w:jc w:val="left"/>
            </w:pPr>
            <w:r>
              <w:t xml:space="preserve">Removes YMYL E-E-A-T risk; increases user trust and reduces legal exposure</w:t>
            </w:r>
          </w:p>
        </w:tc>
      </w:tr>
      <w:tr>
        <w:tc>
          <w:p>
            <w:pPr>
              <w:pStyle w:val="Compact"/>
              <w:jc w:val="left"/>
            </w:pPr>
            <w:r>
              <w:t xml:space="preserve">4</w:t>
            </w:r>
          </w:p>
        </w:tc>
        <w:tc>
          <w:p>
            <w:pPr>
              <w:pStyle w:val="Compact"/>
              <w:jc w:val="left"/>
            </w:pPr>
            <w:r>
              <w:t xml:space="preserve">Rewrite FAQ #5 (3-month Medi-Cal rule) to target providers, not patients</w:t>
            </w:r>
          </w:p>
        </w:tc>
        <w:tc>
          <w:p>
            <w:pPr>
              <w:pStyle w:val="Compact"/>
              <w:jc w:val="left"/>
            </w:pPr>
            <w:r>
              <w:t xml:space="preserve">Corrects audience entity mismatch; improves FAQ relevance for practice manager search intent</w:t>
            </w:r>
          </w:p>
        </w:tc>
      </w:tr>
      <w:tr>
        <w:tc>
          <w:p>
            <w:pPr>
              <w:pStyle w:val="Compact"/>
              <w:jc w:val="left"/>
            </w:pPr>
            <w:r>
              <w:t xml:space="preserve">5</w:t>
            </w:r>
          </w:p>
        </w:tc>
        <w:tc>
          <w:p>
            <w:pPr>
              <w:pStyle w:val="Compact"/>
              <w:jc w:val="left"/>
            </w:pPr>
            <w:r>
              <w:t xml:space="preserve">Add company tenure/scale trust signal near hero section</w:t>
            </w:r>
          </w:p>
        </w:tc>
        <w:tc>
          <w:p>
            <w:pPr>
              <w:pStyle w:val="Compact"/>
              <w:jc w:val="left"/>
            </w:pPr>
            <w:r>
              <w:t xml:space="preserve">Fills the most visible E-E-A-T gap; provides the experience signal Google quality raters look for on YMYL pages</w:t>
            </w:r>
          </w:p>
        </w:tc>
      </w:tr>
      <w:tr>
        <w:tc>
          <w:p>
            <w:pPr>
              <w:pStyle w:val="Compact"/>
              <w:jc w:val="left"/>
            </w:pPr>
            <w:r>
              <w:t xml:space="preserve">6</w:t>
            </w:r>
          </w:p>
        </w:tc>
        <w:tc>
          <w:p>
            <w:pPr>
              <w:pStyle w:val="Compact"/>
              <w:jc w:val="left"/>
            </w:pPr>
            <w:r>
              <w:t xml:space="preserve">Implement FAQPage + LocalBusiness + Service schema markup</w:t>
            </w:r>
          </w:p>
        </w:tc>
        <w:tc>
          <w:p>
            <w:pPr>
              <w:pStyle w:val="Compact"/>
              <w:jc w:val="left"/>
            </w:pPr>
            <w:r>
              <w:t xml:space="preserve">Enables rich results (FAQ accordions, service cards) in SERP; can immediately lift CTR without changing rankings</w:t>
            </w:r>
          </w:p>
        </w:tc>
      </w:tr>
      <w:tr>
        <w:tc>
          <w:p>
            <w:pPr>
              <w:pStyle w:val="Compact"/>
              <w:jc w:val="left"/>
            </w:pPr>
            <w:r>
              <w:t xml:space="preserve">7</w:t>
            </w:r>
          </w:p>
        </w:tc>
        <w:tc>
          <w:p>
            <w:pPr>
              <w:pStyle w:val="Compact"/>
              <w:jc w:val="left"/>
            </w:pPr>
            <w:r>
              <w:t xml:space="preserve">Fix all weak CTAs (especially</w:t>
            </w:r>
            <w:r>
              <w:t xml:space="preserve"> </w:t>
            </w:r>
            <w:r>
              <w:t xml:space="preserve">“</w:t>
            </w:r>
            <w:r>
              <w:t xml:space="preserve">Contact Your City Specialist</w:t>
            </w:r>
            <w:r>
              <w:t xml:space="preserve">”</w:t>
            </w:r>
            <w:r>
              <w:t xml:space="preserve">)</w:t>
            </w:r>
          </w:p>
        </w:tc>
        <w:tc>
          <w:p>
            <w:pPr>
              <w:pStyle w:val="Compact"/>
              <w:jc w:val="left"/>
            </w:pPr>
            <w:r>
              <w:t xml:space="preserve">Improves conversion rate by giving users a clear outcome-oriented action; reduces bounce from city section</w:t>
            </w:r>
          </w:p>
        </w:tc>
      </w:tr>
      <w:tr>
        <w:tc>
          <w:p>
            <w:pPr>
              <w:pStyle w:val="Compact"/>
              <w:jc w:val="left"/>
            </w:pPr>
            <w:r>
              <w:t xml:space="preserve">8</w:t>
            </w:r>
          </w:p>
        </w:tc>
        <w:tc>
          <w:p>
            <w:pPr>
              <w:pStyle w:val="Compact"/>
              <w:jc w:val="left"/>
            </w:pPr>
            <w:r>
              <w:t xml:space="preserve">Add internal links to specialty pages, credentialing page, and case studies</w:t>
            </w:r>
          </w:p>
        </w:tc>
        <w:tc>
          <w:p>
            <w:pPr>
              <w:pStyle w:val="Compact"/>
              <w:jc w:val="left"/>
            </w:pPr>
            <w:r>
              <w:t xml:space="preserve">Strengthens internal PageRank flow; improves crawlability and topical authority signals</w:t>
            </w:r>
          </w:p>
        </w:tc>
      </w:tr>
    </w:tbl>
    <w:p>
      <w:r>
        <w:pict>
          <v:rect style="width:0;height:1.5pt" o:hralign="center" o:hrstd="t" o:hr="t"/>
        </w:pict>
      </w:r>
    </w:p>
    <w:p>
      <w:pPr>
        <w:pStyle w:val="Heading3"/>
      </w:pPr>
      <w:bookmarkStart w:id="27" w:name="X1723f105ac31dd19eefca7836c5ab01c22bb2d0"/>
      <w:r>
        <w:t xml:space="preserve">C. Semantic Triple Examples — Gold Standard</w:t>
      </w:r>
      <w:bookmarkEnd w:id="27"/>
    </w:p>
    <w:p>
      <w:pPr>
        <w:pStyle w:val="FirstParagraph"/>
      </w:pPr>
      <w:r>
        <w:rPr>
          <w:b/>
        </w:rPr>
        <w:t xml:space="preserve">Example 1:</w:t>
      </w:r>
    </w:p>
    <w:p>
      <w:pPr>
        <w:pStyle w:val="SourceCode"/>
      </w:pPr>
      <w:r>
        <w:rPr>
          <w:rStyle w:val="VerbatimChar"/>
        </w:rPr>
        <w:t xml:space="preserve">Weak (service page anti-pattern):</w:t>
      </w:r>
      <w:r>
        <w:br/>
      </w:r>
      <w:r>
        <w:rPr>
          <w:rStyle w:val="VerbatimChar"/>
        </w:rPr>
        <w:t xml:space="preserve">"Our medical billing services in CA make sure that nothing gets lost between your claim and your payment."</w:t>
      </w:r>
      <w:r>
        <w:br/>
      </w:r>
      <w:r>
        <w:br/>
      </w:r>
      <w:r>
        <w:rPr>
          <w:rStyle w:val="VerbatimChar"/>
        </w:rPr>
        <w:t xml:space="preserve">Improved (service page gold standard):</w:t>
      </w:r>
      <w:r>
        <w:br/>
      </w:r>
      <w:r>
        <w:rPr>
          <w:rStyle w:val="VerbatimChar"/>
        </w:rPr>
        <w:t xml:space="preserve">Transcure [Subject] tracks every California claim from submission through ERA posting [Action] —</w:t>
      </w:r>
      <w:r>
        <w:br/>
      </w:r>
      <w:r>
        <w:rPr>
          <w:rStyle w:val="VerbatimChar"/>
        </w:rPr>
        <w:t xml:space="preserve">flagging Medi-Cal authorization delays, DMHC prompt-pay violations, and commercial</w:t>
      </w:r>
      <w:r>
        <w:br/>
      </w:r>
      <w:r>
        <w:rPr>
          <w:rStyle w:val="VerbatimChar"/>
        </w:rPr>
        <w:t xml:space="preserve">underpayments before they become write-offs [Specific Service Object + Measurable Outcome].</w:t>
      </w:r>
    </w:p>
    <w:p>
      <w:pPr>
        <w:pStyle w:val="FirstParagraph"/>
      </w:pPr>
      <w:r>
        <w:rPr>
          <w:b/>
        </w:rPr>
        <w:t xml:space="preserve">Example 2:</w:t>
      </w:r>
    </w:p>
    <w:p>
      <w:pPr>
        <w:pStyle w:val="SourceCode"/>
      </w:pPr>
      <w:r>
        <w:rPr>
          <w:rStyle w:val="VerbatimChar"/>
        </w:rPr>
        <w:t xml:space="preserve">Weak (service page anti-pattern):</w:t>
      </w:r>
      <w:r>
        <w:br/>
      </w:r>
      <w:r>
        <w:rPr>
          <w:rStyle w:val="VerbatimChar"/>
        </w:rPr>
        <w:t xml:space="preserve">"Transcure improves California practices financially by delivering a complete AI-powered RCM platform</w:t>
      </w:r>
      <w:r>
        <w:br/>
      </w:r>
      <w:r>
        <w:rPr>
          <w:rStyle w:val="VerbatimChar"/>
        </w:rPr>
        <w:t xml:space="preserve">fit for the state's complex regulations."</w:t>
      </w:r>
      <w:r>
        <w:br/>
      </w:r>
      <w:r>
        <w:br/>
      </w:r>
      <w:r>
        <w:rPr>
          <w:rStyle w:val="VerbatimChar"/>
        </w:rPr>
        <w:t xml:space="preserve">Improved (service page gold standard):</w:t>
      </w:r>
      <w:r>
        <w:br/>
      </w:r>
      <w:r>
        <w:rPr>
          <w:rStyle w:val="VerbatimChar"/>
        </w:rPr>
        <w:t xml:space="preserve">Transcure's California medical billing specialists [Subject] reduce Medi-Cal denial rates</w:t>
      </w:r>
      <w:r>
        <w:br/>
      </w:r>
      <w:r>
        <w:rPr>
          <w:rStyle w:val="VerbatimChar"/>
        </w:rPr>
        <w:t xml:space="preserve">by up to 35% and recover DMHC underpayments [Action] through AI-driven eligibility verification,</w:t>
      </w:r>
      <w:r>
        <w:br/>
      </w:r>
      <w:r>
        <w:rPr>
          <w:rStyle w:val="VerbatimChar"/>
        </w:rPr>
        <w:t xml:space="preserve">prior authorization tracking, and prompt-pay enforcement across all 27 Medi-Cal managed</w:t>
      </w:r>
      <w:r>
        <w:br/>
      </w:r>
      <w:r>
        <w:rPr>
          <w:rStyle w:val="VerbatimChar"/>
        </w:rPr>
        <w:t xml:space="preserve">care plans [Specific Service Object + Measurable Outcome].</w:t>
      </w:r>
    </w:p>
    <w:p>
      <w:r>
        <w:pict>
          <v:rect style="width:0;height:1.5pt" o:hralign="center" o:hrstd="t" o:hr="t"/>
        </w:pict>
      </w:r>
    </w:p>
    <w:p>
      <w:pPr>
        <w:pStyle w:val="Heading3"/>
      </w:pPr>
      <w:bookmarkStart w:id="28" w:name="d.-entity-optimization-suggestions"/>
      <w:r>
        <w:t xml:space="preserve">D. Entity Optimization Suggestions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Entity Category</w:t>
            </w:r>
          </w:p>
        </w:tc>
        <w:tc>
          <w:tcPr>
            <w:tcBorders>
              <w:bottom w:val="single"/>
            </w:tcBorders>
            <w:vAlign w:val="bottom"/>
          </w:tcPr>
          <w:p>
            <w:pPr>
              <w:pStyle w:val="Compact"/>
              <w:jc w:val="left"/>
            </w:pPr>
            <w:r>
              <w:t xml:space="preserve">Missing Entity</w:t>
            </w:r>
          </w:p>
        </w:tc>
        <w:tc>
          <w:tcPr>
            <w:tcBorders>
              <w:bottom w:val="single"/>
            </w:tcBorders>
            <w:vAlign w:val="bottom"/>
          </w:tcPr>
          <w:p>
            <w:pPr>
              <w:pStyle w:val="Compact"/>
              <w:jc w:val="left"/>
            </w:pPr>
            <w:r>
              <w:t xml:space="preserve">Where to Add</w:t>
            </w:r>
          </w:p>
        </w:tc>
        <w:tc>
          <w:tcPr>
            <w:tcBorders>
              <w:bottom w:val="single"/>
            </w:tcBorders>
            <w:vAlign w:val="bottom"/>
          </w:tcPr>
          <w:p>
            <w:pPr>
              <w:pStyle w:val="Compact"/>
              <w:jc w:val="left"/>
            </w:pPr>
            <w:r>
              <w:t xml:space="preserve">Why It Matters for This Service Page</w:t>
            </w:r>
          </w:p>
        </w:tc>
      </w:tr>
      <w:tr>
        <w:tc>
          <w:p>
            <w:pPr>
              <w:pStyle w:val="Compact"/>
              <w:jc w:val="left"/>
            </w:pPr>
            <w:r>
              <w:rPr>
                <w:b/>
              </w:rPr>
              <w:t xml:space="preserve">Scale / Experience</w:t>
            </w:r>
          </w:p>
        </w:tc>
        <w:tc>
          <w:p>
            <w:pPr>
              <w:pStyle w:val="Compact"/>
              <w:jc w:val="left"/>
            </w:pPr>
            <w:r>
              <w:t xml:space="preserve">Years in business, number of CA practices served, total CA claims processed annually</w:t>
            </w:r>
          </w:p>
        </w:tc>
        <w:tc>
          <w:p>
            <w:pPr>
              <w:pStyle w:val="Compact"/>
              <w:jc w:val="left"/>
            </w:pPr>
            <w:r>
              <w:t xml:space="preserve">Hero section trust bar or</w:t>
            </w:r>
            <w:r>
              <w:t xml:space="preserve"> </w:t>
            </w:r>
            <w:r>
              <w:t xml:space="preserve">“</w:t>
            </w:r>
            <w:r>
              <w:t xml:space="preserve">Key Attributes</w:t>
            </w:r>
            <w:r>
              <w:t xml:space="preserve">”</w:t>
            </w:r>
            <w:r>
              <w:t xml:space="preserve"> </w:t>
            </w:r>
            <w:r>
              <w:t xml:space="preserve">opening</w:t>
            </w:r>
          </w:p>
        </w:tc>
        <w:tc>
          <w:p>
            <w:pPr>
              <w:pStyle w:val="Compact"/>
              <w:jc w:val="left"/>
            </w:pPr>
            <w:r>
              <w:t xml:space="preserve">Google quality raters require evidence of real-world experience on YMYL healthcare pages; absence is a silent E-E-A-T failure</w:t>
            </w:r>
          </w:p>
        </w:tc>
      </w:tr>
      <w:tr>
        <w:tc>
          <w:p>
            <w:pPr>
              <w:pStyle w:val="Compact"/>
              <w:jc w:val="left"/>
            </w:pPr>
            <w:r>
              <w:rPr>
                <w:b/>
              </w:rPr>
              <w:t xml:space="preserve">Target Audience (specific)</w:t>
            </w:r>
          </w:p>
        </w:tc>
        <w:tc>
          <w:p>
            <w:pPr>
              <w:pStyle w:val="Compact"/>
              <w:jc w:val="left"/>
            </w:pPr>
            <w:r>
              <w:t xml:space="preserve">“</w:t>
            </w:r>
            <w:r>
              <w:t xml:space="preserve">Independent medical practices,</w:t>
            </w:r>
            <w:r>
              <w:t xml:space="preserve">”</w:t>
            </w:r>
            <w:r>
              <w:t xml:space="preserve"> </w:t>
            </w:r>
            <w:r>
              <w:t xml:space="preserve">“</w:t>
            </w:r>
            <w:r>
              <w:t xml:space="preserve">group practices,</w:t>
            </w:r>
            <w:r>
              <w:t xml:space="preserve">”</w:t>
            </w:r>
            <w:r>
              <w:t xml:space="preserve"> </w:t>
            </w:r>
            <w:r>
              <w:t xml:space="preserve">“</w:t>
            </w:r>
            <w:r>
              <w:t xml:space="preserve">solo practitioners,</w:t>
            </w:r>
            <w:r>
              <w:t xml:space="preserve">”</w:t>
            </w:r>
            <w:r>
              <w:t xml:space="preserve"> </w:t>
            </w:r>
            <w:r>
              <w:t xml:space="preserve">“</w:t>
            </w:r>
            <w:r>
              <w:t xml:space="preserve">FQHCs</w:t>
            </w:r>
            <w:r>
              <w:t xml:space="preserve">”</w:t>
            </w:r>
          </w:p>
        </w:tc>
        <w:tc>
          <w:p>
            <w:pPr>
              <w:pStyle w:val="Compact"/>
              <w:jc w:val="left"/>
            </w:pPr>
            <w:r>
              <w:t xml:space="preserve">Hero paragraph, H2 intros</w:t>
            </w:r>
          </w:p>
        </w:tc>
        <w:tc>
          <w:p>
            <w:pPr>
              <w:pStyle w:val="Compact"/>
              <w:jc w:val="left"/>
            </w:pPr>
            <w:r>
              <w:t xml:space="preserve">Precise audience entity helps Google match the page to provider-intent queries vs. patient-intent queries — prevents irrelevant traffic</w:t>
            </w:r>
          </w:p>
        </w:tc>
      </w:tr>
      <w:tr>
        <w:tc>
          <w:p>
            <w:pPr>
              <w:pStyle w:val="Compact"/>
              <w:jc w:val="left"/>
            </w:pPr>
            <w:r>
              <w:rPr>
                <w:b/>
              </w:rPr>
              <w:t xml:space="preserve">Specialty entities (as text)</w:t>
            </w:r>
          </w:p>
        </w:tc>
        <w:tc>
          <w:p>
            <w:pPr>
              <w:pStyle w:val="Compact"/>
              <w:jc w:val="left"/>
            </w:pPr>
            <w:r>
              <w:t xml:space="preserve">Cardiology, orthopedics, mental/behavioral health, OB/GYN, physical therapy, nephrology, neurology</w:t>
            </w:r>
          </w:p>
        </w:tc>
        <w:tc>
          <w:p>
            <w:pPr>
              <w:pStyle w:val="Compact"/>
              <w:jc w:val="left"/>
            </w:pPr>
            <w:r>
              <w:t xml:space="preserve">Specialties section as crawlable text</w:t>
            </w:r>
          </w:p>
        </w:tc>
        <w:tc>
          <w:p>
            <w:pPr>
              <w:pStyle w:val="Compact"/>
              <w:jc w:val="left"/>
            </w:pPr>
            <w:r>
              <w:t xml:space="preserve">Specialty + location combos (</w:t>
            </w:r>
            <w:r>
              <w:t xml:space="preserve">“</w:t>
            </w:r>
            <w:r>
              <w:t xml:space="preserve">cardiology billing Los Angeles</w:t>
            </w:r>
            <w:r>
              <w:t xml:space="preserve">”</w:t>
            </w:r>
            <w:r>
              <w:t xml:space="preserve">) are high-commercial-intent keyword entities invisible while specialties remain in images</w:t>
            </w:r>
          </w:p>
        </w:tc>
      </w:tr>
      <w:tr>
        <w:tc>
          <w:p>
            <w:pPr>
              <w:pStyle w:val="Compact"/>
              <w:jc w:val="left"/>
            </w:pPr>
            <w:r>
              <w:rPr>
                <w:b/>
              </w:rPr>
              <w:t xml:space="preserve">City-level payer entities</w:t>
            </w:r>
          </w:p>
        </w:tc>
        <w:tc>
          <w:p>
            <w:pPr>
              <w:pStyle w:val="Compact"/>
              <w:jc w:val="left"/>
            </w:pPr>
            <w:r>
              <w:t xml:space="preserve">LA Care (Los Angeles), SF Health Plan (San Francisco), Molina (San Diego), CalOptima (Orange County), CenCal Health (Santa Barbara)</w:t>
            </w:r>
          </w:p>
        </w:tc>
        <w:tc>
          <w:p>
            <w:pPr>
              <w:pStyle w:val="Compact"/>
              <w:jc w:val="left"/>
            </w:pPr>
            <w:r>
              <w:t xml:space="preserve">Expanded city section in text</w:t>
            </w:r>
          </w:p>
        </w:tc>
        <w:tc>
          <w:p>
            <w:pPr>
              <w:pStyle w:val="Compact"/>
              <w:jc w:val="left"/>
            </w:pPr>
            <w:r>
              <w:t xml:space="preserve">City-payer entity pairs are the most specific and highest-converting local SEO signals — already partially present in prose but not in the city listing itself</w:t>
            </w:r>
          </w:p>
        </w:tc>
      </w:tr>
      <w:tr>
        <w:tc>
          <w:p>
            <w:pPr>
              <w:pStyle w:val="Compact"/>
              <w:jc w:val="left"/>
            </w:pPr>
            <w:r>
              <w:rPr>
                <w:b/>
              </w:rPr>
              <w:t xml:space="preserve">Regulatory timelines</w:t>
            </w:r>
          </w:p>
        </w:tc>
        <w:tc>
          <w:p>
            <w:pPr>
              <w:pStyle w:val="Compact"/>
              <w:jc w:val="left"/>
            </w:pPr>
            <w:r>
              <w:t xml:space="preserve">“</w:t>
            </w:r>
            <w:r>
              <w:t xml:space="preserve">30-business-day prompt-pay law,</w:t>
            </w:r>
            <w:r>
              <w:t xml:space="preserve">”</w:t>
            </w:r>
            <w:r>
              <w:t xml:space="preserve"> </w:t>
            </w:r>
            <w:r>
              <w:t xml:space="preserve">“</w:t>
            </w:r>
            <w:r>
              <w:t xml:space="preserve">45-day DMHC payment standard,</w:t>
            </w:r>
            <w:r>
              <w:t xml:space="preserve">”</w:t>
            </w:r>
            <w:r>
              <w:t xml:space="preserve"> </w:t>
            </w:r>
            <w:r>
              <w:t xml:space="preserve">“</w:t>
            </w:r>
            <w:r>
              <w:t xml:space="preserve">Medi-Cal 12-month timely filing</w:t>
            </w:r>
            <w:r>
              <w:t xml:space="preserve">”</w:t>
            </w:r>
          </w:p>
        </w:tc>
        <w:tc>
          <w:p>
            <w:pPr>
              <w:pStyle w:val="Compact"/>
              <w:jc w:val="left"/>
            </w:pPr>
            <w:r>
              <w:t xml:space="preserve">DMHC and Medi-Cal billing sections</w:t>
            </w:r>
          </w:p>
        </w:tc>
        <w:tc>
          <w:p>
            <w:pPr>
              <w:pStyle w:val="Compact"/>
              <w:jc w:val="left"/>
            </w:pPr>
            <w:r>
              <w:t xml:space="preserve">Specific regulatory timelines are high-confidence entity signals that demonstrate subject-matter expertise and attract featured snippet opportunities</w:t>
            </w:r>
          </w:p>
        </w:tc>
      </w:tr>
      <w:tr>
        <w:tc>
          <w:p>
            <w:pPr>
              <w:pStyle w:val="Compact"/>
              <w:jc w:val="left"/>
            </w:pPr>
            <w:r>
              <w:rPr>
                <w:b/>
              </w:rPr>
              <w:t xml:space="preserve">Certification bodies</w:t>
            </w:r>
          </w:p>
        </w:tc>
        <w:tc>
          <w:p>
            <w:pPr>
              <w:pStyle w:val="Compact"/>
              <w:jc w:val="left"/>
            </w:pPr>
            <w:r>
              <w:t xml:space="preserve">AAPC (for CPC credential), AHIMA (for CCS credential), HBMA membership</w:t>
            </w:r>
          </w:p>
        </w:tc>
        <w:tc>
          <w:p>
            <w:pPr>
              <w:pStyle w:val="Compact"/>
              <w:jc w:val="left"/>
            </w:pPr>
            <w:r>
              <w:t xml:space="preserve">“</w:t>
            </w:r>
            <w:r>
              <w:t xml:space="preserve">Key Attributes</w:t>
            </w:r>
            <w:r>
              <w:t xml:space="preserve">”</w:t>
            </w:r>
            <w:r>
              <w:t xml:space="preserve"> </w:t>
            </w:r>
            <w:r>
              <w:t xml:space="preserve">— Certified Specialists section</w:t>
            </w:r>
          </w:p>
        </w:tc>
        <w:tc>
          <w:p>
            <w:pPr>
              <w:pStyle w:val="Compact"/>
              <w:jc w:val="left"/>
            </w:pPr>
            <w:r>
              <w:t xml:space="preserve">Named credentialing bodies are trust entities Google uses to assess expertise in healthcare billing content; currently only credential abbreviations appear without the issuing bodies</w:t>
            </w:r>
          </w:p>
        </w:tc>
      </w:tr>
      <w:tr>
        <w:tc>
          <w:p>
            <w:pPr>
              <w:pStyle w:val="Compact"/>
              <w:jc w:val="left"/>
            </w:pPr>
            <w:r>
              <w:rPr>
                <w:b/>
              </w:rPr>
              <w:t xml:space="preserve">AB/SB legislation numbers</w:t>
            </w:r>
          </w:p>
        </w:tc>
        <w:tc>
          <w:p>
            <w:pPr>
              <w:pStyle w:val="Compact"/>
              <w:jc w:val="left"/>
            </w:pPr>
            <w:r>
              <w:t xml:space="preserve">SB 1008 (Medi-Cal rate transparency), AB 988 (mental health parity), SB 260 (prior authorization reform)</w:t>
            </w:r>
          </w:p>
        </w:tc>
        <w:tc>
          <w:p>
            <w:pPr>
              <w:pStyle w:val="Compact"/>
              <w:jc w:val="left"/>
            </w:pPr>
            <w:r>
              <w:t xml:space="preserve">FAQ and California billing laws section</w:t>
            </w:r>
          </w:p>
        </w:tc>
        <w:tc>
          <w:p>
            <w:pPr>
              <w:pStyle w:val="Compact"/>
              <w:jc w:val="left"/>
            </w:pPr>
            <w:r>
              <w:t xml:space="preserve">Named California healthcare legislation signals deep regulatory expertise and creates topical authority for California-specific healthcare law queries</w:t>
            </w:r>
          </w:p>
        </w:tc>
      </w:tr>
    </w:tbl>
    <w:p>
      <w:r>
        <w:pict>
          <v:rect style="width:0;height:1.5pt" o:hralign="center" o:hrstd="t" o:hr="t"/>
        </w:pict>
      </w:r>
    </w:p>
    <w:p>
      <w:pPr>
        <w:pStyle w:val="Heading3"/>
      </w:pPr>
      <w:bookmarkStart w:id="29" w:name="e.-landing-page-structure-score"/>
      <w:r>
        <w:t xml:space="preserve">E. Landing Page Structure Score</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Hero section with value prop + CTA</w:t>
            </w:r>
          </w:p>
        </w:tc>
        <w:tc>
          <w:p>
            <w:pPr>
              <w:pStyle w:val="Compact"/>
              <w:jc w:val="left"/>
            </w:pPr>
            <w:r>
              <w:t xml:space="preserve">0</w:t>
            </w:r>
          </w:p>
        </w:tc>
        <w:tc>
          <w:p>
            <w:pPr>
              <w:pStyle w:val="Compact"/>
              <w:jc w:val="left"/>
            </w:pPr>
            <w:r>
              <w:t xml:space="preserve">Value prop exists in text but primary CTA is embedded in image — not crawlable or conversion-trackable as standalone text</w:t>
            </w:r>
          </w:p>
        </w:tc>
      </w:tr>
      <w:tr>
        <w:tc>
          <w:p>
            <w:pPr>
              <w:pStyle w:val="Compact"/>
              <w:jc w:val="left"/>
            </w:pPr>
            <w:r>
              <w:t xml:space="preserve">Problem statement</w:t>
            </w:r>
          </w:p>
        </w:tc>
        <w:tc>
          <w:p>
            <w:pPr>
              <w:pStyle w:val="Compact"/>
              <w:jc w:val="left"/>
            </w:pPr>
            <w:r>
              <w:t xml:space="preserve">0</w:t>
            </w:r>
          </w:p>
        </w:tc>
        <w:tc>
          <w:p>
            <w:pPr>
              <w:pStyle w:val="Compact"/>
              <w:jc w:val="left"/>
            </w:pPr>
            <w:r>
              <w:t xml:space="preserve">Pain points (</w:t>
            </w:r>
            <w:r>
              <w:t xml:space="preserve">“</w:t>
            </w:r>
            <w:r>
              <w:t xml:space="preserve">complex payer contracts,</w:t>
            </w:r>
            <w:r>
              <w:t xml:space="preserve">”</w:t>
            </w:r>
            <w:r>
              <w:t xml:space="preserve"> </w:t>
            </w:r>
            <w:r>
              <w:t xml:space="preserve">“</w:t>
            </w:r>
            <w:r>
              <w:t xml:space="preserve">denials</w:t>
            </w:r>
            <w:r>
              <w:t xml:space="preserve">”</w:t>
            </w:r>
            <w:r>
              <w:t xml:space="preserve">) are implied but never named as a discrete problem statement section; no before/after framing for target audience pain</w:t>
            </w:r>
          </w:p>
        </w:tc>
      </w:tr>
      <w:tr>
        <w:tc>
          <w:p>
            <w:pPr>
              <w:pStyle w:val="Compact"/>
              <w:jc w:val="left"/>
            </w:pPr>
            <w:r>
              <w:t xml:space="preserve">Solution / how it works</w:t>
            </w:r>
          </w:p>
        </w:tc>
        <w:tc>
          <w:p>
            <w:pPr>
              <w:pStyle w:val="Compact"/>
              <w:jc w:val="left"/>
            </w:pPr>
            <w:r>
              <w:t xml:space="preserve">1</w:t>
            </w:r>
          </w:p>
        </w:tc>
        <w:tc>
          <w:p>
            <w:pPr>
              <w:pStyle w:val="Compact"/>
              <w:jc w:val="left"/>
            </w:pPr>
            <w:r>
              <w:t xml:space="preserve">AI agent descriptions (ELIXA, PRIA, CODIN, DEXA) provide a credible</w:t>
            </w:r>
            <w:r>
              <w:t xml:space="preserve"> </w:t>
            </w:r>
            <w:r>
              <w:t xml:space="preserve">“</w:t>
            </w:r>
            <w:r>
              <w:t xml:space="preserve">how it works</w:t>
            </w:r>
            <w:r>
              <w:t xml:space="preserve">”</w:t>
            </w:r>
            <w:r>
              <w:t xml:space="preserve"> </w:t>
            </w:r>
            <w:r>
              <w:t xml:space="preserve">layer with named system entities</w:t>
            </w:r>
          </w:p>
        </w:tc>
      </w:tr>
      <w:tr>
        <w:tc>
          <w:p>
            <w:pPr>
              <w:pStyle w:val="Compact"/>
              <w:jc w:val="left"/>
            </w:pPr>
            <w:r>
              <w:t xml:space="preserve">Service features/benefits with causal chains</w:t>
            </w:r>
          </w:p>
        </w:tc>
        <w:tc>
          <w:p>
            <w:pPr>
              <w:pStyle w:val="Compact"/>
              <w:jc w:val="left"/>
            </w:pPr>
            <w:r>
              <w:t xml:space="preserve">0</w:t>
            </w:r>
          </w:p>
        </w:tc>
        <w:tc>
          <w:p>
            <w:pPr>
              <w:pStyle w:val="Compact"/>
              <w:jc w:val="left"/>
            </w:pPr>
            <w:r>
              <w:t xml:space="preserve">Benefits are listed but most lack a clear cause → effect chain;</w:t>
            </w:r>
            <w:r>
              <w:t xml:space="preserve"> </w:t>
            </w:r>
            <w:r>
              <w:t xml:space="preserve">“</w:t>
            </w:r>
            <w:r>
              <w:t xml:space="preserve">improves practices financially</w:t>
            </w:r>
            <w:r>
              <w:t xml:space="preserve">”</w:t>
            </w:r>
            <w:r>
              <w:t xml:space="preserve"> </w:t>
            </w:r>
            <w:r>
              <w:t xml:space="preserve">without mechanism;</w:t>
            </w:r>
            <w:r>
              <w:t xml:space="preserve"> </w:t>
            </w:r>
            <w:r>
              <w:t xml:space="preserve">“</w:t>
            </w:r>
            <w:r>
              <w:t xml:space="preserve">maximizes revenue</w:t>
            </w:r>
            <w:r>
              <w:t xml:space="preserve">”</w:t>
            </w:r>
            <w:r>
              <w:t xml:space="preserve"> </w:t>
            </w:r>
            <w:r>
              <w:t xml:space="preserve">without specifics</w:t>
            </w:r>
          </w:p>
        </w:tc>
      </w:tr>
      <w:tr>
        <w:tc>
          <w:p>
            <w:pPr>
              <w:pStyle w:val="Compact"/>
              <w:jc w:val="left"/>
            </w:pPr>
            <w:r>
              <w:t xml:space="preserve">Trust signals (testimonials, case studies, badges)</w:t>
            </w:r>
          </w:p>
        </w:tc>
        <w:tc>
          <w:p>
            <w:pPr>
              <w:pStyle w:val="Compact"/>
              <w:jc w:val="left"/>
            </w:pPr>
            <w:r>
              <w:t xml:space="preserve">0</w:t>
            </w:r>
          </w:p>
        </w:tc>
        <w:tc>
          <w:p>
            <w:pPr>
              <w:pStyle w:val="Compact"/>
              <w:jc w:val="left"/>
            </w:pPr>
            <w:r>
              <w:t xml:space="preserve">Testimonials are entirely in an image; no case studies, no certification badges in text, no years in business stated</w:t>
            </w:r>
          </w:p>
        </w:tc>
      </w:tr>
      <w:tr>
        <w:tc>
          <w:p>
            <w:pPr>
              <w:pStyle w:val="Compact"/>
              <w:jc w:val="left"/>
            </w:pPr>
            <w:r>
              <w:t xml:space="preserve">Local geo entities (if local service)</w:t>
            </w:r>
          </w:p>
        </w:tc>
        <w:tc>
          <w:p>
            <w:pPr>
              <w:pStyle w:val="Compact"/>
              <w:jc w:val="left"/>
            </w:pPr>
            <w:r>
              <w:t xml:space="preserve">0</w:t>
            </w:r>
          </w:p>
        </w:tc>
        <w:tc>
          <w:p>
            <w:pPr>
              <w:pStyle w:val="Compact"/>
              <w:jc w:val="left"/>
            </w:pPr>
            <w:r>
              <w:t xml:space="preserve">All city and county geo entities are locked in images; only partial city-level payer knowledge appears in prose</w:t>
            </w:r>
          </w:p>
        </w:tc>
      </w:tr>
      <w:tr>
        <w:tc>
          <w:p>
            <w:pPr>
              <w:pStyle w:val="Compact"/>
              <w:jc w:val="left"/>
            </w:pPr>
            <w:r>
              <w:t xml:space="preserve">FAQ with long-tail entities</w:t>
            </w:r>
          </w:p>
        </w:tc>
        <w:tc>
          <w:p>
            <w:pPr>
              <w:pStyle w:val="Compact"/>
              <w:jc w:val="left"/>
            </w:pPr>
            <w:r>
              <w:t xml:space="preserve">1</w:t>
            </w:r>
          </w:p>
        </w:tc>
        <w:tc>
          <w:p>
            <w:pPr>
              <w:pStyle w:val="Compact"/>
              <w:jc w:val="left"/>
            </w:pPr>
            <w:r>
              <w:t xml:space="preserve">FAQ is substantive with California-specific regulatory entities (AB 72, MEVS, TAR/PA, IDR); one answer has wrong audience targeting</w:t>
            </w:r>
          </w:p>
        </w:tc>
      </w:tr>
      <w:tr>
        <w:tc>
          <w:p>
            <w:pPr>
              <w:pStyle w:val="Compact"/>
              <w:jc w:val="left"/>
            </w:pPr>
            <w:r>
              <w:t xml:space="preserve">Outcome-driven final CTA</w:t>
            </w:r>
          </w:p>
        </w:tc>
        <w:tc>
          <w:p>
            <w:pPr>
              <w:pStyle w:val="Compact"/>
              <w:jc w:val="left"/>
            </w:pPr>
            <w:r>
              <w:t xml:space="preserve">0</w:t>
            </w:r>
          </w:p>
        </w:tc>
        <w:tc>
          <w:p>
            <w:pPr>
              <w:pStyle w:val="Compact"/>
              <w:jc w:val="left"/>
            </w:pPr>
            <w:r>
              <w:t xml:space="preserve">Final section appears to be image-based; no visible outcome-driven text CTA at page end</w:t>
            </w:r>
          </w:p>
        </w:tc>
      </w:tr>
      <w:tr>
        <w:tc>
          <w:p>
            <w:pPr>
              <w:pStyle w:val="Compact"/>
              <w:jc w:val="left"/>
            </w:pPr>
            <w:r>
              <w:rPr>
                <w:b/>
              </w:rPr>
              <w:t xml:space="preserve">Total</w:t>
            </w:r>
          </w:p>
        </w:tc>
        <w:tc>
          <w:p>
            <w:pPr>
              <w:pStyle w:val="Compact"/>
              <w:jc w:val="left"/>
            </w:pPr>
            <w:r>
              <w:rPr>
                <w:b/>
              </w:rPr>
              <w:t xml:space="preserve">2/8</w:t>
            </w:r>
          </w:p>
        </w:tc>
        <w:tc>
          <w:p>
            <w:pPr>
              <w:pStyle w:val="Compact"/>
              <w:jc w:val="left"/>
            </w:pPr>
            <w:r>
              <w:t xml:space="preserve">Critical structural and crawlability issues are suppressing what is otherwise a well-researched content foundation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link%20to%20coding%20page" TargetMode="External" /></Relationships>
</file>

<file path=word/_rels/footnotes.xml.rels><?xml version="1.0" encoding="UTF-8"?>
<Relationships xmlns="http://schemas.openxmlformats.org/package/2006/relationships"><Relationship Type="http://schemas.openxmlformats.org/officeDocument/2006/relationships/hyperlink" Id="rId23" Target="link%20to%20coding%20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2026-04-06T11:22:25Z</dcterms:created>
  <dcterms:modified xsi:type="dcterms:W3CDTF">2026-04-06T11:22:25Z</dcterms:modified>
</cp:coreProperties>
</file>

<file path=docProps/custom.xml><?xml version="1.0" encoding="utf-8"?>
<Properties xmlns="http://schemas.openxmlformats.org/officeDocument/2006/custom-properties" xmlns:vt="http://schemas.openxmlformats.org/officeDocument/2006/docPropsVTypes"/>
</file>