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48"/>
          <w:szCs w:val="48"/>
        </w:rPr>
        <w:t xml:space="preserve">SEMANTIC SEO</w:t>
      </w:r>
    </w:p>
    <w:p>
      <w:pPr>
        <w:spacing w:after="200"/>
        <w:jc w:val="center"/>
      </w:pPr>
      <w:r>
        <w:rPr>
          <w:rFonts w:ascii="Arial" w:cs="Arial" w:eastAsia="Arial" w:hAnsi="Arial"/>
          <w:b/>
          <w:bCs/>
          <w:color w:val="2E75B6"/>
          <w:sz w:val="48"/>
          <w:szCs w:val="48"/>
        </w:rPr>
        <w:t xml:space="preserve">LANDING PAGE AUDIT</w:t>
      </w:r>
    </w:p>
    <w:p>
      <w:pPr>
        <w:spacing w:after="100" w:before="300"/>
        <w:jc w:val="center"/>
      </w:pPr>
      <w:r>
        <w:rPr>
          <w:rFonts w:ascii="Arial" w:cs="Arial" w:eastAsia="Arial" w:hAnsi="Arial"/>
          <w:color w:val="1F2937"/>
          <w:sz w:val="28"/>
          <w:szCs w:val="28"/>
        </w:rPr>
        <w:t xml:space="preserve">Medical Billing Services in Florida</w:t>
      </w:r>
    </w:p>
    <w:p>
      <w:pPr>
        <w:spacing w:after="100"/>
        <w:jc w:val="center"/>
      </w:pPr>
      <w:r>
        <w:rPr>
          <w:rFonts w:ascii="Arial" w:cs="Arial" w:eastAsia="Arial" w:hAnsi="Arial"/>
          <w:color w:val="1F2937"/>
          <w:sz w:val="28"/>
          <w:szCs w:val="28"/>
        </w:rPr>
        <w:t xml:space="preserve">Transcure</w:t>
      </w:r>
    </w:p>
    <w:p>
      <w:pPr>
        <w:spacing w:before="600"/>
        <w:jc w:val="center"/>
      </w:pPr>
      <w:r>
        <w:rPr>
          <w:rFonts w:ascii="Arial" w:cs="Arial" w:eastAsia="Arial" w:hAnsi="Arial"/>
          <w:color w:val="6B7280"/>
          <w:sz w:val="22"/>
          <w:szCs w:val="22"/>
        </w:rPr>
        <w:t xml:space="preserve">Audit Date: April 21, 2026</w:t>
      </w:r>
    </w:p>
    <w:p>
      <w:pPr>
        <w:spacing w:before="100"/>
        <w:jc w:val="center"/>
      </w:pPr>
      <w:r>
        <w:rPr>
          <w:rFonts w:ascii="Arial" w:cs="Arial" w:eastAsia="Arial" w:hAnsi="Arial"/>
          <w:b/>
          <w:bCs/>
          <w:color w:val="DC2626"/>
          <w:sz w:val="22"/>
          <w:szCs w:val="22"/>
        </w:rPr>
        <w:t xml:space="preserve">Landing Page Structure Score: 3 / 8</w:t>
      </w:r>
    </w:p>
    <w:p>
      <w:r>
        <w:br w:type="page"/>
      </w:r>
    </w:p>
    <w:p>
      <w:pPr>
        <w:pStyle w:val="Heading1"/>
        <w:spacing w:after="200" w:before="360"/>
      </w:pPr>
      <w:r>
        <w:rPr>
          <w:rFonts w:ascii="Arial" w:cs="Arial" w:eastAsia="Arial" w:hAnsi="Arial"/>
          <w:b/>
          <w:bCs/>
          <w:color w:val="2E75B6"/>
          <w:sz w:val="32"/>
          <w:szCs w:val="32"/>
        </w:rPr>
        <w:t xml:space="preserve">STEP 1: CORE ANALYSIS</w:t>
      </w:r>
    </w:p>
    <w:p>
      <w:pPr>
        <w:pStyle w:val="Heading2"/>
        <w:spacing w:after="160" w:before="300"/>
      </w:pPr>
      <w:r>
        <w:rPr>
          <w:rFonts w:ascii="Arial" w:cs="Arial" w:eastAsia="Arial" w:hAnsi="Arial"/>
          <w:b/>
          <w:bCs/>
          <w:color w:val="1F2937"/>
          <w:sz w:val="26"/>
          <w:szCs w:val="26"/>
        </w:rPr>
        <w:t xml:space="preserve">1. Semantic Triples with Service Intent</w:t>
      </w:r>
    </w:p>
    <w:p>
      <w:pPr>
        <w:spacing w:after="80" w:before="80"/>
      </w:pPr>
      <w:r>
        <w:rPr>
          <w:rFonts w:ascii="Arial" w:cs="Arial" w:eastAsia="Arial" w:hAnsi="Arial"/>
          <w:color w:val="1F2937"/>
          <w:sz w:val="20"/>
          <w:szCs w:val="20"/>
        </w:rPr>
        <w:t xml:space="preserve">The page has several strong triples but frequently falls into fragment-style copywriting where the subject is implied or the service object is vague.</w:t>
      </w:r>
    </w:p>
    <w:p>
      <w:pPr>
        <w:spacing w:after="80" w:before="80"/>
      </w:pPr>
      <w:r>
        <w:rPr>
          <w:rFonts w:ascii="Arial" w:cs="Arial" w:eastAsia="Arial" w:hAnsi="Arial"/>
          <w:b/>
          <w:bCs/>
          <w:color w:val="1F2937"/>
          <w:sz w:val="20"/>
          <w:szCs w:val="20"/>
        </w:rPr>
        <w:t xml:space="preserve">Hero bullets are fragments, not triples. </w:t>
      </w:r>
      <w:r>
        <w:rPr>
          <w:rFonts w:ascii="Arial" w:cs="Arial" w:eastAsia="Arial" w:hAnsi="Arial"/>
          <w:color w:val="1F2937"/>
          <w:sz w:val="20"/>
          <w:szCs w:val="20"/>
        </w:rPr>
        <w:t xml:space="preserve">Lines like “Navigating billing across 60%+ Florida Medicare beneficiaries enrolled in Advantage plans” lack a clear Subject → Action → Object structure. Who is navigating? What is the measurable outcome?</w:t>
      </w:r>
    </w:p>
    <w:p>
      <w:pPr>
        <w:spacing w:after="80" w:before="80"/>
      </w:pPr>
      <w:r>
        <w:rPr>
          <w:rFonts w:ascii="Arial" w:cs="Arial" w:eastAsia="Arial" w:hAnsi="Arial"/>
          <w:b/>
          <w:bCs/>
          <w:color w:val="1F2937"/>
          <w:sz w:val="20"/>
          <w:szCs w:val="20"/>
        </w:rPr>
        <w:t xml:space="preserve">“Take all challenges off your plate” </w:t>
      </w:r>
      <w:r>
        <w:rPr>
          <w:rFonts w:ascii="Arial" w:cs="Arial" w:eastAsia="Arial" w:hAnsi="Arial"/>
          <w:color w:val="1F2937"/>
          <w:sz w:val="20"/>
          <w:szCs w:val="20"/>
        </w:rPr>
        <w:t xml:space="preserve">— the object is “all challenges,” which is unspecific. A search engine cannot extract a concrete service relationship from this.</w:t>
      </w:r>
    </w:p>
    <w:p>
      <w:pPr>
        <w:spacing w:after="80" w:before="80"/>
      </w:pPr>
      <w:r>
        <w:rPr>
          <w:rFonts w:ascii="Arial" w:cs="Arial" w:eastAsia="Arial" w:hAnsi="Arial"/>
          <w:b/>
          <w:bCs/>
          <w:color w:val="1F2937"/>
          <w:sz w:val="20"/>
          <w:szCs w:val="20"/>
        </w:rPr>
        <w:t xml:space="preserve">Passive voice obscures subjects. </w:t>
      </w:r>
      <w:r>
        <w:rPr>
          <w:rFonts w:ascii="Arial" w:cs="Arial" w:eastAsia="Arial" w:hAnsi="Arial"/>
          <w:color w:val="1F2937"/>
          <w:sz w:val="20"/>
          <w:szCs w:val="20"/>
        </w:rPr>
        <w:t xml:space="preserve">“Claims are scrubbed against CMS edits and Florida payer rules before submission” hides the actor (Transcure’s billers) and weakens the triple.</w:t>
      </w:r>
    </w:p>
    <w:p>
      <w:pPr>
        <w:spacing w:after="80" w:before="80"/>
      </w:pPr>
      <w:r>
        <w:rPr>
          <w:rFonts w:ascii="Arial" w:cs="Arial" w:eastAsia="Arial" w:hAnsi="Arial"/>
          <w:b/>
          <w:bCs/>
          <w:color w:val="1F2937"/>
          <w:sz w:val="20"/>
          <w:szCs w:val="20"/>
        </w:rPr>
        <w:t xml:space="preserve">Good triples exist </w:t>
      </w:r>
      <w:r>
        <w:rPr>
          <w:rFonts w:ascii="Arial" w:cs="Arial" w:eastAsia="Arial" w:hAnsi="Arial"/>
          <w:color w:val="1F2937"/>
          <w:sz w:val="20"/>
          <w:szCs w:val="20"/>
        </w:rPr>
        <w:t xml:space="preserve">in the services section: “We confirm coverage across Florida Blue, Humana, and all major Florida Medicare Advantage plans” — clear Subject → Action → Object. This pattern should be replicated throughout.</w:t>
      </w:r>
    </w:p>
    <w:p>
      <w:pPr>
        <w:spacing w:after="80" w:before="80"/>
      </w:pPr>
      <w:r>
        <w:rPr>
          <w:rFonts w:ascii="Arial" w:cs="Arial" w:eastAsia="Arial" w:hAnsi="Arial"/>
          <w:b/>
          <w:bCs/>
          <w:color w:val="1F2937"/>
          <w:sz w:val="20"/>
          <w:szCs w:val="20"/>
        </w:rPr>
        <w:t xml:space="preserve">“Get claims right the first time, every time” </w:t>
      </w:r>
      <w:r>
        <w:rPr>
          <w:rFonts w:ascii="Arial" w:cs="Arial" w:eastAsia="Arial" w:hAnsi="Arial"/>
          <w:color w:val="1F2937"/>
          <w:sz w:val="20"/>
          <w:szCs w:val="20"/>
        </w:rPr>
        <w:t xml:space="preserve">— the object is a vague absolute rather than a measurable outcome.</w:t>
      </w:r>
    </w:p>
    <w:p>
      <w:pPr>
        <w:pStyle w:val="Heading2"/>
        <w:spacing w:after="160" w:before="300"/>
      </w:pPr>
      <w:r>
        <w:rPr>
          <w:rFonts w:ascii="Arial" w:cs="Arial" w:eastAsia="Arial" w:hAnsi="Arial"/>
          <w:b/>
          <w:bCs/>
          <w:color w:val="1F2937"/>
          <w:sz w:val="26"/>
          <w:szCs w:val="26"/>
        </w:rPr>
        <w:t xml:space="preserve">2. Entity Analysis for Service Pages</w:t>
      </w:r>
    </w:p>
    <w:p>
      <w:pPr>
        <w:pStyle w:val="Heading3"/>
        <w:spacing w:after="120" w:before="240"/>
      </w:pPr>
      <w:r>
        <w:rPr>
          <w:rFonts w:ascii="Arial" w:cs="Arial" w:eastAsia="Arial" w:hAnsi="Arial"/>
          <w:b/>
          <w:bCs/>
          <w:color w:val="2E75B6"/>
          <w:sz w:val="22"/>
          <w:szCs w:val="22"/>
        </w:rPr>
        <w:t xml:space="preserve">Entities Present and Well-Defined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Entity Category</w:t>
            </w:r>
          </w:p>
        </w:tc>
        <w:tc>
          <w:tcPr>
            <w:tcW w:type="dxa" w:w="75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Entities Found</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Service entity</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Medical billing services, revenue cycle management, denial management, A/R follow-up, insurance verification, prior authorization, medical coding, charge entry, claim submission, payment posting</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 entity</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Florida (heavily present), Miami, Orlando, South Florida, I-4 corridor, Miami-Dade, Palm Beach</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Payer/organization</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Florida Blue, Humana, Medicare Advantage plans, Medicaid MCOs, CMS</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Regulatory</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AHCA, FL Statute § 458.323, § 627.64194, § 395.301, § 408.813, SB 944, No Surprises Act, FL Prompt Pay laws, IDR process</w:t>
            </w:r>
          </w:p>
        </w:tc>
      </w:tr>
      <w:tr>
        <w:tc>
          <w:tcPr>
            <w:tcW w:type="dxa" w:w="25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Pricing model</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5% of collections</w:t>
            </w:r>
          </w:p>
        </w:tc>
      </w:tr>
    </w:tbl>
    <w:p>
      <w:pPr>
        <w:pStyle w:val="Heading3"/>
        <w:spacing w:after="120" w:before="240"/>
      </w:pPr>
      <w:r>
        <w:rPr>
          <w:rFonts w:ascii="Arial" w:cs="Arial" w:eastAsia="Arial" w:hAnsi="Arial"/>
          <w:b/>
          <w:bCs/>
          <w:color w:val="2E75B6"/>
          <w:sz w:val="22"/>
          <w:szCs w:val="22"/>
        </w:rPr>
        <w:t xml:space="preserve">Missing or Underdeveloped Entities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Entity Category</w:t>
            </w:r>
          </w:p>
        </w:tc>
        <w:tc>
          <w:tcPr>
            <w:tcW w:type="dxa" w:w="75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What’s Missing</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Target audience</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Generic “Florida medical practices” — never specifies practice size, ownership type, or revenue range</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City entities</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The H2 “In Which Florida Cities...” has intro text but NO actual city names are listed — section appears empty</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County entities</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The H2 “Which Counties...” has intro text but NO actual county names listed beyond Miami-Dade and Palm Beach in the intro sentence</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Specialty entities</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The H2 “Which Specialties...” mentions cardiology, orthopedic, and pain management in the intro but NO specialty list follows</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EHR entities</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Claims “30+ major platforms” but NO system names are listed</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Credentials</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No specific certifications mentioned (CPC, CCS, AAPC, AHIMA)</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Case study data</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Case study section header exists but content is entirely missing</w:t>
            </w:r>
          </w:p>
        </w:tc>
      </w:tr>
      <w:tr>
        <w:tc>
          <w:tcPr>
            <w:tcW w:type="dxa" w:w="25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Testimonials</w:t>
            </w:r>
          </w:p>
        </w:tc>
        <w:tc>
          <w:tcPr>
            <w:tcW w:type="dxa" w:w="75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Testimonial section header exists but no actual testimonials appear</w:t>
            </w:r>
          </w:p>
        </w:tc>
      </w:tr>
    </w:tbl>
    <w:p>
      <w:pPr>
        <w:pStyle w:val="Heading2"/>
        <w:spacing w:after="160" w:before="300"/>
      </w:pPr>
      <w:r>
        <w:rPr>
          <w:rFonts w:ascii="Arial" w:cs="Arial" w:eastAsia="Arial" w:hAnsi="Arial"/>
          <w:b/>
          <w:bCs/>
          <w:color w:val="1F2937"/>
          <w:sz w:val="26"/>
          <w:szCs w:val="26"/>
        </w:rPr>
        <w:t xml:space="preserve">3. Topical Relevance — One Service, One Page</w:t>
      </w:r>
    </w:p>
    <w:p>
      <w:pPr>
        <w:spacing w:after="80" w:before="80"/>
      </w:pPr>
      <w:r>
        <w:rPr>
          <w:rFonts w:ascii="Arial" w:cs="Arial" w:eastAsia="Arial" w:hAnsi="Arial"/>
          <w:color w:val="1F2937"/>
          <w:sz w:val="20"/>
          <w:szCs w:val="20"/>
        </w:rPr>
        <w:t xml:space="preserve">The page is tightly focused on medical billing services in Florida — no topic drift detected. However, there is structural bloat: four sections (Cities, Counties, Specialties, EHRs) have H2 headings and intro paragraphs but appear to contain no substantive content beneath them. These hollow sections dilute the page’s topical authority by promising content that isn’t delivered.</w:t>
      </w:r>
    </w:p>
    <w:p>
      <w:pPr>
        <w:spacing w:after="80" w:before="80"/>
      </w:pPr>
      <w:r>
        <w:rPr>
          <w:rFonts w:ascii="Arial" w:cs="Arial" w:eastAsia="Arial" w:hAnsi="Arial"/>
          <w:color w:val="1F2937"/>
          <w:sz w:val="20"/>
          <w:szCs w:val="20"/>
        </w:rPr>
        <w:t xml:space="preserve">Additionally, the Cities and Counties sections cover overlapping geographic ground and should be merged into a single hierarchical geo section.</w:t>
      </w:r>
    </w:p>
    <w:p>
      <w:pPr>
        <w:pStyle w:val="Heading2"/>
        <w:spacing w:after="160" w:before="300"/>
      </w:pPr>
      <w:r>
        <w:rPr>
          <w:rFonts w:ascii="Arial" w:cs="Arial" w:eastAsia="Arial" w:hAnsi="Arial"/>
          <w:b/>
          <w:bCs/>
          <w:color w:val="1F2937"/>
          <w:sz w:val="26"/>
          <w:szCs w:val="26"/>
        </w:rPr>
        <w:t xml:space="preserve">4. E-E-A-T &amp; Accuracy (YMYL Critical)</w:t>
      </w:r>
    </w:p>
    <w:p>
      <w:pPr>
        <w:spacing w:after="80" w:before="80"/>
      </w:pPr>
      <w:r>
        <w:rPr>
          <w:rFonts w:ascii="Arial" w:cs="Arial" w:eastAsia="Arial" w:hAnsi="Arial"/>
          <w:color w:val="1F2937"/>
          <w:sz w:val="20"/>
          <w:szCs w:val="20"/>
        </w:rPr>
        <w:t xml:space="preserve">This is a healthcare financial services page — YMYL scrutiny applies.</w:t>
      </w:r>
    </w:p>
    <w:p>
      <w:pPr>
        <w:pStyle w:val="Heading3"/>
        <w:spacing w:after="120" w:before="240"/>
      </w:pPr>
      <w:r>
        <w:rPr>
          <w:rFonts w:ascii="Arial" w:cs="Arial" w:eastAsia="Arial" w:hAnsi="Arial"/>
          <w:b/>
          <w:bCs/>
          <w:color w:val="2E75B6"/>
          <w:sz w:val="22"/>
          <w:szCs w:val="22"/>
        </w:rPr>
        <w:t xml:space="preserve">Legally Risky Absolutes</w:t>
      </w:r>
    </w:p>
    <w:p>
      <w:pPr>
        <w:spacing w:after="80" w:before="80"/>
      </w:pPr>
      <w:r>
        <w:rPr>
          <w:rFonts w:ascii="Arial" w:cs="Arial" w:eastAsia="Arial" w:hAnsi="Arial"/>
          <w:b/>
          <w:bCs/>
          <w:color w:val="1F2937"/>
          <w:sz w:val="20"/>
          <w:szCs w:val="20"/>
        </w:rPr>
        <w:t xml:space="preserve">“get claims right the first time, every time” </w:t>
      </w:r>
      <w:r>
        <w:rPr>
          <w:rFonts w:ascii="Arial" w:cs="Arial" w:eastAsia="Arial" w:hAnsi="Arial"/>
          <w:color w:val="1F2937"/>
          <w:sz w:val="20"/>
          <w:szCs w:val="20"/>
        </w:rPr>
        <w:t xml:space="preserve">— unqualifiable guarantee</w:t>
      </w:r>
    </w:p>
    <w:p>
      <w:pPr>
        <w:spacing w:after="80" w:before="80"/>
      </w:pPr>
      <w:r>
        <w:rPr>
          <w:rFonts w:ascii="Arial" w:cs="Arial" w:eastAsia="Arial" w:hAnsi="Arial"/>
          <w:b/>
          <w:bCs/>
          <w:color w:val="1F2937"/>
          <w:sz w:val="20"/>
          <w:szCs w:val="20"/>
        </w:rPr>
        <w:t xml:space="preserve">“take all challenges off your plate” </w:t>
      </w:r>
      <w:r>
        <w:rPr>
          <w:rFonts w:ascii="Arial" w:cs="Arial" w:eastAsia="Arial" w:hAnsi="Arial"/>
          <w:color w:val="1F2937"/>
          <w:sz w:val="20"/>
          <w:szCs w:val="20"/>
        </w:rPr>
        <w:t xml:space="preserve">— implies total problem elimination</w:t>
      </w:r>
    </w:p>
    <w:p>
      <w:pPr>
        <w:spacing w:after="80" w:before="80"/>
      </w:pPr>
      <w:r>
        <w:rPr>
          <w:rFonts w:ascii="Arial" w:cs="Arial" w:eastAsia="Arial" w:hAnsi="Arial"/>
          <w:b/>
          <w:bCs/>
          <w:color w:val="1F2937"/>
          <w:sz w:val="20"/>
          <w:szCs w:val="20"/>
        </w:rPr>
        <w:t xml:space="preserve">“without lifting a finger” </w:t>
      </w:r>
      <w:r>
        <w:rPr>
          <w:rFonts w:ascii="Arial" w:cs="Arial" w:eastAsia="Arial" w:hAnsi="Arial"/>
          <w:color w:val="1F2937"/>
          <w:sz w:val="20"/>
          <w:szCs w:val="20"/>
        </w:rPr>
        <w:t xml:space="preserve">— overpromises passive compliance</w:t>
      </w:r>
    </w:p>
    <w:p>
      <w:pPr>
        <w:pStyle w:val="Heading3"/>
        <w:spacing w:after="120" w:before="240"/>
      </w:pPr>
      <w:r>
        <w:rPr>
          <w:rFonts w:ascii="Arial" w:cs="Arial" w:eastAsia="Arial" w:hAnsi="Arial"/>
          <w:b/>
          <w:bCs/>
          <w:color w:val="2E75B6"/>
          <w:sz w:val="22"/>
          <w:szCs w:val="22"/>
        </w:rPr>
        <w:t xml:space="preserve">Unattributed or Misattributed Statistics</w:t>
      </w:r>
    </w:p>
    <w:p>
      <w:pPr>
        <w:spacing w:after="80" w:before="80"/>
      </w:pPr>
      <w:r>
        <w:rPr>
          <w:rFonts w:ascii="Arial" w:cs="Arial" w:eastAsia="Arial" w:hAnsi="Arial"/>
          <w:b/>
          <w:bCs/>
          <w:color w:val="1F2937"/>
          <w:sz w:val="20"/>
          <w:szCs w:val="20"/>
        </w:rPr>
        <w:t xml:space="preserve">“98% first-pass clean claim rate” </w:t>
      </w:r>
      <w:r>
        <w:rPr>
          <w:rFonts w:ascii="Arial" w:cs="Arial" w:eastAsia="Arial" w:hAnsi="Arial"/>
          <w:color w:val="1F2937"/>
          <w:sz w:val="20"/>
          <w:szCs w:val="20"/>
        </w:rPr>
        <w:t xml:space="preserve">— no time period, sample size, or methodology cited. Used twice.</w:t>
      </w:r>
    </w:p>
    <w:p>
      <w:pPr>
        <w:spacing w:after="80" w:before="80"/>
      </w:pPr>
      <w:r>
        <w:rPr>
          <w:rFonts w:ascii="Arial" w:cs="Arial" w:eastAsia="Arial" w:hAnsi="Arial"/>
          <w:b/>
          <w:bCs/>
          <w:color w:val="1F2937"/>
          <w:sz w:val="20"/>
          <w:szCs w:val="20"/>
        </w:rPr>
        <w:t xml:space="preserve">“$45,990... as per the Florida Board of Medicine” </w:t>
      </w:r>
      <w:r>
        <w:rPr>
          <w:rFonts w:ascii="Arial" w:cs="Arial" w:eastAsia="Arial" w:hAnsi="Arial"/>
          <w:color w:val="1F2937"/>
          <w:sz w:val="20"/>
          <w:szCs w:val="20"/>
        </w:rPr>
        <w:t xml:space="preserve">— The FL Board of Medicine does not publish salary data. This is likely BLS or a salary aggregator. Incorrect attribution damages E-E-A-T.</w:t>
      </w:r>
    </w:p>
    <w:p>
      <w:pPr>
        <w:spacing w:after="80" w:before="80"/>
      </w:pPr>
      <w:r>
        <w:rPr>
          <w:rFonts w:ascii="Arial" w:cs="Arial" w:eastAsia="Arial" w:hAnsi="Arial"/>
          <w:b/>
          <w:bCs/>
          <w:color w:val="1F2937"/>
          <w:sz w:val="20"/>
          <w:szCs w:val="20"/>
        </w:rPr>
        <w:t xml:space="preserve">“$55,823 per year, according to Justia” </w:t>
      </w:r>
      <w:r>
        <w:rPr>
          <w:rFonts w:ascii="Arial" w:cs="Arial" w:eastAsia="Arial" w:hAnsi="Arial"/>
          <w:color w:val="1F2937"/>
          <w:sz w:val="20"/>
          <w:szCs w:val="20"/>
        </w:rPr>
        <w:t xml:space="preserve">— Justia is a legal information platform, not a labor statistics source. Incorrect attribution.</w:t>
      </w:r>
    </w:p>
    <w:p>
      <w:pPr>
        <w:spacing w:after="80" w:before="80"/>
      </w:pPr>
      <w:r>
        <w:rPr>
          <w:rFonts w:ascii="Arial" w:cs="Arial" w:eastAsia="Arial" w:hAnsi="Arial"/>
          <w:b/>
          <w:bCs/>
          <w:color w:val="1F2937"/>
          <w:sz w:val="20"/>
          <w:szCs w:val="20"/>
        </w:rPr>
        <w:t xml:space="preserve">“saving over $125,000” </w:t>
      </w:r>
      <w:r>
        <w:rPr>
          <w:rFonts w:ascii="Arial" w:cs="Arial" w:eastAsia="Arial" w:hAnsi="Arial"/>
          <w:color w:val="1F2937"/>
          <w:sz w:val="20"/>
          <w:szCs w:val="20"/>
        </w:rPr>
        <w:t xml:space="preserve">— financial savings claim without specifying practice size, revenue range, or conditions.</w:t>
      </w:r>
    </w:p>
    <w:p>
      <w:pPr>
        <w:pStyle w:val="Heading3"/>
        <w:spacing w:after="120" w:before="240"/>
      </w:pPr>
      <w:r>
        <w:rPr>
          <w:rFonts w:ascii="Arial" w:cs="Arial" w:eastAsia="Arial" w:hAnsi="Arial"/>
          <w:b/>
          <w:bCs/>
          <w:color w:val="2E75B6"/>
          <w:sz w:val="22"/>
          <w:szCs w:val="22"/>
        </w:rPr>
        <w:t xml:space="preserve">Missing Trust Signals</w:t>
      </w:r>
    </w:p>
    <w:p>
      <w:pPr>
        <w:spacing w:after="80" w:before="80"/>
      </w:pPr>
      <w:r>
        <w:rPr>
          <w:rFonts w:ascii="Arial" w:cs="Arial" w:eastAsia="Arial" w:hAnsi="Arial"/>
          <w:color w:val="1F2937"/>
          <w:sz w:val="20"/>
          <w:szCs w:val="20"/>
        </w:rPr>
        <w:t xml:space="preserve">No named case study (section exists but is empty). No actual testimonials (section exists but is empty). No certification badges or accreditation references (CPC, AAPC, AHIMA). No named team members or leadership credentials. “23+ Years of RCM Expertise” has no supporting detail.</w:t>
      </w:r>
    </w:p>
    <w:p>
      <w:pPr>
        <w:pStyle w:val="Heading2"/>
        <w:spacing w:after="160" w:before="300"/>
      </w:pPr>
      <w:r>
        <w:rPr>
          <w:rFonts w:ascii="Arial" w:cs="Arial" w:eastAsia="Arial" w:hAnsi="Arial"/>
          <w:b/>
          <w:bCs/>
          <w:color w:val="1F2937"/>
          <w:sz w:val="26"/>
          <w:szCs w:val="26"/>
        </w:rPr>
        <w:t xml:space="preserve">5. Local SEO Signals for Service Areas</w:t>
      </w:r>
    </w:p>
    <w:p>
      <w:pPr>
        <w:spacing w:after="80" w:before="80"/>
      </w:pPr>
      <w:r>
        <w:rPr>
          <w:rFonts w:ascii="Arial" w:cs="Arial" w:eastAsia="Arial" w:hAnsi="Arial"/>
          <w:b/>
          <w:bCs/>
          <w:color w:val="1F2937"/>
          <w:sz w:val="20"/>
          <w:szCs w:val="20"/>
        </w:rPr>
        <w:t xml:space="preserve">Florida </w:t>
      </w:r>
      <w:r>
        <w:rPr>
          <w:rFonts w:ascii="Arial" w:cs="Arial" w:eastAsia="Arial" w:hAnsi="Arial"/>
          <w:color w:val="1F2937"/>
          <w:sz w:val="20"/>
          <w:szCs w:val="20"/>
        </w:rPr>
        <w:t xml:space="preserve">is heavily referenced (~40+ mentions) — strong state-level signal.</w:t>
      </w:r>
    </w:p>
    <w:p>
      <w:pPr>
        <w:spacing w:after="80" w:before="80"/>
      </w:pPr>
      <w:r>
        <w:rPr>
          <w:rFonts w:ascii="Arial" w:cs="Arial" w:eastAsia="Arial" w:hAnsi="Arial"/>
          <w:b/>
          <w:bCs/>
          <w:color w:val="1F2937"/>
          <w:sz w:val="20"/>
          <w:szCs w:val="20"/>
        </w:rPr>
        <w:t xml:space="preserve">Specific cities named: </w:t>
      </w:r>
      <w:r>
        <w:rPr>
          <w:rFonts w:ascii="Arial" w:cs="Arial" w:eastAsia="Arial" w:hAnsi="Arial"/>
          <w:color w:val="1F2937"/>
          <w:sz w:val="20"/>
          <w:szCs w:val="20"/>
        </w:rPr>
        <w:t xml:space="preserve">Only Miami and Orlando, both in passing — not as standalone geo entities tied to service benefits.</w:t>
      </w:r>
    </w:p>
    <w:p>
      <w:pPr>
        <w:spacing w:after="80" w:before="80"/>
      </w:pPr>
      <w:r>
        <w:rPr>
          <w:rFonts w:ascii="Arial" w:cs="Arial" w:eastAsia="Arial" w:hAnsi="Arial"/>
          <w:b/>
          <w:bCs/>
          <w:color w:val="1F2937"/>
          <w:sz w:val="20"/>
          <w:szCs w:val="20"/>
        </w:rPr>
        <w:t xml:space="preserve">Counties named: </w:t>
      </w:r>
      <w:r>
        <w:rPr>
          <w:rFonts w:ascii="Arial" w:cs="Arial" w:eastAsia="Arial" w:hAnsi="Arial"/>
          <w:color w:val="1F2937"/>
          <w:sz w:val="20"/>
          <w:szCs w:val="20"/>
        </w:rPr>
        <w:t xml:space="preserve">Miami-Dade and Palm Beach only, in a single intro sentence.</w:t>
      </w:r>
    </w:p>
    <w:p>
      <w:pPr>
        <w:spacing w:after="80" w:before="80"/>
      </w:pPr>
      <w:r>
        <w:rPr>
          <w:rFonts w:ascii="Arial" w:cs="Arial" w:eastAsia="Arial" w:hAnsi="Arial"/>
          <w:b/>
          <w:bCs/>
          <w:color w:val="1F2937"/>
          <w:sz w:val="20"/>
          <w:szCs w:val="20"/>
        </w:rPr>
        <w:t xml:space="preserve">CRITICAL: </w:t>
      </w:r>
      <w:r>
        <w:rPr>
          <w:rFonts w:ascii="Arial" w:cs="Arial" w:eastAsia="Arial" w:hAnsi="Arial"/>
          <w:color w:val="1F2937"/>
          <w:sz w:val="20"/>
          <w:szCs w:val="20"/>
        </w:rPr>
        <w:t xml:space="preserve">The dedicated Cities and Counties sections (H2s) are empty shells — headers with intro sentences but no actual city or county lists. These sections promise comprehensive geographic coverage but deliver nothing for Google’s NLP to index.</w:t>
      </w:r>
    </w:p>
    <w:p>
      <w:pPr>
        <w:spacing w:after="80" w:before="80"/>
      </w:pPr>
      <w:r>
        <w:rPr>
          <w:rFonts w:ascii="Arial" w:cs="Arial" w:eastAsia="Arial" w:hAnsi="Arial"/>
          <w:color w:val="1F2937"/>
          <w:sz w:val="20"/>
          <w:szCs w:val="20"/>
        </w:rPr>
        <w:t xml:space="preserve">No zip codes, no landmarks, no region-specific service differentiators.</w:t>
      </w:r>
    </w:p>
    <w:p>
      <w:pPr>
        <w:pStyle w:val="Heading2"/>
        <w:spacing w:after="160" w:before="300"/>
      </w:pPr>
      <w:r>
        <w:rPr>
          <w:rFonts w:ascii="Arial" w:cs="Arial" w:eastAsia="Arial" w:hAnsi="Arial"/>
          <w:b/>
          <w:bCs/>
          <w:color w:val="1F2937"/>
          <w:sz w:val="26"/>
          <w:szCs w:val="26"/>
        </w:rPr>
        <w:t xml:space="preserve">6. Content Completeness for Landing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680"/>
      </w:tblGrid>
      <w:tr>
        <w:tc>
          <w:tcPr>
            <w:tcW w:type="dxa" w:w="22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c>
          <w:tcPr>
            <w:tcW w:type="dxa" w:w="12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66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Assessment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Hero section with value prop + CTA</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Partial</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Value proposition exists but no visible CTA above the fold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Problem statement</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Strong</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Four specific, Florida-law-anchored pain points with statute references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Solution / how it works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Weak</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Nine services listed but only as features — no process explanation</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Service features/benefits</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Partial</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Benefits stated but most lack cause → effect chains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Trust signals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Empty</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Both case study and testimonial sections have headers but ZERO actual content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Local geo entities</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Empty</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City and county sections have headers but NO actual lists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FAQ with long-tail entities</w:t>
            </w:r>
          </w:p>
        </w:tc>
        <w:tc>
          <w:tcPr>
            <w:tcW w:type="dxa" w:w="1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Good</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5 questions with statute-specific, entity-rich answers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Outcome-driven final CTA</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Weak</w:t>
            </w:r>
          </w:p>
        </w:tc>
        <w:tc>
          <w:tcPr>
            <w:tcW w:type="dxa" w:w="66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“Start Saving Today” — generic, no Florida-specific outcome</w:t>
            </w:r>
          </w:p>
        </w:tc>
      </w:tr>
    </w:tbl>
    <w:p>
      <w:pPr>
        <w:pStyle w:val="Heading2"/>
        <w:spacing w:after="160" w:before="300"/>
      </w:pPr>
      <w:r>
        <w:rPr>
          <w:rFonts w:ascii="Arial" w:cs="Arial" w:eastAsia="Arial" w:hAnsi="Arial"/>
          <w:b/>
          <w:bCs/>
          <w:color w:val="1F2937"/>
          <w:sz w:val="26"/>
          <w:szCs w:val="26"/>
        </w:rPr>
        <w:t xml:space="preserve">7. Conversion &amp; Clarity — Causal Chains</w:t>
      </w:r>
    </w:p>
    <w:p>
      <w:pPr>
        <w:pStyle w:val="Heading3"/>
        <w:spacing w:after="120" w:before="240"/>
      </w:pPr>
      <w:r>
        <w:rPr>
          <w:rFonts w:ascii="Arial" w:cs="Arial" w:eastAsia="Arial" w:hAnsi="Arial"/>
          <w:b/>
          <w:bCs/>
          <w:color w:val="2E75B6"/>
          <w:sz w:val="22"/>
          <w:szCs w:val="22"/>
        </w:rPr>
        <w:t xml:space="preserve">CTA Analysis</w:t>
      </w:r>
    </w:p>
    <w:p>
      <w:pPr>
        <w:spacing w:after="80" w:before="80"/>
      </w:pPr>
      <w:r>
        <w:rPr>
          <w:rFonts w:ascii="Arial" w:cs="Arial" w:eastAsia="Arial" w:hAnsi="Arial"/>
          <w:b/>
          <w:bCs/>
          <w:color w:val="1F2937"/>
          <w:sz w:val="20"/>
          <w:szCs w:val="20"/>
        </w:rPr>
        <w:t xml:space="preserve">“Protect Your Practice With Transcure” </w:t>
      </w:r>
      <w:r>
        <w:rPr>
          <w:rFonts w:ascii="Arial" w:cs="Arial" w:eastAsia="Arial" w:hAnsi="Arial"/>
          <w:color w:val="1F2937"/>
          <w:sz w:val="20"/>
          <w:szCs w:val="20"/>
        </w:rPr>
        <w:t xml:space="preserve">— no verb describing what happens next, no urgency, no local relevance.</w:t>
      </w:r>
    </w:p>
    <w:p>
      <w:pPr>
        <w:spacing w:after="80" w:before="80"/>
      </w:pPr>
      <w:r>
        <w:rPr>
          <w:rFonts w:ascii="Arial" w:cs="Arial" w:eastAsia="Arial" w:hAnsi="Arial"/>
          <w:b/>
          <w:bCs/>
          <w:color w:val="1F2937"/>
          <w:sz w:val="20"/>
          <w:szCs w:val="20"/>
        </w:rPr>
        <w:t xml:space="preserve">“Start Saving Today” </w:t>
      </w:r>
      <w:r>
        <w:rPr>
          <w:rFonts w:ascii="Arial" w:cs="Arial" w:eastAsia="Arial" w:hAnsi="Arial"/>
          <w:color w:val="1F2937"/>
          <w:sz w:val="20"/>
          <w:szCs w:val="20"/>
        </w:rPr>
        <w:t xml:space="preserve">— slightly better but still generic; doesn’t specify the action (call? form? audit?).</w:t>
      </w:r>
    </w:p>
    <w:p>
      <w:pPr>
        <w:spacing w:after="80" w:before="80"/>
      </w:pPr>
      <w:r>
        <w:rPr>
          <w:rFonts w:ascii="Arial" w:cs="Arial" w:eastAsia="Arial" w:hAnsi="Arial"/>
          <w:color w:val="1F2937"/>
          <w:sz w:val="20"/>
          <w:szCs w:val="20"/>
        </w:rPr>
        <w:t xml:space="preserve">Neither CTA specifies what happens after the click.</w:t>
      </w:r>
    </w:p>
    <w:p>
      <w:pPr>
        <w:pStyle w:val="Heading3"/>
        <w:spacing w:after="120" w:before="240"/>
      </w:pPr>
      <w:r>
        <w:rPr>
          <w:rFonts w:ascii="Arial" w:cs="Arial" w:eastAsia="Arial" w:hAnsi="Arial"/>
          <w:b/>
          <w:bCs/>
          <w:color w:val="2E75B6"/>
          <w:sz w:val="22"/>
          <w:szCs w:val="22"/>
        </w:rPr>
        <w:t xml:space="preserve">Missing Causal Chains</w:t>
      </w:r>
    </w:p>
    <w:p>
      <w:pPr>
        <w:spacing w:after="80" w:before="80"/>
      </w:pPr>
      <w:r>
        <w:rPr>
          <w:rFonts w:ascii="Arial" w:cs="Arial" w:eastAsia="Arial" w:hAnsi="Arial"/>
          <w:b/>
          <w:bCs/>
          <w:color w:val="1F2937"/>
          <w:sz w:val="20"/>
          <w:szCs w:val="20"/>
        </w:rPr>
        <w:t xml:space="preserve">“Achieving 98% first-pass clean claim rate...” </w:t>
      </w:r>
      <w:r>
        <w:rPr>
          <w:rFonts w:ascii="Arial" w:cs="Arial" w:eastAsia="Arial" w:hAnsi="Arial"/>
          <w:color w:val="1F2937"/>
          <w:sz w:val="20"/>
          <w:szCs w:val="20"/>
        </w:rPr>
        <w:t xml:space="preserve">— HOW? What specific scrubbing process, what payer rules engine, what QA steps?</w:t>
      </w:r>
    </w:p>
    <w:p>
      <w:pPr>
        <w:spacing w:after="80" w:before="80"/>
      </w:pPr>
      <w:r>
        <w:rPr>
          <w:rFonts w:ascii="Arial" w:cs="Arial" w:eastAsia="Arial" w:hAnsi="Arial"/>
          <w:b/>
          <w:bCs/>
          <w:color w:val="1F2937"/>
          <w:sz w:val="20"/>
          <w:szCs w:val="20"/>
        </w:rPr>
        <w:t xml:space="preserve">“Reducing denials and accelerating reimbursements...” </w:t>
      </w:r>
      <w:r>
        <w:rPr>
          <w:rFonts w:ascii="Arial" w:cs="Arial" w:eastAsia="Arial" w:hAnsi="Arial"/>
          <w:color w:val="1F2937"/>
          <w:sz w:val="20"/>
          <w:szCs w:val="20"/>
        </w:rPr>
        <w:t xml:space="preserve">— HOW are denials reduced? What’s the denial review process?</w:t>
      </w:r>
    </w:p>
    <w:p>
      <w:pPr>
        <w:spacing w:after="80" w:before="80"/>
      </w:pPr>
      <w:r>
        <w:rPr>
          <w:rFonts w:ascii="Arial" w:cs="Arial" w:eastAsia="Arial" w:hAnsi="Arial"/>
          <w:b/>
          <w:bCs/>
          <w:color w:val="1F2937"/>
          <w:sz w:val="20"/>
          <w:szCs w:val="20"/>
        </w:rPr>
        <w:t xml:space="preserve">“Our billers understand Florida Blue, Humana...” </w:t>
      </w:r>
      <w:r>
        <w:rPr>
          <w:rFonts w:ascii="Arial" w:cs="Arial" w:eastAsia="Arial" w:hAnsi="Arial"/>
          <w:color w:val="1F2937"/>
          <w:sz w:val="20"/>
          <w:szCs w:val="20"/>
        </w:rPr>
        <w:t xml:space="preserve">— understanding is not a process. What do they DO with that understanding?</w:t>
      </w:r>
    </w:p>
    <w:p>
      <w:pPr>
        <w:pStyle w:val="Heading2"/>
        <w:spacing w:after="160" w:before="300"/>
      </w:pPr>
      <w:r>
        <w:rPr>
          <w:rFonts w:ascii="Arial" w:cs="Arial" w:eastAsia="Arial" w:hAnsi="Arial"/>
          <w:b/>
          <w:bCs/>
          <w:color w:val="1F2937"/>
          <w:sz w:val="26"/>
          <w:szCs w:val="26"/>
        </w:rPr>
        <w:t xml:space="preserve">8. Internal Linking for Service Pages</w:t>
      </w:r>
    </w:p>
    <w:p>
      <w:pPr>
        <w:spacing w:after="80" w:before="80"/>
      </w:pPr>
      <w:r>
        <w:rPr>
          <w:rFonts w:ascii="Arial" w:cs="Arial" w:eastAsia="Arial" w:hAnsi="Arial"/>
          <w:color w:val="1F2937"/>
          <w:sz w:val="20"/>
          <w:szCs w:val="20"/>
        </w:rPr>
        <w:t xml:space="preserve">The document contains zero internal links. Missing links to: individual specialty billing pages, Florida-specific sub-pages, pricing/cost page, about page or team credentials page, case study library, contact/consultation booking page, related state pages, and blog content on Florida billing regulations.</w:t>
      </w:r>
    </w:p>
    <w:p>
      <w:r>
        <w:br w:type="page"/>
      </w:r>
    </w:p>
    <w:p>
      <w:pPr>
        <w:pStyle w:val="Heading1"/>
        <w:spacing w:after="200" w:before="360"/>
      </w:pPr>
      <w:r>
        <w:rPr>
          <w:rFonts w:ascii="Arial" w:cs="Arial" w:eastAsia="Arial" w:hAnsi="Arial"/>
          <w:b/>
          <w:bCs/>
          <w:color w:val="2E75B6"/>
          <w:sz w:val="32"/>
          <w:szCs w:val="32"/>
        </w:rPr>
        <w:t xml:space="preserve">STEP 2 &amp; 3: MANDATORY ISSUE TABLE</w:t>
      </w:r>
    </w:p>
    <w:p>
      <w:pPr>
        <w:spacing w:after="80" w:before="80"/>
      </w:pPr>
      <w:r>
        <w:rPr>
          <w:rFonts w:ascii="Arial" w:cs="Arial" w:eastAsia="Arial" w:hAnsi="Arial"/>
          <w:color w:val="1F2937"/>
          <w:sz w:val="20"/>
          <w:szCs w:val="20"/>
        </w:rPr>
        <w:t xml:space="preserve">All 24 findings compiled with exact references, justifications, writer instructions, and example fixes.</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 Meta title vs. H1 mismatch in value proposition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Meta Title vs H1</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MT says “Tailored for State Compliance” while H1 says “Built for the Nation’s Most Complex Medicare Market.” Google sees two different value propositions, weakening the primary semantic signal.</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Align MT and H1 around the same core value proposition. The H1’s Medicare market angle is stronger and more specific.</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MT: Medical Billing Services in Florida | Built for the Most Complex Medicare Market</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#2: Hero bullets are fragments without semantic triples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Hero section, bullets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Google’s NLP cannot extract Subject → Action → Object relationships from fragments like “Navigating billing across 60%+...” — no subject, no measurable outcome.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Rewrite each hero bullet as a complete sentence with Transcure as subject, an action verb, and a measurable Florida-specific outcome.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“Navigating billing across 60%+...” → After: “Transcure navigates Medicare Advantage billing for the 60%+ of Florida beneficiaries in MA plans, reducing MA-specific denials by applying plan-level authorization rules before submission.”</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#3: “Take all challenges off your plate” — vague service object</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Hero intro sentence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“All challenges” is not a parseable entity. Google cannot determine what specific service this refers to.</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Replace with a specific compound service description tied to Florida.</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“take all challenges off your plate by:” → After: “Transcure’s Florida-specialized billing team handles your full revenue cycle — from Medicare Advantage claim scrubbing to AHCA Medicaid compliance — so your practice can focus on patient care:”</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#4: Cities section is an empty shell</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“In Which Florida Cities...”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The H2 promises city-specific coverage but delivers only one intro sentence naming Miami and Orlando. Google sees a heading with no supporting entity content.</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a structured list of 15–20 major Florida cities, each paired with a one-sentence service-specific benefit or local payer insight.</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“Jacksonville — Transcure manages billing across Jacksonville’s dense network of Humana and Florida Blue MA plans, the dominant payers in Duval County.” (repeat for Tampa, Fort Lauderdale, etc.)</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#5: Counties section is an empty shell</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“Which Counties are Served...”</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Same issue as cities — header promises statewide county coverage but only mentions Miami-Dade and Palm Beach in one sentence.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Merge Cities and Counties into a single “Service Areas” section with a hierarchical structure: Region → County → Key Cities.</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Structure: “South Florida — Miami-Dade County (Miami, Hialeah, Homestead), Broward County (Fort Lauderdale, Hollywood), Palm Beach County (West Palm Beach, Boca Raton)…” with one service insight per region.</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#6: Specialties section is an empty shell</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“Which Medical Specialties...”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promises specialty-specific expertise but only mentions cardiology, orthopedic, and pain management in passing. No specialty list follows.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a structured list of 8–12 specialties with one sentence each on specialty-specific billing complexity.</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“Cardiology — Complex E/M leveling, cardiac catheterization bundling, and Medicare LCD compliance for South Florida’s high-volume cardiology practices.”</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#7: EHR/PMS section is an empty shell</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“Which EHR and Practice Management Systems...”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Claims “30+ major EMR and EHR platforms” but lists zero. Practices searching for “[EHR name] + billing” won’t find this page.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List the top 10–15 EHR/PMS platforms by name (eClinicalWorks, athenahealth, NextGen, etc.) with a note on integration approach.</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“eClinicalWorks — Direct API integration for real-time claim status and ERA posting. athenahealth — Full RCM overlay with automated charge capture sync.”</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#8: Case study section is empty</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“Case Study...”</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An empty case study section signals to both users and Google that the page is unfinished. This critically undermines E-E-A-T for a YMYL page.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a real case study with: practice type, Florida location, problem, Transcure’s intervention, measurable results (% denial reduction, $ revenue recovered, timeline).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 12-provider orthopedic practice in Tampa was losing $180K/year to MA denials. Within 90 days of partnering with Transcure, first-pass rates rose from 82% to 97%, recovering $14,200/month in previously denied revenue.</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#9: Testimonials section is empty</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“What Do Florida Medical Practices Say...”</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An empty testimonial section actively harms trust. Google’s review/testimonial entity recognition finds nothing to index.</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2–3 real testimonials with provider name, specialty, Florida city, and specific outcome mentioned.</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“Transcure cut our A/R days from 45 to 18 in the first quarter. Their team knows Florida Blue’s quirks better than our in-house staff ever did.” — Dr. Maria Santos, Internal Medicine, Orlando, FL</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#10: “98% first-pass clean claim rate” — unattributed statistic</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Hero bullet and “Why Choose”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Used twice with no source, time period, or methodology. Google’s YMYL quality raters flag unattributed performance claims on healthcare financial pages.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attribution: time period, sample size, or link to a verification source. Use in one location only.</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“Achieving 98% first-pass clean claim rate...” → After: “Maintaining a 98% first-pass clean claim rate across Florida payers (Q1 2025–Q1 2026 average across 120+ active Florida practices)”</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#11: “$45,990... as per the Florida Board of Medicine” — incorrect attribution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Cost savings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The Florida Board of Medicine is a licensing body, not a salary data publisher. Incorrect source attribution directly damages E-E-A-T.</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Replace with the correct source — likely U.S. Bureau of Labor Statistics (BLS).</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“as per the Florida Board of Medicine” → After: “according to the U.S. Bureau of Labor Statistics, May 2025 Occupational Employment and Wage Statistics for Florida”</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#12: “$55,823 per year, according to Justia” — incorrect attribution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Cost savings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Justia is a legal information platform, not a labor market data source. This misattribution undermines credibility.</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Replace with the correct source (BLS, Salary.com, or Payscale with date).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“according to Justia” → After: “according to Salary.com’s 2025 Florida market data” (or whichever source is actually correct)</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#13: “Get claims right the first time, every time” — absolute guarantee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“Why Choose”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Absolute claims on YMYL financial pages are flagged by quality raters. No billing company achieves 100% accuracy.</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Soften to a high-confidence claim with a measurable qualifier.</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“get claims right the first time, every time” → After: “achieve first-pass acceptance on 98% of Florida claims through plan-specific rule validation”</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#14: “Without lifting a finger” — overpromise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“Why Choose”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Implies zero practice involvement, which is inaccurate — practices must provide documentation, sign authorizations, etc.</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Replace with a realistic description of the low-effort experience.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“your practice stays audit-ready without lifting a finger” → After: “your practice stays audit-ready with minimal administrative burden on your staff”</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#15: “Saving over $125,000” — unqualified financial claim</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Cost savings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 specific dollar savings figure without specifying conditions is misleading on a YMYL page.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qualifying context or present as a range.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“saving over $125,000” → After: “potentially saving $100,000–$130,000 annually depending on practice volume and payer mix”</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#16: No process/onboarding explanation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Missing — add after services list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Google favors service pages that explain HOW a service works, not just WHAT it includes. Also a conversion gap.</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a “How It Works” section with 3–5 onboarding/workflow steps.</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new H2: “How Does Transcure’s Florida Billing Onboarding Work?” with steps: 1) Free billing audit, 2) EHR integration setup, 3) Payer credential verification, 4) Go-live, 5) Weekly reporting.</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#17: CTAs lack specificity and outcome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Mid-page and bottom CTAs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“Protect Your Practice” and “Start Saving Today” don’t tell the user what happens next and have no Florida-specific hook.</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Rewrite both CTAs with: action verb + specific outcome + Florida relevance.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“Protect Your Practice With Transcure” → After: “Get Your Free Florida Billing Compliance Audit” / Before: “Start Saving Today” → After: “See How Much Your Florida Practice Can Save — Get a Free Cost Analysis”</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#18: Passive voice in service descriptions weakens triples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Services section, Claim Submission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“Claims are scrubbed against CMS edits” — passive construction hides the subject (Transcure), making NLP extraction harder.</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Rewrite service descriptions in active voice with Transcure/our team as subject.</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“Claims are scrubbed against CMS edits and Florida payer rules before submission” → After: “Our certified billers scrub every claim against CMS edits and Florida-specific payer rules before submission”</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#19: “23+ Years of RCM Expertise” — unsupported trust claim</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“Why Choose” section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 tenure claim without supporting details is weak for E-E-A-T.</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specifics: founding year, number of billers, number of Florida clients, or a credential.</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“23+ Years of RCM Expertise Behind Every Florida Claim” → After: “23+ Years of RCM Expertise — Founded in 2003, Transcure’s team of 200+ certified billers serves 120+ Florida medical practices”</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#20: No certification/credential entities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“Why Choose” section and throughout</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For a medical billing YMYL page, the absence of CPC, CCS, AAPC, AHIMA certifications is a significant E-E-A-T gap.</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certification references in the team/expertise sections and FAQ.</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“Every Transcure biller assigned to Florida accounts holds active CPC certification through AAPC, with annual continuing education in Florida-specific payer regulations.”</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#21: Zero internal links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Throughout all sections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 service page with no internal links is an orphan in Google’s site graph. It cannot pass authority to or receive authority from related pages.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8–12 contextual internal links to: specialty pages, state pages, pricing, about, blog articles, contact page.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In services section: “Learn more about our medical coding services built for Florida’s high-volume specialties.” In FAQ: “Read our complete guide to Florida balance billing compliance.”</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#22: Redundant Cities + Counties sections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H2 Cities and H2 Counties — merge</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Two separate H2 sections covering geographic service areas fragments the geo-entity signal and creates thin content.</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Merge into a single “Florida Service Areas” H2 with a hierarchical Region → County → City structure.</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Single H2: “Where Does Transcure Provide Medical Billing Services in Florida?” with sub-sections by region (South FL, Central FL, Tampa Bay, North FL).</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#23: FAQ snowbird answer is vague on process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FAQ #2</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“Transcure verifies coverage across all 50 states” — doesn’t explain the specific workflow for multi-state verification.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process detail: what systems are checked, how primary/secondary is determined.</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Before: “Transcure verifies coverage across all 50 states...” → After: “Transcure runs real-time eligibility checks through all 50 states’ payer portals, applies Florida’s coordination-of-benefits rules to determine primary vs. secondary coverage, and routes each claim to the correct plan.”</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10080"/>
            <w:gridSpan w:val="2"/>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Issue #24: Missing schema markup signals</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Location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Page-level (schema implementation)</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Justification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For a local service YMYL page, LocalBusiness, Service, FAQPage, and Review schemas are critical for rich result eligibility.</w:t>
            </w:r>
          </w:p>
        </w:tc>
      </w:tr>
      <w:tr>
        <w:tc>
          <w:tcPr>
            <w:tcW w:type="dxa" w:w="20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Writer Instruction</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Implement: FAQPage schema for the FAQ section, LocalBusiness schema for Transcure’s Florida operations, Service schema for medical billing, and Review/AggregateRating schema once testimonials are real.</w:t>
            </w:r>
          </w:p>
        </w:tc>
      </w:tr>
      <w:tr>
        <w:tc>
          <w:tcPr>
            <w:tcW w:type="dxa" w:w="20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Example Fix</w:t>
            </w:r>
          </w:p>
        </w:tc>
        <w:tc>
          <w:tcPr>
            <w:tcW w:type="dxa" w:w="8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FAQPage JSON-LD covering all 5 FAQ Q&amp;As; ProfessionalService schema with areaServed: Florida, serviceType: Medical Billing</w:t>
            </w:r>
          </w:p>
        </w:tc>
      </w:tr>
    </w:tbl>
    <w:p>
      <w:r>
        <w:br w:type="page"/>
      </w:r>
    </w:p>
    <w:p>
      <w:pPr>
        <w:pStyle w:val="Heading1"/>
        <w:spacing w:after="200" w:before="360"/>
      </w:pPr>
      <w:r>
        <w:rPr>
          <w:rFonts w:ascii="Arial" w:cs="Arial" w:eastAsia="Arial" w:hAnsi="Arial"/>
          <w:b/>
          <w:bCs/>
          <w:color w:val="2E75B6"/>
          <w:sz w:val="32"/>
          <w:szCs w:val="32"/>
        </w:rPr>
        <w:t xml:space="preserve">STEP 4: STRATEGIC INSIGHTS</w:t>
      </w:r>
    </w:p>
    <w:p>
      <w:pPr>
        <w:pStyle w:val="Heading2"/>
        <w:spacing w:after="160" w:before="300"/>
      </w:pPr>
      <w:r>
        <w:rPr>
          <w:rFonts w:ascii="Arial" w:cs="Arial" w:eastAsia="Arial" w:hAnsi="Arial"/>
          <w:b/>
          <w:bCs/>
          <w:color w:val="1F2937"/>
          <w:sz w:val="26"/>
          <w:szCs w:val="26"/>
        </w:rPr>
        <w:t xml:space="preserve">A. Key Semantic Gaps</w:t>
      </w:r>
    </w:p>
    <w:p>
      <w:pPr>
        <w:spacing w:after="80" w:before="80"/>
      </w:pPr>
      <w:r>
        <w:rPr>
          <w:rFonts w:ascii="Arial" w:cs="Arial" w:eastAsia="Arial" w:hAnsi="Arial"/>
          <w:b/>
          <w:bCs/>
          <w:color w:val="1F2937"/>
          <w:sz w:val="20"/>
          <w:szCs w:val="20"/>
        </w:rPr>
        <w:t xml:space="preserve">1. Four major content sections are empty shells </w:t>
      </w:r>
      <w:r>
        <w:rPr>
          <w:rFonts w:ascii="Arial" w:cs="Arial" w:eastAsia="Arial" w:hAnsi="Arial"/>
          <w:color w:val="1F2937"/>
          <w:sz w:val="20"/>
          <w:szCs w:val="20"/>
        </w:rPr>
        <w:t xml:space="preserve">— Cities, Counties, Specialties, and EHRs all have H2 headers and intro sentences but zero substantive content, meaning ~40% of the page’s promised entity coverage doesn’t exist.</w:t>
      </w:r>
    </w:p>
    <w:p>
      <w:pPr>
        <w:spacing w:after="80" w:before="80"/>
      </w:pPr>
      <w:r>
        <w:rPr>
          <w:rFonts w:ascii="Arial" w:cs="Arial" w:eastAsia="Arial" w:hAnsi="Arial"/>
          <w:b/>
          <w:bCs/>
          <w:color w:val="1F2937"/>
          <w:sz w:val="20"/>
          <w:szCs w:val="20"/>
        </w:rPr>
        <w:t xml:space="preserve">2. Case study and testimonials are completely missing </w:t>
      </w:r>
      <w:r>
        <w:rPr>
          <w:rFonts w:ascii="Arial" w:cs="Arial" w:eastAsia="Arial" w:hAnsi="Arial"/>
          <w:color w:val="1F2937"/>
          <w:sz w:val="20"/>
          <w:szCs w:val="20"/>
        </w:rPr>
        <w:t xml:space="preserve">— for a YMYL medical billing page, empty trust sections are worse than having no sections at all, as they signal an unfinished page to both users and crawlers.</w:t>
      </w:r>
    </w:p>
    <w:p>
      <w:pPr>
        <w:spacing w:after="80" w:before="80"/>
      </w:pPr>
      <w:r>
        <w:rPr>
          <w:rFonts w:ascii="Arial" w:cs="Arial" w:eastAsia="Arial" w:hAnsi="Arial"/>
          <w:b/>
          <w:bCs/>
          <w:color w:val="1F2937"/>
          <w:sz w:val="20"/>
          <w:szCs w:val="20"/>
        </w:rPr>
        <w:t xml:space="preserve">3. Two salary statistics are attributed to incorrect sources </w:t>
      </w:r>
      <w:r>
        <w:rPr>
          <w:rFonts w:ascii="Arial" w:cs="Arial" w:eastAsia="Arial" w:hAnsi="Arial"/>
          <w:color w:val="1F2937"/>
          <w:sz w:val="20"/>
          <w:szCs w:val="20"/>
        </w:rPr>
        <w:t xml:space="preserve">— the Florida Board of Medicine and Justia attributions are factually wrong, which is a direct E-E-A-T violation on a financial services page.</w:t>
      </w:r>
    </w:p>
    <w:p>
      <w:pPr>
        <w:spacing w:after="80" w:before="80"/>
      </w:pPr>
      <w:r>
        <w:rPr>
          <w:rFonts w:ascii="Arial" w:cs="Arial" w:eastAsia="Arial" w:hAnsi="Arial"/>
          <w:b/>
          <w:bCs/>
          <w:color w:val="1F2937"/>
          <w:sz w:val="20"/>
          <w:szCs w:val="20"/>
        </w:rPr>
        <w:t xml:space="preserve">4. No process/workflow section exists </w:t>
      </w:r>
      <w:r>
        <w:rPr>
          <w:rFonts w:ascii="Arial" w:cs="Arial" w:eastAsia="Arial" w:hAnsi="Arial"/>
          <w:color w:val="1F2937"/>
          <w:sz w:val="20"/>
          <w:szCs w:val="20"/>
        </w:rPr>
        <w:t xml:space="preserve">— Google favors service pages that explain HOW the service works; this page only describes WHAT is included without any onboarding or operational workflow explanation.</w:t>
      </w:r>
    </w:p>
    <w:p>
      <w:pPr>
        <w:spacing w:after="80" w:before="80"/>
      </w:pPr>
      <w:r>
        <w:rPr>
          <w:rFonts w:ascii="Arial" w:cs="Arial" w:eastAsia="Arial" w:hAnsi="Arial"/>
          <w:b/>
          <w:bCs/>
          <w:color w:val="1F2937"/>
          <w:sz w:val="20"/>
          <w:szCs w:val="20"/>
        </w:rPr>
        <w:t xml:space="preserve">5. Zero internal links </w:t>
      </w:r>
      <w:r>
        <w:rPr>
          <w:rFonts w:ascii="Arial" w:cs="Arial" w:eastAsia="Arial" w:hAnsi="Arial"/>
          <w:color w:val="1F2937"/>
          <w:sz w:val="20"/>
          <w:szCs w:val="20"/>
        </w:rPr>
        <w:t xml:space="preserve">— the page exists as an orphan node in Transcure’s site architecture, unable to pass or receive topical authority.</w:t>
      </w:r>
    </w:p>
    <w:p>
      <w:pPr>
        <w:pStyle w:val="Heading2"/>
        <w:spacing w:after="160" w:before="300"/>
      </w:pPr>
      <w:r>
        <w:rPr>
          <w:rFonts w:ascii="Arial" w:cs="Arial" w:eastAsia="Arial" w:hAnsi="Arial"/>
          <w:b/>
          <w:bCs/>
          <w:color w:val="1F2937"/>
          <w:sz w:val="26"/>
          <w:szCs w:val="26"/>
        </w:rPr>
        <w:t xml:space="preserve">B. High-Priority Fixes (In Order of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5080"/>
      </w:tblGrid>
      <w:tr>
        <w:tc>
          <w:tcPr>
            <w:tcW w:type="dxa" w:w="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42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Fix</w:t>
            </w:r>
          </w:p>
        </w:tc>
        <w:tc>
          <w:tcPr>
            <w:tcW w:type="dxa" w:w="50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SEO &amp; Conversion Impact</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1</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Populate the 4 empty content sections (Cities/Counties merged into Service Areas, Specialties, EHRs)</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Adds 30–50 new entity mentions, dramatically increases geo and specialty keyword coverage, improves topical depth score</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2</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real case study + testimonials</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Directly addresses E-E-A-T for YMYL; enables Review schema; increases conversion rate through social proof</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3</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Fix the two incorrect source attributions (BLS, not FL Board of Medicine; actual salary source, not Justia)</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Prevents E-E-A-T penalty from factual inaccuracy on a financial claim</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4</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a “How It Works” onboarding process section</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Improves semantic completeness, adds conversion-critical content, enables HowTo schema potential</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5</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Rewrite CTAs with specific outcomes</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Direct conversion impact — current CTAs give no reason to click and no Florida-specific hook</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6</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Align Meta Title with H1</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Eliminates conflicting semantic signals between “Tailored for State Compliance” and “Most Complex Medicare Market”</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7</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8–12 internal links throughout</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Integrates page into site graph, passes topical authority, improves crawlability</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8</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Add certification entities (CPC, AAPC, AHIMA)</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Strengthens E-E-A-T entity signals for medical billing expertise page</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9</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Soften absolute claims (“every time,” “all challenges,” “without lifting a finger”)</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Reduces YMYL quality rater risk flags</w:t>
            </w:r>
          </w:p>
        </w:tc>
      </w:tr>
      <w:tr>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10</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Implement FAQPage, Service, and LocalBusiness schema</w:t>
            </w:r>
          </w:p>
        </w:tc>
        <w:tc>
          <w:tcPr>
            <w:tcW w:type="dxa" w:w="5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Enables rich results for FAQ queries and local service searches</w:t>
            </w:r>
          </w:p>
        </w:tc>
      </w:tr>
    </w:tbl>
    <w:p>
      <w:pPr>
        <w:pStyle w:val="Heading2"/>
        <w:spacing w:after="160" w:before="300"/>
      </w:pPr>
      <w:r>
        <w:rPr>
          <w:rFonts w:ascii="Arial" w:cs="Arial" w:eastAsia="Arial" w:hAnsi="Arial"/>
          <w:b/>
          <w:bCs/>
          <w:color w:val="1F2937"/>
          <w:sz w:val="26"/>
          <w:szCs w:val="26"/>
        </w:rPr>
        <w:t xml:space="preserve">C. Semantic Triple Examples — Gold Standard</w:t>
      </w:r>
    </w:p>
    <w:p>
      <w:pPr>
        <w:pStyle w:val="Heading3"/>
        <w:spacing w:after="120" w:before="240"/>
      </w:pPr>
      <w:r>
        <w:rPr>
          <w:rFonts w:ascii="Arial" w:cs="Arial" w:eastAsia="Arial" w:hAnsi="Arial"/>
          <w:b/>
          <w:bCs/>
          <w:color w:val="2E75B6"/>
          <w:sz w:val="22"/>
          <w:szCs w:val="22"/>
        </w:rPr>
        <w:t xml:space="preserve">Example 1: Hero Bullet</w:t>
      </w:r>
    </w:p>
    <w:p>
      <w:pPr>
        <w:shd w:fill="FEE2E2" w:val="clear"/>
        <w:spacing w:after="40" w:before="80"/>
      </w:pPr>
      <w:r>
        <w:rPr>
          <w:rFonts w:ascii="Arial" w:cs="Arial" w:eastAsia="Arial" w:hAnsi="Arial"/>
          <w:b/>
          <w:bCs/>
          <w:color w:val="DC2626"/>
          <w:sz w:val="20"/>
          <w:szCs w:val="20"/>
        </w:rPr>
        <w:t xml:space="preserve">WEAK (current): </w:t>
      </w:r>
      <w:r>
        <w:rPr>
          <w:rFonts w:ascii="Arial" w:cs="Arial" w:eastAsia="Arial" w:hAnsi="Arial"/>
          <w:color w:val="1F2937"/>
          <w:sz w:val="20"/>
          <w:szCs w:val="20"/>
        </w:rPr>
        <w:t xml:space="preserve">“Achieving 98% first-pass clean claim rate across Florida’s high-denial payer landscape”</w:t>
      </w:r>
    </w:p>
    <w:p>
      <w:pPr>
        <w:shd w:fill="D1FAE5" w:val="clear"/>
        <w:spacing w:after="80" w:before="80"/>
      </w:pPr>
      <w:r>
        <w:rPr>
          <w:rFonts w:ascii="Arial" w:cs="Arial" w:eastAsia="Arial" w:hAnsi="Arial"/>
          <w:b/>
          <w:bCs/>
          <w:color w:val="059669"/>
          <w:sz w:val="20"/>
          <w:szCs w:val="20"/>
        </w:rPr>
        <w:t xml:space="preserve">IMPROVED: </w:t>
      </w:r>
      <w:r>
        <w:rPr>
          <w:rFonts w:ascii="Arial" w:cs="Arial" w:eastAsia="Arial" w:hAnsi="Arial"/>
          <w:color w:val="1F2937"/>
          <w:sz w:val="20"/>
          <w:szCs w:val="20"/>
        </w:rPr>
        <w:t xml:space="preserve">“Transcure [Subject] achieves a 98% first-pass clean claim rate [Action + Measurable Outcome] for Florida medical practices [Target Audience] by validating every claim against Florida Blue, Humana, and Medicare Advantage plan-specific edits before submission [Specific Service Process + Named Payer Entities].”</w:t>
      </w:r>
    </w:p>
    <w:p>
      <w:pPr>
        <w:pStyle w:val="Heading3"/>
        <w:spacing w:after="120" w:before="240"/>
      </w:pPr>
      <w:r>
        <w:rPr>
          <w:rFonts w:ascii="Arial" w:cs="Arial" w:eastAsia="Arial" w:hAnsi="Arial"/>
          <w:b/>
          <w:bCs/>
          <w:color w:val="2E75B6"/>
          <w:sz w:val="22"/>
          <w:szCs w:val="22"/>
        </w:rPr>
        <w:t xml:space="preserve">Example 2: Why Choose Section</w:t>
      </w:r>
    </w:p>
    <w:p>
      <w:pPr>
        <w:shd w:fill="FEE2E2" w:val="clear"/>
        <w:spacing w:after="40" w:before="80"/>
      </w:pPr>
      <w:r>
        <w:rPr>
          <w:rFonts w:ascii="Arial" w:cs="Arial" w:eastAsia="Arial" w:hAnsi="Arial"/>
          <w:b/>
          <w:bCs/>
          <w:color w:val="DC2626"/>
          <w:sz w:val="20"/>
          <w:szCs w:val="20"/>
        </w:rPr>
        <w:t xml:space="preserve">WEAK (current): </w:t>
      </w:r>
      <w:r>
        <w:rPr>
          <w:rFonts w:ascii="Arial" w:cs="Arial" w:eastAsia="Arial" w:hAnsi="Arial"/>
          <w:color w:val="1F2937"/>
          <w:sz w:val="20"/>
          <w:szCs w:val="20"/>
        </w:rPr>
        <w:t xml:space="preserve">“Our billers understand Florida Blue, Humana, and Medicare Advantage plan-specific rules deeply enough to get claims right the first time, every time.”</w:t>
      </w:r>
    </w:p>
    <w:p>
      <w:pPr>
        <w:shd w:fill="D1FAE5" w:val="clear"/>
        <w:spacing w:after="80" w:before="80"/>
      </w:pPr>
      <w:r>
        <w:rPr>
          <w:rFonts w:ascii="Arial" w:cs="Arial" w:eastAsia="Arial" w:hAnsi="Arial"/>
          <w:b/>
          <w:bCs/>
          <w:color w:val="059669"/>
          <w:sz w:val="20"/>
          <w:szCs w:val="20"/>
        </w:rPr>
        <w:t xml:space="preserve">IMPROVED: </w:t>
      </w:r>
      <w:r>
        <w:rPr>
          <w:rFonts w:ascii="Arial" w:cs="Arial" w:eastAsia="Arial" w:hAnsi="Arial"/>
          <w:color w:val="1F2937"/>
          <w:sz w:val="20"/>
          <w:szCs w:val="20"/>
        </w:rPr>
        <w:t xml:space="preserve">“Transcure’s CPC-certified billers [Subject + Credential] apply Florida Blue, Humana, and Medicare Advantage plan-specific authorization rules, fee schedule validations, and modifier requirements [Specific Actions] to achieve first-pass acceptance on 98% of Florida claims [Measurable Outcome], eliminating revenue loss from preventable denials [Causal Chain].”</w:t>
      </w:r>
    </w:p>
    <w:p>
      <w:pPr>
        <w:pStyle w:val="Heading2"/>
        <w:spacing w:after="160" w:before="300"/>
      </w:pPr>
      <w:r>
        <w:rPr>
          <w:rFonts w:ascii="Arial" w:cs="Arial" w:eastAsia="Arial" w:hAnsi="Arial"/>
          <w:b/>
          <w:bCs/>
          <w:color w:val="1F2937"/>
          <w:sz w:val="26"/>
          <w:szCs w:val="26"/>
        </w:rPr>
        <w:t xml:space="preserve">D. Entity Optimization Suggestions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3280"/>
      </w:tblGrid>
      <w:tr>
        <w:tc>
          <w:tcPr>
            <w:tcW w:type="dxa" w:w="1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Entity Category</w:t>
            </w:r>
          </w:p>
        </w:tc>
        <w:tc>
          <w:tcPr>
            <w:tcW w:type="dxa" w:w="2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Missing Entity</w:t>
            </w:r>
          </w:p>
        </w:tc>
        <w:tc>
          <w:tcPr>
            <w:tcW w:type="dxa" w:w="22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Where to Add</w:t>
            </w:r>
          </w:p>
        </w:tc>
        <w:tc>
          <w:tcPr>
            <w:tcW w:type="dxa" w:w="32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Why It Matters</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Credential entities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CPC, CCS, AAPC, AHIMA</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“Why Choose” section and services section</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Medical billing expertise pages without certification entities lack the primary E-E-A-T signal Google looks for</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City entities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Jacksonville, Tampa, Fort Lauderdale, St. Petersburg, Hialeah, Tallahassee, Cape Coral, Port St. Lucie, Pembroke Pines, Hollywood, Gainesville, Naples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Merged Service Areas section</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Florida has 20+ cities with 100K+ population — each is a geo-targeting opportunity tied to local payer mix</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County entities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Broward, Hillsborough, Orange, Duval, Pinellas, Lee, Polk, Brevard, Volusia, Seminole</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Merged Service Areas section</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County-level targeting captures “[county] medical billing” searches and ties to Medicaid MCO regional assignments</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EHR/PMS entities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eClinicalWorks, athenahealth, NextGen, DrChrono, AdvancedMD, Kareo, Practice Fusion, Epic, Greenway Health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EHR section</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Practices search for “[EHR name] billing company” — listing real platforms captures these queries</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Specialty entities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Internal medicine, family medicine, dermatology, gastroenterology, neurology, urology, OB/GYN, psychiatry, ENT</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Specialties section</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Each specialty has unique coding complexity — naming them creates entity relationships Google can index</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Payer entities (expanded)</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Aetna, Cigna, UnitedHealthcare, Molina Healthcare, WellCare, Staywell, Simply Healthcare, Sunshine Health</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Services and FAQ sections</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These are major Florida Medicaid MCOs and commercial payers — naming them captures payer-specific search queries</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Timeline entities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“48-hour onboarding,” “30-day A/R recovery,” “90-day ROI”</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New “How It Works” section and CTAs</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Specific timeframes create urgency and are indexable entities that differentiate from competitors</w:t>
            </w:r>
          </w:p>
        </w:tc>
      </w:tr>
      <w:tr>
        <w:tc>
          <w:tcPr>
            <w:tcW w:type="dxa" w:w="1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spacing w:after="40" w:before="40"/>
            </w:pPr>
            <w:r>
              <w:rPr>
                <w:rFonts w:ascii="Arial" w:cs="Arial" w:eastAsia="Arial" w:hAnsi="Arial"/>
                <w:color w:val="1F2937"/>
                <w:sz w:val="18"/>
                <w:szCs w:val="18"/>
              </w:rPr>
              <w:t xml:space="preserve">Software/technology entities</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AI claim scrubbing, RPA payment posting, real-time eligibility API</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Services section</w:t>
            </w:r>
          </w:p>
        </w:tc>
        <w:tc>
          <w:tcPr>
            <w:tcW w:type="dxa" w:w="32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Technology entities signal operational sophistication and capture “AI medical billing” search intent</w:t>
            </w:r>
          </w:p>
        </w:tc>
      </w:tr>
    </w:tbl>
    <w:p>
      <w:pPr>
        <w:pStyle w:val="Heading2"/>
        <w:spacing w:after="160" w:before="300"/>
      </w:pPr>
      <w:r>
        <w:rPr>
          <w:rFonts w:ascii="Arial" w:cs="Arial" w:eastAsia="Arial" w:hAnsi="Arial"/>
          <w:b/>
          <w:bCs/>
          <w:color w:val="1F2937"/>
          <w:sz w:val="26"/>
          <w:szCs w:val="26"/>
        </w:rPr>
        <w:t xml:space="preserve">E. Landing Page Structure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6080"/>
      </w:tblGrid>
      <w:tr>
        <w:tc>
          <w:tcPr>
            <w:tcW w:type="dxa" w:w="32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Element</w:t>
            </w:r>
          </w:p>
        </w:tc>
        <w:tc>
          <w:tcPr>
            <w:tcW w:type="dxa" w:w="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Score</w:t>
            </w:r>
          </w:p>
        </w:tc>
        <w:tc>
          <w:tcPr>
            <w:tcW w:type="dxa" w:w="60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r>
              <w:rPr>
                <w:rFonts w:ascii="Arial" w:cs="Arial" w:eastAsia="Arial" w:hAnsi="Arial"/>
                <w:b/>
                <w:bCs/>
                <w:color w:val="FFFFFF"/>
                <w:sz w:val="18"/>
                <w:szCs w:val="18"/>
              </w:rPr>
              <w:t xml:space="preserve">Note</w:t>
            </w:r>
          </w:p>
        </w:tc>
      </w:tr>
      <w:tr>
        <w:tc>
          <w:tcPr>
            <w:tcW w:type="dxa" w:w="3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val="false"/>
                <w:bCs w:val="false"/>
                <w:color w:val="1F2937"/>
                <w:sz w:val="18"/>
                <w:szCs w:val="18"/>
              </w:rPr>
              <w:t xml:space="preserve">Hero section with value prop + CTA</w:t>
            </w:r>
          </w:p>
        </w:tc>
        <w:tc>
          <w:tcPr>
            <w:tcW w:type="dxa" w:w="8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0.5</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Value proposition is strong but no CTA appears above the fold; first CTA is buried mid-page</w:t>
            </w:r>
          </w:p>
        </w:tc>
      </w:tr>
      <w:tr>
        <w:tc>
          <w:tcPr>
            <w:tcW w:type="dxa" w:w="3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val="false"/>
                <w:bCs w:val="false"/>
                <w:color w:val="1F2937"/>
                <w:sz w:val="18"/>
                <w:szCs w:val="18"/>
              </w:rPr>
              <w:t xml:space="preserve">Problem statement</w:t>
            </w:r>
          </w:p>
        </w:tc>
        <w:tc>
          <w:tcPr>
            <w:tcW w:type="dxa" w:w="8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1</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Strong — four Florida-specific pain points with statute references</w:t>
            </w:r>
          </w:p>
        </w:tc>
      </w:tr>
      <w:tr>
        <w:tc>
          <w:tcPr>
            <w:tcW w:type="dxa" w:w="3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val="false"/>
                <w:bCs w:val="false"/>
                <w:color w:val="1F2937"/>
                <w:sz w:val="18"/>
                <w:szCs w:val="18"/>
              </w:rPr>
              <w:t xml:space="preserve">Solution / how it works</w:t>
            </w:r>
          </w:p>
        </w:tc>
        <w:tc>
          <w:tcPr>
            <w:tcW w:type="dxa" w:w="8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0</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Missing entirely — no onboarding process, no workflow explanation</w:t>
            </w:r>
          </w:p>
        </w:tc>
      </w:tr>
      <w:tr>
        <w:tc>
          <w:tcPr>
            <w:tcW w:type="dxa" w:w="3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b w:val="false"/>
                <w:bCs w:val="false"/>
                <w:color w:val="1F2937"/>
                <w:sz w:val="18"/>
                <w:szCs w:val="18"/>
              </w:rPr>
              <w:t xml:space="preserve">Service features/benefits with causal chains</w:t>
            </w:r>
          </w:p>
        </w:tc>
        <w:tc>
          <w:tcPr>
            <w:tcW w:type="dxa" w:w="8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0.5</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Nine services listed but most lack cause → effect explanations</w:t>
            </w:r>
          </w:p>
        </w:tc>
      </w:tr>
      <w:tr>
        <w:tc>
          <w:tcPr>
            <w:tcW w:type="dxa" w:w="3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val="false"/>
                <w:bCs w:val="false"/>
                <w:color w:val="1F2937"/>
                <w:sz w:val="18"/>
                <w:szCs w:val="18"/>
              </w:rPr>
              <w:t xml:space="preserve">Trust signals (testimonials, case studies, badges)</w:t>
            </w:r>
          </w:p>
        </w:tc>
        <w:tc>
          <w:tcPr>
            <w:tcW w:type="dxa" w:w="8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0</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Both sections exist as headers only — zero actual content</w:t>
            </w:r>
          </w:p>
        </w:tc>
      </w:tr>
      <w:tr>
        <w:tc>
          <w:tcPr>
            <w:tcW w:type="dxa" w:w="3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val="false"/>
                <w:bCs w:val="false"/>
                <w:color w:val="1F2937"/>
                <w:sz w:val="18"/>
                <w:szCs w:val="18"/>
              </w:rPr>
              <w:t xml:space="preserve">Local geo entities (if local service)</w:t>
            </w:r>
          </w:p>
        </w:tc>
        <w:tc>
          <w:tcPr>
            <w:tcW w:type="dxa" w:w="8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0</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City and county sections are empty shells with no actual geo entity lists</w:t>
            </w:r>
          </w:p>
        </w:tc>
      </w:tr>
      <w:tr>
        <w:tc>
          <w:tcPr>
            <w:tcW w:type="dxa" w:w="32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r>
              <w:rPr>
                <w:rFonts w:ascii="Arial" w:cs="Arial" w:eastAsia="Arial" w:hAnsi="Arial"/>
                <w:b w:val="false"/>
                <w:bCs w:val="false"/>
                <w:color w:val="1F2937"/>
                <w:sz w:val="18"/>
                <w:szCs w:val="18"/>
              </w:rPr>
              <w:t xml:space="preserve">FAQ with long-tail entities</w:t>
            </w:r>
          </w:p>
        </w:tc>
        <w:tc>
          <w:tcPr>
            <w:tcW w:type="dxa" w:w="800"/>
            <w:tcBorders>
              <w:top w:val="single" w:color="D1D5DB" w:sz="1"/>
              <w:left w:val="single" w:color="D1D5DB" w:sz="1"/>
              <w:bottom w:val="single" w:color="D1D5DB" w:sz="1"/>
              <w:right w:val="single" w:color="D1D5DB" w:sz="1"/>
            </w:tcBorders>
            <w:shd w:fill="D1FAE5"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1</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5 questions with statute-specific, entity-rich answers — the strongest section</w:t>
            </w:r>
          </w:p>
        </w:tc>
      </w:tr>
      <w:tr>
        <w:tc>
          <w:tcPr>
            <w:tcW w:type="dxa" w:w="3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b w:val="false"/>
                <w:bCs w:val="false"/>
                <w:color w:val="1F2937"/>
                <w:sz w:val="18"/>
                <w:szCs w:val="18"/>
              </w:rPr>
              <w:t xml:space="preserve">Outcome-driven final CTA</w:t>
            </w:r>
          </w:p>
        </w:tc>
        <w:tc>
          <w:tcPr>
            <w:tcW w:type="dxa" w:w="8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0</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“Start Saving Today” is generic with no outcome, no Florida hook, no next-step clarity</w:t>
            </w:r>
          </w:p>
        </w:tc>
      </w:tr>
      <w:tr>
        <w:tc>
          <w:tcPr>
            <w:tcW w:type="dxa" w:w="32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r>
              <w:rPr>
                <w:rFonts w:ascii="Arial" w:cs="Arial" w:eastAsia="Arial" w:hAnsi="Arial"/>
                <w:b/>
                <w:bCs/>
                <w:color w:val="1F2937"/>
                <w:sz w:val="18"/>
                <w:szCs w:val="18"/>
              </w:rPr>
              <w:t xml:space="preserve">TOTAL</w:t>
            </w:r>
          </w:p>
        </w:tc>
        <w:tc>
          <w:tcPr>
            <w:tcW w:type="dxa" w:w="800"/>
            <w:tcBorders>
              <w:top w:val="single" w:color="D1D5DB" w:sz="1"/>
              <w:left w:val="single" w:color="D1D5DB" w:sz="1"/>
              <w:bottom w:val="single" w:color="D1D5DB" w:sz="1"/>
              <w:right w:val="single" w:color="D1D5DB" w:sz="1"/>
            </w:tcBorders>
            <w:shd w:fill="F0F5FA" w:val="clear"/>
            <w:tcMar>
              <w:top w:type="dxa" w:w="60"/>
              <w:left w:type="dxa" w:w="100"/>
              <w:bottom w:type="dxa" w:w="60"/>
              <w:right w:type="dxa" w:w="100"/>
            </w:tcMar>
          </w:tcPr>
          <w:p>
            <w:pPr>
              <w:jc w:val="center"/>
            </w:pPr>
            <w:r>
              <w:rPr>
                <w:rFonts w:ascii="Arial" w:cs="Arial" w:eastAsia="Arial" w:hAnsi="Arial"/>
                <w:b/>
                <w:bCs/>
                <w:color w:val="1F2937"/>
                <w:sz w:val="18"/>
                <w:szCs w:val="18"/>
              </w:rPr>
              <w:t xml:space="preserve">3 / 8</w:t>
            </w:r>
          </w:p>
        </w:tc>
        <w:tc>
          <w:tcPr>
            <w:tcW w:type="dxa" w:w="608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40" w:before="40"/>
            </w:pPr>
            <w:r>
              <w:rPr>
                <w:rFonts w:ascii="Arial" w:cs="Arial" w:eastAsia="Arial" w:hAnsi="Arial"/>
                <w:color w:val="1F2937"/>
                <w:sz w:val="18"/>
                <w:szCs w:val="18"/>
              </w:rPr>
              <w:t xml:space="preserve">Strong regulatory knowledge and problem statement, critically undermined by empty content sections, missing trust signals, and weak conversion elements</w:t>
            </w:r>
          </w:p>
        </w:tc>
      </w:tr>
    </w:tbl>
    <w:p>
      <w:pPr>
        <w:spacing w:before="400"/>
      </w:pPr>
    </w:p>
    <w:p>
      <w:pPr>
        <w:spacing w:before="200"/>
      </w:pPr>
      <w:r>
        <w:rPr>
          <w:rFonts w:ascii="Arial" w:cs="Arial" w:eastAsia="Arial" w:hAnsi="Arial"/>
          <w:i/>
          <w:iCs/>
          <w:color w:val="6B7280"/>
          <w:sz w:val="18"/>
          <w:szCs w:val="18"/>
        </w:rPr>
        <w:t xml:space="preserve">Audit performed using the Semantic SEO Landing Page Audit framework. All findings reference exact content from the submitted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B7280"/>
        <w:sz w:val="16"/>
        <w:szCs w:val="16"/>
      </w:rPr>
      <w:t xml:space="preserve">Semantic SEO Audit — Medical Billing Services in Florida — Transcure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2026-04-21T17:50:14.492Z</dcterms:created>
  <dcterms:modified xsi:type="dcterms:W3CDTF">2026-04-21T17:50:14.493Z</dcterms:modified>
</cp:coreProperties>
</file>

<file path=docProps/custom.xml><?xml version="1.0" encoding="utf-8"?>
<Properties xmlns="http://schemas.openxmlformats.org/officeDocument/2006/custom-properties" xmlns:vt="http://schemas.openxmlformats.org/officeDocument/2006/docPropsVTypes"/>
</file>