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864"/>
          <w:sz w:val="28"/>
          <w:szCs w:val="28"/>
        </w:rPr>
        <w:t xml:space="preserve">TRANSCURE.NET</w:t>
      </w:r>
    </w:p>
    <w:p>
      <w:pPr>
        <w:spacing w:after="120"/>
        <w:jc w:val="center"/>
      </w:pPr>
      <w:r>
        <w:rPr>
          <w:rFonts w:ascii="Calibri" w:cs="Calibri" w:eastAsia="Calibri" w:hAnsi="Calibri"/>
          <w:b/>
          <w:bCs/>
          <w:color w:val="1F3864"/>
          <w:sz w:val="56"/>
          <w:szCs w:val="56"/>
        </w:rPr>
        <w:t xml:space="preserve">Koray-Framework SEO Audit</w:t>
      </w:r>
    </w:p>
    <w:p>
      <w:pPr>
        <w:spacing w:after="600"/>
        <w:jc w:val="center"/>
      </w:pPr>
      <w:r>
        <w:rPr>
          <w:rFonts w:ascii="Calibri" w:cs="Calibri" w:eastAsia="Calibri" w:hAnsi="Calibri"/>
          <w:i/>
          <w:iCs/>
          <w:color w:val="404040"/>
          <w:sz w:val="26"/>
          <w:szCs w:val="26"/>
        </w:rPr>
        <w:t xml:space="preserve">Root-cause analysis of the January 2026 listicle publish, topical-map diagnosis, and prioritised remediation roadmap</w:t>
      </w:r>
    </w:p>
    <w:p>
      <w:pPr>
        <w:spacing w:after="120"/>
        <w:jc w:val="center"/>
      </w:pPr>
      <w:r>
        <w:rPr>
          <w:rFonts w:ascii="Calibri" w:cs="Calibri" w:eastAsia="Calibri" w:hAnsi="Calibri"/>
          <w:sz w:val="24"/>
          <w:szCs w:val="24"/>
        </w:rPr>
        <w:t xml:space="preserve">Prepared for: Transcure SEO Team</w:t>
      </w:r>
    </w:p>
    <w:p>
      <w:pPr>
        <w:spacing w:after="120"/>
        <w:jc w:val="center"/>
      </w:pPr>
      <w:r>
        <w:rPr>
          <w:rFonts w:ascii="Calibri" w:cs="Calibri" w:eastAsia="Calibri" w:hAnsi="Calibri"/>
          <w:sz w:val="24"/>
          <w:szCs w:val="24"/>
        </w:rPr>
        <w:t xml:space="preserve">Prepared by: SEO Research Desk</w:t>
      </w:r>
    </w:p>
    <w:p>
      <w:pPr>
        <w:spacing w:after="120"/>
        <w:jc w:val="center"/>
      </w:pPr>
      <w:r>
        <w:rPr>
          <w:rFonts w:ascii="Calibri" w:cs="Calibri" w:eastAsia="Calibri" w:hAnsi="Calibri"/>
          <w:sz w:val="24"/>
          <w:szCs w:val="24"/>
        </w:rPr>
        <w:t xml:space="preserve">Report date: 24 April 2026</w:t>
      </w:r>
    </w:p>
    <w:p>
      <w:pPr>
        <w:spacing w:after="120"/>
        <w:jc w:val="center"/>
      </w:pPr>
      <w:r>
        <w:rPr>
          <w:rFonts w:ascii="Calibri" w:cs="Calibri" w:eastAsia="Calibri" w:hAnsi="Calibri"/>
          <w:sz w:val="24"/>
          <w:szCs w:val="24"/>
        </w:rPr>
        <w:t xml:space="preserve">Version: 1.0</w:t>
      </w:r>
    </w:p>
    <w:p>
      <w:pPr>
        <w:spacing w:after="120" w:before="400"/>
        <w:jc w:val="center"/>
      </w:pPr>
      <w:r>
        <w:rPr>
          <w:rFonts w:ascii="Calibri" w:cs="Calibri" w:eastAsia="Calibri" w:hAnsi="Calibri"/>
          <w:i/>
          <w:iCs/>
        </w:rPr>
        <w:t xml:space="preserve">Applies Koray Tuğberk Gübür's Topical Authority framework (Source Context, Topical Borders, Contextual Bridge, Historical Data, Strongly Connected Components, Sandbox Escape) to transcure.net.</w:t>
      </w:r>
    </w:p>
    <w:p>
      <w:r>
        <w:br w:type="page"/>
      </w:r>
    </w:p>
    <w:p>
      <w:pPr>
        <w:pStyle w:val="Heading1"/>
        <w:spacing w:after="160" w:before="320"/>
      </w:pPr>
      <w:r>
        <w:rPr>
          <w:rFonts w:ascii="Calibri" w:cs="Calibri" w:eastAsia="Calibri" w:hAnsi="Calibri"/>
        </w:rPr>
        <w:t xml:space="preserve">Table of contents</w:t>
      </w:r>
    </w:p>
    <w:p>
      <w:pPr>
        <w:tabs>
          <w:tab w:val="right" w:pos="9026"/>
        </w:tabs>
        <w:spacing w:after="60"/>
      </w:pPr>
      <w:r>
        <w:rPr>
          <w:rFonts w:ascii="Calibri" w:cs="Calibri" w:eastAsia="Calibri" w:hAnsi="Calibri"/>
        </w:rPr>
        <w:t xml:space="preserve">0  Executive summary</w:t>
      </w:r>
      <w:r>
        <w:rPr>
          <w:rFonts w:ascii="Calibri" w:cs="Calibri" w:eastAsia="Calibri" w:hAnsi="Calibri"/>
        </w:rPr>
        <w:t xml:space="preserve">	</w:t>
      </w:r>
    </w:p>
    <w:p>
      <w:pPr>
        <w:tabs>
          <w:tab w:val="right" w:pos="9026"/>
        </w:tabs>
        <w:spacing w:after="60"/>
      </w:pPr>
      <w:r>
        <w:rPr>
          <w:rFonts w:ascii="Calibri" w:cs="Calibri" w:eastAsia="Calibri" w:hAnsi="Calibri"/>
        </w:rPr>
        <w:t xml:space="preserve">1  Scope, data sources &amp; methodology</w:t>
      </w:r>
      <w:r>
        <w:rPr>
          <w:rFonts w:ascii="Calibri" w:cs="Calibri" w:eastAsia="Calibri" w:hAnsi="Calibri"/>
        </w:rPr>
        <w:t xml:space="preserve">	</w:t>
      </w:r>
    </w:p>
    <w:p>
      <w:pPr>
        <w:tabs>
          <w:tab w:val="right" w:pos="9026"/>
        </w:tabs>
        <w:spacing w:after="60"/>
      </w:pPr>
      <w:r>
        <w:rPr>
          <w:rFonts w:ascii="Calibri" w:cs="Calibri" w:eastAsia="Calibri" w:hAnsi="Calibri"/>
        </w:rPr>
        <w:t xml:space="preserve">2  The January 2026 incident — what happened in the data</w:t>
      </w:r>
      <w:r>
        <w:rPr>
          <w:rFonts w:ascii="Calibri" w:cs="Calibri" w:eastAsia="Calibri" w:hAnsi="Calibri"/>
        </w:rPr>
        <w:t xml:space="preserve">	</w:t>
      </w:r>
    </w:p>
    <w:p>
      <w:pPr>
        <w:tabs>
          <w:tab w:val="right" w:pos="9026"/>
        </w:tabs>
        <w:spacing w:after="60"/>
      </w:pPr>
      <w:r>
        <w:rPr>
          <w:rFonts w:ascii="Calibri" w:cs="Calibri" w:eastAsia="Calibri" w:hAnsi="Calibri"/>
        </w:rPr>
        <w:t xml:space="preserve">3  Koray pillar 1 — Source Context integrity</w:t>
      </w:r>
      <w:r>
        <w:rPr>
          <w:rFonts w:ascii="Calibri" w:cs="Calibri" w:eastAsia="Calibri" w:hAnsi="Calibri"/>
        </w:rPr>
        <w:t xml:space="preserve">	</w:t>
      </w:r>
    </w:p>
    <w:p>
      <w:pPr>
        <w:tabs>
          <w:tab w:val="right" w:pos="9026"/>
        </w:tabs>
        <w:spacing w:after="60"/>
      </w:pPr>
      <w:r>
        <w:rPr>
          <w:rFonts w:ascii="Calibri" w:cs="Calibri" w:eastAsia="Calibri" w:hAnsi="Calibri"/>
        </w:rPr>
        <w:t xml:space="preserve">4  Koray pillar 2 — URL ontology &amp; canonicalisation</w:t>
      </w:r>
      <w:r>
        <w:rPr>
          <w:rFonts w:ascii="Calibri" w:cs="Calibri" w:eastAsia="Calibri" w:hAnsi="Calibri"/>
        </w:rPr>
        <w:t xml:space="preserve">	</w:t>
      </w:r>
    </w:p>
    <w:p>
      <w:pPr>
        <w:tabs>
          <w:tab w:val="right" w:pos="9026"/>
        </w:tabs>
        <w:spacing w:after="60"/>
      </w:pPr>
      <w:r>
        <w:rPr>
          <w:rFonts w:ascii="Calibri" w:cs="Calibri" w:eastAsia="Calibri" w:hAnsi="Calibri"/>
        </w:rPr>
        <w:t xml:space="preserve">5  Koray pillar 3 — Internal link graph (S/C/I nodes)</w:t>
      </w:r>
      <w:r>
        <w:rPr>
          <w:rFonts w:ascii="Calibri" w:cs="Calibri" w:eastAsia="Calibri" w:hAnsi="Calibri"/>
        </w:rPr>
        <w:t xml:space="preserve">	</w:t>
      </w:r>
    </w:p>
    <w:p>
      <w:pPr>
        <w:tabs>
          <w:tab w:val="right" w:pos="9026"/>
        </w:tabs>
        <w:spacing w:after="60"/>
      </w:pPr>
      <w:r>
        <w:rPr>
          <w:rFonts w:ascii="Calibri" w:cs="Calibri" w:eastAsia="Calibri" w:hAnsi="Calibri"/>
        </w:rPr>
        <w:t xml:space="preserve">6  Koray pillar 4 — Content writing &amp; E-E-A-T</w:t>
      </w:r>
      <w:r>
        <w:rPr>
          <w:rFonts w:ascii="Calibri" w:cs="Calibri" w:eastAsia="Calibri" w:hAnsi="Calibri"/>
        </w:rPr>
        <w:t xml:space="preserve">	</w:t>
      </w:r>
    </w:p>
    <w:p>
      <w:pPr>
        <w:tabs>
          <w:tab w:val="right" w:pos="9026"/>
        </w:tabs>
        <w:spacing w:after="60"/>
      </w:pPr>
      <w:r>
        <w:rPr>
          <w:rFonts w:ascii="Calibri" w:cs="Calibri" w:eastAsia="Calibri" w:hAnsi="Calibri"/>
        </w:rPr>
        <w:t xml:space="preserve">7  Koray pillar 5 — Historical Data &amp; Re-ranking</w:t>
      </w:r>
      <w:r>
        <w:rPr>
          <w:rFonts w:ascii="Calibri" w:cs="Calibri" w:eastAsia="Calibri" w:hAnsi="Calibri"/>
        </w:rPr>
        <w:t xml:space="preserve">	</w:t>
      </w:r>
    </w:p>
    <w:p>
      <w:pPr>
        <w:tabs>
          <w:tab w:val="right" w:pos="9026"/>
        </w:tabs>
        <w:spacing w:after="60"/>
      </w:pPr>
      <w:r>
        <w:rPr>
          <w:rFonts w:ascii="Calibri" w:cs="Calibri" w:eastAsia="Calibri" w:hAnsi="Calibri"/>
        </w:rPr>
        <w:t xml:space="preserve">8  Koray pillar 6 — Technical hygiene</w:t>
      </w:r>
      <w:r>
        <w:rPr>
          <w:rFonts w:ascii="Calibri" w:cs="Calibri" w:eastAsia="Calibri" w:hAnsi="Calibri"/>
        </w:rPr>
        <w:t xml:space="preserve">	</w:t>
      </w:r>
    </w:p>
    <w:p>
      <w:pPr>
        <w:tabs>
          <w:tab w:val="right" w:pos="9026"/>
        </w:tabs>
        <w:spacing w:after="60"/>
      </w:pPr>
      <w:r>
        <w:rPr>
          <w:rFonts w:ascii="Calibri" w:cs="Calibri" w:eastAsia="Calibri" w:hAnsi="Calibri"/>
        </w:rPr>
        <w:t xml:space="preserve">9  Root-cause analysis of the January 2026 publish</w:t>
      </w:r>
      <w:r>
        <w:rPr>
          <w:rFonts w:ascii="Calibri" w:cs="Calibri" w:eastAsia="Calibri" w:hAnsi="Calibri"/>
        </w:rPr>
        <w:t xml:space="preserve">	</w:t>
      </w:r>
    </w:p>
    <w:p>
      <w:pPr>
        <w:tabs>
          <w:tab w:val="right" w:pos="9026"/>
        </w:tabs>
        <w:spacing w:after="60"/>
      </w:pPr>
      <w:r>
        <w:rPr>
          <w:rFonts w:ascii="Calibri" w:cs="Calibri" w:eastAsia="Calibri" w:hAnsi="Calibri"/>
        </w:rPr>
        <w:t xml:space="preserve">10  Prioritised remediation roadmap</w:t>
      </w:r>
      <w:r>
        <w:rPr>
          <w:rFonts w:ascii="Calibri" w:cs="Calibri" w:eastAsia="Calibri" w:hAnsi="Calibri"/>
        </w:rPr>
        <w:t xml:space="preserve">	</w:t>
      </w:r>
    </w:p>
    <w:p>
      <w:pPr>
        <w:tabs>
          <w:tab w:val="right" w:pos="9026"/>
        </w:tabs>
        <w:spacing w:after="60"/>
      </w:pPr>
      <w:r>
        <w:rPr>
          <w:rFonts w:ascii="Calibri" w:cs="Calibri" w:eastAsia="Calibri" w:hAnsi="Calibri"/>
        </w:rPr>
        <w:t xml:space="preserve">11  Appendix A — Parallel URL taxonomies catalogue</w:t>
      </w:r>
      <w:r>
        <w:rPr>
          <w:rFonts w:ascii="Calibri" w:cs="Calibri" w:eastAsia="Calibri" w:hAnsi="Calibri"/>
        </w:rPr>
        <w:t xml:space="preserve">	</w:t>
      </w:r>
    </w:p>
    <w:p>
      <w:pPr>
        <w:tabs>
          <w:tab w:val="right" w:pos="9026"/>
        </w:tabs>
        <w:spacing w:after="60"/>
      </w:pPr>
      <w:r>
        <w:rPr>
          <w:rFonts w:ascii="Calibri" w:cs="Calibri" w:eastAsia="Calibri" w:hAnsi="Calibri"/>
        </w:rPr>
        <w:t xml:space="preserve">12  Appendix B — Referenced URLs</w:t>
      </w:r>
      <w:r>
        <w:rPr>
          <w:rFonts w:ascii="Calibri" w:cs="Calibri" w:eastAsia="Calibri" w:hAnsi="Calibri"/>
        </w:rPr>
        <w:t xml:space="preserve">	</w:t>
      </w:r>
    </w:p>
    <w:p>
      <w:r>
        <w:br w:type="page"/>
      </w:r>
    </w:p>
    <w:p>
      <w:pPr>
        <w:pStyle w:val="Heading1"/>
        <w:spacing w:after="160" w:before="320"/>
      </w:pPr>
      <w:r>
        <w:rPr>
          <w:rFonts w:ascii="Calibri" w:cs="Calibri" w:eastAsia="Calibri" w:hAnsi="Calibri"/>
        </w:rPr>
        <w:t xml:space="preserve">0 — Executive summary</w:t>
      </w:r>
    </w:p>
    <w:p>
      <w:pPr>
        <w:spacing w:after="120" w:line="300"/>
      </w:pPr>
      <w:r>
        <w:rPr>
          <w:rFonts w:ascii="Calibri" w:cs="Calibri" w:eastAsia="Calibri" w:hAnsi="Calibri"/>
          <w:b/>
          <w:bCs/>
        </w:rPr>
        <w:t xml:space="preserve">Verdict. </w:t>
      </w:r>
      <w:r>
        <w:rPr>
          <w:rFonts w:ascii="Calibri" w:cs="Calibri" w:eastAsia="Calibri" w:hAnsi="Calibri"/>
        </w:rPr>
        <w:t xml:space="preserve">The January 2026 bulk-publish of 100+ ‘medical billing companies + location’ listicles did trigger re-ranking — but it pushed transcure.net into a </w:t>
      </w:r>
      <w:r>
        <w:rPr>
          <w:rFonts w:ascii="Calibri" w:cs="Calibri" w:eastAsia="Calibri" w:hAnsi="Calibri"/>
          <w:b/>
          <w:bCs/>
        </w:rPr>
        <w:t xml:space="preserve">negative Historical Data state</w:t>
      </w:r>
      <w:r>
        <w:rPr>
          <w:rFonts w:ascii="Calibri" w:cs="Calibri" w:eastAsia="Calibri" w:hAnsi="Calibri"/>
        </w:rPr>
        <w:t xml:space="preserve">. Impressions spiked (+165% week-over-week on 19 Jan), click-through rate collapsed to </w:t>
      </w:r>
      <w:r>
        <w:rPr>
          <w:rFonts w:ascii="Calibri" w:cs="Calibri" w:eastAsia="Calibri" w:hAnsi="Calibri"/>
          <w:b/>
          <w:bCs/>
          <w:color w:val="B00020"/>
        </w:rPr>
        <w:t xml:space="preserve">0.37% (≈ half of baseline)</w:t>
      </w:r>
      <w:r>
        <w:rPr>
          <w:rFonts w:ascii="Calibri" w:cs="Calibri" w:eastAsia="Calibri" w:hAnsi="Calibri"/>
        </w:rPr>
        <w:t xml:space="preserve">, and clicks have since settled at roughly </w:t>
      </w:r>
      <w:r>
        <w:rPr>
          <w:rFonts w:ascii="Calibri" w:cs="Calibri" w:eastAsia="Calibri" w:hAnsi="Calibri"/>
          <w:b/>
          <w:bCs/>
          <w:color w:val="B00020"/>
        </w:rPr>
        <w:t xml:space="preserve">750 clicks/week — about 35% below the Oct–Nov 2025 baseline of 1,000–1,178 clicks/week</w:t>
      </w:r>
      <w:r>
        <w:rPr>
          <w:rFonts w:ascii="Calibri" w:cs="Calibri" w:eastAsia="Calibri" w:hAnsi="Calibri"/>
        </w:rPr>
        <w:t xml:space="preserve">. This is a textbook Koray ‘quality-threshold violation’ followed by Panda/RankBrain-era quality demotion.</w:t>
      </w:r>
    </w:p>
    <w:p>
      <w:pPr>
        <w:pStyle w:val="Heading3"/>
        <w:spacing w:after="100" w:before="180"/>
      </w:pPr>
      <w:r>
        <w:rPr>
          <w:rFonts w:ascii="Calibri" w:cs="Calibri" w:eastAsia="Calibri" w:hAnsi="Calibri"/>
        </w:rPr>
        <w:t xml:space="preserve">What the data shows</w:t>
      </w:r>
    </w:p>
    <w:p>
      <w:pPr>
        <w:pStyle w:val="ListParagraph"/>
        <w:numPr>
          <w:ilvl w:val="0"/>
          <w:numId w:val="2"/>
        </w:numPr>
        <w:spacing w:after="80"/>
      </w:pPr>
      <w:r>
        <w:rPr>
          <w:rFonts w:ascii="Calibri" w:cs="Calibri" w:eastAsia="Calibri" w:hAnsi="Calibri"/>
          <w:b/>
          <w:bCs/>
        </w:rPr>
        <w:t xml:space="preserve">Baseline (Oct–Nov 2025): </w:t>
      </w:r>
      <w:r>
        <w:rPr>
          <w:rFonts w:ascii="Calibri" w:cs="Calibri" w:eastAsia="Calibri" w:hAnsi="Calibri"/>
        </w:rPr>
        <w:t xml:space="preserve">1,000–1,178 clicks/wk, avg position 10–12, CTR ~1.0%.</w:t>
      </w:r>
    </w:p>
    <w:p>
      <w:pPr>
        <w:pStyle w:val="ListParagraph"/>
        <w:numPr>
          <w:ilvl w:val="0"/>
          <w:numId w:val="2"/>
        </w:numPr>
        <w:spacing w:after="80"/>
      </w:pPr>
      <w:r>
        <w:rPr>
          <w:rFonts w:ascii="Calibri" w:cs="Calibri" w:eastAsia="Calibri" w:hAnsi="Calibri"/>
          <w:b/>
          <w:bCs/>
        </w:rPr>
        <w:t xml:space="preserve">Drift (Dec 2025): </w:t>
      </w:r>
      <w:r>
        <w:rPr>
          <w:rFonts w:ascii="Calibri" w:cs="Calibri" w:eastAsia="Calibri" w:hAnsi="Calibri"/>
        </w:rPr>
        <w:t xml:space="preserve">Gradual erosion, CTR softening to 0.8%.</w:t>
      </w:r>
    </w:p>
    <w:p>
      <w:pPr>
        <w:pStyle w:val="ListParagraph"/>
        <w:numPr>
          <w:ilvl w:val="0"/>
          <w:numId w:val="2"/>
        </w:numPr>
        <w:spacing w:after="80"/>
      </w:pPr>
      <w:r>
        <w:rPr>
          <w:rFonts w:ascii="Calibri" w:cs="Calibri" w:eastAsia="Calibri" w:hAnsi="Calibri"/>
          <w:b/>
          <w:bCs/>
        </w:rPr>
        <w:t xml:space="preserve">Peak (12 Jan 2026): </w:t>
      </w:r>
      <w:r>
        <w:rPr>
          <w:rFonts w:ascii="Calibri" w:cs="Calibri" w:eastAsia="Calibri" w:hAnsi="Calibri"/>
        </w:rPr>
        <w:t xml:space="preserve">1,157 clicks — the short-lived ‘freshness bump’ from the publish.</w:t>
      </w:r>
    </w:p>
    <w:p>
      <w:pPr>
        <w:pStyle w:val="ListParagraph"/>
        <w:numPr>
          <w:ilvl w:val="0"/>
          <w:numId w:val="2"/>
        </w:numPr>
        <w:spacing w:after="80"/>
      </w:pPr>
      <w:r>
        <w:rPr>
          <w:rFonts w:ascii="Calibri" w:cs="Calibri" w:eastAsia="Calibri" w:hAnsi="Calibri"/>
          <w:b/>
          <w:bCs/>
        </w:rPr>
        <w:t xml:space="preserve">Impression surge (19 Jan 2026): </w:t>
      </w:r>
      <w:r>
        <w:rPr>
          <w:rFonts w:ascii="Calibri" w:cs="Calibri" w:eastAsia="Calibri" w:hAnsi="Calibri"/>
        </w:rPr>
        <w:t xml:space="preserve">~260,000 weekly impressions — 2–3× baseline.</w:t>
      </w:r>
    </w:p>
    <w:p>
      <w:pPr>
        <w:pStyle w:val="ListParagraph"/>
        <w:numPr>
          <w:ilvl w:val="0"/>
          <w:numId w:val="2"/>
        </w:numPr>
        <w:spacing w:after="80"/>
      </w:pPr>
      <w:r>
        <w:rPr>
          <w:rFonts w:ascii="Calibri" w:cs="Calibri" w:eastAsia="Calibri" w:hAnsi="Calibri"/>
          <w:b/>
          <w:bCs/>
        </w:rPr>
        <w:t xml:space="preserve">CTR collapse: </w:t>
      </w:r>
      <w:r>
        <w:rPr>
          <w:rFonts w:ascii="Calibri" w:cs="Calibri" w:eastAsia="Calibri" w:hAnsi="Calibri"/>
          <w:b/>
          <w:bCs/>
          <w:color w:val="B00020"/>
        </w:rPr>
        <w:t xml:space="preserve">0.37%</w:t>
      </w:r>
      <w:r>
        <w:rPr>
          <w:rFonts w:ascii="Calibri" w:cs="Calibri" w:eastAsia="Calibri" w:hAnsi="Calibri"/>
        </w:rPr>
        <w:t xml:space="preserve"> — thin templated listicles drew impressions at long-tail ‘company + city’ queries but failed to earn the click.</w:t>
      </w:r>
    </w:p>
    <w:p>
      <w:pPr>
        <w:pStyle w:val="ListParagraph"/>
        <w:numPr>
          <w:ilvl w:val="0"/>
          <w:numId w:val="2"/>
        </w:numPr>
        <w:spacing w:after="80"/>
      </w:pPr>
      <w:r>
        <w:rPr>
          <w:rFonts w:ascii="Calibri" w:cs="Calibri" w:eastAsia="Calibri" w:hAnsi="Calibri"/>
          <w:b/>
          <w:bCs/>
        </w:rPr>
        <w:t xml:space="preserve">New normal (Feb–Apr 2026): </w:t>
      </w:r>
      <w:r>
        <w:rPr>
          <w:rFonts w:ascii="Calibri" w:cs="Calibri" w:eastAsia="Calibri" w:hAnsi="Calibri"/>
        </w:rPr>
        <w:t xml:space="preserve">≈ 750 clicks/week. The penalty has stuck; the site is now in a quality-suppressed state.</w:t>
      </w:r>
    </w:p>
    <w:p>
      <w:pPr>
        <w:pStyle w:val="Heading3"/>
        <w:spacing w:after="100" w:before="180"/>
      </w:pPr>
      <w:r>
        <w:rPr>
          <w:rFonts w:ascii="Calibri" w:cs="Calibri" w:eastAsia="Calibri" w:hAnsi="Calibri"/>
        </w:rPr>
        <w:t xml:space="preserve">Why the publish backfired (one-paragraph version)</w:t>
      </w:r>
    </w:p>
    <w:p>
      <w:pPr>
        <w:spacing w:after="120" w:line="300"/>
      </w:pPr>
      <w:r>
        <w:rPr>
          <w:rFonts w:ascii="Calibri" w:cs="Calibri" w:eastAsia="Calibri" w:hAnsi="Calibri"/>
        </w:rPr>
        <w:t xml:space="preserve">Transcure’s Source Context is ‘end-to-end medical-billing services for physicians’. The January listicles — 101 URLs under </w:t>
      </w:r>
      <w:r>
        <w:rPr>
          <w:rFonts w:ascii="Consolas" w:cs="Consolas" w:eastAsia="Consolas" w:hAnsi="Consolas"/>
          <w:sz w:val="20"/>
          <w:szCs w:val="20"/>
        </w:rPr>
        <w:t xml:space="preserve">/medical-billing/companies/&lt;state&gt;/</w:t>
      </w:r>
      <w:r>
        <w:rPr>
          <w:rFonts w:ascii="Calibri" w:cs="Calibri" w:eastAsia="Calibri" w:hAnsi="Calibri"/>
        </w:rPr>
        <w:t xml:space="preserve"> and </w:t>
      </w:r>
      <w:r>
        <w:rPr>
          <w:rFonts w:ascii="Consolas" w:cs="Consolas" w:eastAsia="Consolas" w:hAnsi="Consolas"/>
          <w:sz w:val="20"/>
          <w:szCs w:val="20"/>
        </w:rPr>
        <w:t xml:space="preserve">/medical-billing/companies/&lt;state&gt;/&lt;city&gt;/</w:t>
      </w:r>
      <w:r>
        <w:rPr>
          <w:rFonts w:ascii="Calibri" w:cs="Calibri" w:eastAsia="Calibri" w:hAnsi="Calibri"/>
        </w:rPr>
        <w:t xml:space="preserve"> — breached that Source Context (Transcure IS a medical-billing company; it cannot credibly rank ‘best medical-billing companies’ listicles on its own domain), were published into an already-fragmented URL ontology (five or more parallel taxonomies per specialty and per state), contained near-identical templated content across 132 pages, shipped with no ItemList/Review/FAQ schema, no author/E-E-A-T signals, and sat orphaned from the </w:t>
      </w:r>
      <w:r>
        <w:rPr>
          <w:rFonts w:ascii="Consolas" w:cs="Consolas" w:eastAsia="Consolas" w:hAnsi="Consolas"/>
          <w:sz w:val="20"/>
          <w:szCs w:val="20"/>
        </w:rPr>
        <w:t xml:space="preserve">/medical-billing/companies/</w:t>
      </w:r>
      <w:r>
        <w:rPr>
          <w:rFonts w:ascii="Calibri" w:cs="Calibri" w:eastAsia="Calibri" w:hAnsi="Calibri"/>
        </w:rPr>
        <w:t xml:space="preserve"> hub, which still links to only ~60 of the 132 children. In Koray’s terms: one publish violated the Source Context, poisoned the Topical Borders, fragmented the Contextual Bridge, and created 132 orphan/near-duplicate nodes inside a Strongly Connected Component — exactly the profile Google’s quality classifiers were trained to demote.</w:t>
      </w:r>
    </w:p>
    <w:p>
      <w:pPr>
        <w:pStyle w:val="Heading3"/>
        <w:spacing w:after="100" w:before="180"/>
      </w:pPr>
      <w:r>
        <w:rPr>
          <w:rFonts w:ascii="Calibri" w:cs="Calibri" w:eastAsia="Calibri" w:hAnsi="Calibri"/>
        </w:rPr>
        <w:t xml:space="preserve">The five biggest issues, ranked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600"/>
        <w:gridCol w:w="2600"/>
        <w:gridCol w:w="2720"/>
      </w:tblGrid>
      <w:tr>
        <w:trPr>
          <w:tblHeader/>
        </w:trPr>
        <w:tc>
          <w:tcPr>
            <w:tcW w:type="dxa" w:w="44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w:t>
            </w:r>
          </w:p>
        </w:tc>
        <w:tc>
          <w:tcPr>
            <w:tcW w:type="dxa" w:w="36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Issue</w:t>
            </w:r>
          </w:p>
        </w:tc>
        <w:tc>
          <w:tcPr>
            <w:tcW w:type="dxa" w:w="26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Koray pillar</w:t>
            </w:r>
          </w:p>
        </w:tc>
        <w:tc>
          <w:tcPr>
            <w:tcW w:type="dxa" w:w="272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Impact</w:t>
            </w:r>
          </w:p>
        </w:tc>
      </w:tr>
      <w:tr>
        <w:tc>
          <w:tcPr>
            <w:tcW w:type="dxa" w:w="44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1</w:t>
            </w:r>
          </w:p>
        </w:tc>
        <w:tc>
          <w:tcPr>
            <w:tcW w:type="dxa" w:w="3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Source-Context breach: publishing ‘best medical-billing company’ listicles on a medical-billing company’s domain</w:t>
            </w:r>
          </w:p>
        </w:tc>
        <w:tc>
          <w:tcPr>
            <w:tcW w:type="dxa" w:w="2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Source Context / Topical Borders</w:t>
            </w:r>
          </w:p>
        </w:tc>
        <w:tc>
          <w:tcPr>
            <w:tcW w:type="dxa" w:w="272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Root cause of the CTR collapse. Users read the meta, recognise the conflict of interest, and don’t click.</w:t>
            </w:r>
          </w:p>
        </w:tc>
      </w:tr>
      <w:tr>
        <w:tc>
          <w:tcPr>
            <w:tcW w:type="dxa" w:w="44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2</w:t>
            </w:r>
          </w:p>
        </w:tc>
        <w:tc>
          <w:tcPr>
            <w:tcW w:type="dxa" w:w="3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Five-plus parallel URL taxonomies for every specialty, state and EMR (e.g. cardiology has 9 live URLs; Texas has 19; eClinicalWorks has 10)</w:t>
            </w:r>
          </w:p>
        </w:tc>
        <w:tc>
          <w:tcPr>
            <w:tcW w:type="dxa" w:w="2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URL ontology / One entity per URL</w:t>
            </w:r>
          </w:p>
        </w:tc>
        <w:tc>
          <w:tcPr>
            <w:tcW w:type="dxa" w:w="272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Splits PageRank, triggers duplicate-content demotion, prevents any single URL from accumulating Historical Data.</w:t>
            </w:r>
          </w:p>
        </w:tc>
      </w:tr>
      <w:tr>
        <w:tc>
          <w:tcPr>
            <w:tcW w:type="dxa" w:w="44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3</w:t>
            </w:r>
          </w:p>
        </w:tc>
        <w:tc>
          <w:tcPr>
            <w:tcW w:type="dxa" w:w="3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132 templated listicles with no ItemList/Review/FAQ schema, no author, no first-party research, 90%+ lexical similarity between city variants</w:t>
            </w:r>
          </w:p>
        </w:tc>
        <w:tc>
          <w:tcPr>
            <w:tcW w:type="dxa" w:w="2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Content quality / E-E-A-T</w:t>
            </w:r>
          </w:p>
        </w:tc>
        <w:tc>
          <w:tcPr>
            <w:tcW w:type="dxa" w:w="272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Thin-content penalty; listicle cluster pulling down sitewide quality score.</w:t>
            </w:r>
          </w:p>
        </w:tc>
      </w:tr>
      <w:tr>
        <w:tc>
          <w:tcPr>
            <w:tcW w:type="dxa" w:w="44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4</w:t>
            </w:r>
          </w:p>
        </w:tc>
        <w:tc>
          <w:tcPr>
            <w:tcW w:type="dxa" w:w="3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Broken internal-link graph: /medical-billing/companies/ hub links to ~60 of 132 children; /states/medical-billing-services-in-california/ (a 301) still receives 556 internal links; state parents don’t link to their city children</w:t>
            </w:r>
          </w:p>
        </w:tc>
        <w:tc>
          <w:tcPr>
            <w:tcW w:type="dxa" w:w="2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Strongly Connected Components</w:t>
            </w:r>
          </w:p>
        </w:tc>
        <w:tc>
          <w:tcPr>
            <w:tcW w:type="dxa" w:w="272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Half the January publish is effectively orphaned; PageRank is leaking to dead URLs.</w:t>
            </w:r>
          </w:p>
        </w:tc>
      </w:tr>
      <w:tr>
        <w:tc>
          <w:tcPr>
            <w:tcW w:type="dxa" w:w="44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5</w:t>
            </w:r>
          </w:p>
        </w:tc>
        <w:tc>
          <w:tcPr>
            <w:tcW w:type="dxa" w:w="3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No ItemList schema on listicles, no Review schema, no Author/Person schema anywhere, double H1 on several service pages, 434 crawl errors</w:t>
            </w:r>
          </w:p>
        </w:tc>
        <w:tc>
          <w:tcPr>
            <w:tcW w:type="dxa" w:w="2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Technical hygiene / Trust</w:t>
            </w:r>
          </w:p>
        </w:tc>
        <w:tc>
          <w:tcPr>
            <w:tcW w:type="dxa" w:w="272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Google cannot classify the listicles as listicles; no rich-result eligibility; weakens overall brand trust signals.</w:t>
            </w:r>
          </w:p>
        </w:tc>
      </w:tr>
    </w:tbl>
    <w:p>
      <w:pPr>
        <w:pStyle w:val="Heading3"/>
        <w:spacing w:after="100" w:before="180"/>
      </w:pPr>
      <w:r>
        <w:rPr>
          <w:rFonts w:ascii="Calibri" w:cs="Calibri" w:eastAsia="Calibri" w:hAnsi="Calibri"/>
        </w:rPr>
        <w:t xml:space="preserve">The fix, in one sentence</w:t>
      </w:r>
    </w:p>
    <w:p>
      <w:pPr>
        <w:spacing w:after="120" w:line="300"/>
      </w:pPr>
      <w:r>
        <w:rPr>
          <w:rFonts w:ascii="Calibri" w:cs="Calibri" w:eastAsia="Calibri" w:hAnsi="Calibri"/>
          <w:b/>
          <w:bCs/>
        </w:rPr>
        <w:t xml:space="preserve">Kill (noindex + 410) the 132 ‘best medical-billing companies’ listicles, pick one canonical URL per entity across every specialty/state/EMR family, rebuild the internal-link graph as a clean S→C→I topology, and ship ItemList/Review/Author schema before re-opening any listicle experiment.</w:t>
      </w:r>
    </w:p>
    <w:p>
      <w:r>
        <w:br w:type="page"/>
      </w:r>
    </w:p>
    <w:p>
      <w:pPr>
        <w:pStyle w:val="Heading1"/>
        <w:spacing w:after="160" w:before="320"/>
      </w:pPr>
      <w:r>
        <w:rPr>
          <w:rFonts w:ascii="Calibri" w:cs="Calibri" w:eastAsia="Calibri" w:hAnsi="Calibri"/>
        </w:rPr>
        <w:t xml:space="preserve">1 — Scope, data sources &amp; methodology</w:t>
      </w:r>
    </w:p>
    <w:p>
      <w:pPr>
        <w:pStyle w:val="Heading2"/>
        <w:spacing w:after="120" w:before="240"/>
      </w:pPr>
      <w:r>
        <w:rPr>
          <w:rFonts w:ascii="Calibri" w:cs="Calibri" w:eastAsia="Calibri" w:hAnsi="Calibri"/>
        </w:rPr>
        <w:t xml:space="preserve">1.1 What this audit covers</w:t>
      </w:r>
    </w:p>
    <w:p>
      <w:pPr>
        <w:pStyle w:val="ListParagraph"/>
        <w:numPr>
          <w:ilvl w:val="0"/>
          <w:numId w:val="2"/>
        </w:numPr>
        <w:spacing w:after="80"/>
      </w:pPr>
      <w:r>
        <w:rPr>
          <w:rFonts w:ascii="Calibri" w:cs="Calibri" w:eastAsia="Calibri" w:hAnsi="Calibri"/>
        </w:rPr>
        <w:t xml:space="preserve">Every URL in transcure.net’s XML sitemap (547 URLs total: 225 pages, 285 posts, 37 articles).</w:t>
      </w:r>
    </w:p>
    <w:p>
      <w:pPr>
        <w:pStyle w:val="ListParagraph"/>
        <w:numPr>
          <w:ilvl w:val="0"/>
          <w:numId w:val="2"/>
        </w:numPr>
        <w:spacing w:after="80"/>
      </w:pPr>
      <w:r>
        <w:rPr>
          <w:rFonts w:ascii="Calibri" w:cs="Calibri" w:eastAsia="Calibri" w:hAnsi="Calibri"/>
        </w:rPr>
        <w:t xml:space="preserve">Ahrefs Site Audit snapshot (5,044 URLs crawled; 434 errors, 956 warnings, 656 notices; health score 91).</w:t>
      </w:r>
    </w:p>
    <w:p>
      <w:pPr>
        <w:pStyle w:val="ListParagraph"/>
        <w:numPr>
          <w:ilvl w:val="0"/>
          <w:numId w:val="2"/>
        </w:numPr>
        <w:spacing w:after="80"/>
      </w:pPr>
      <w:r>
        <w:rPr>
          <w:rFonts w:ascii="Calibri" w:cs="Calibri" w:eastAsia="Calibri" w:hAnsi="Calibri"/>
        </w:rPr>
        <w:t xml:space="preserve">Ahrefs Site Explorer — organic keywords, top pages, referring domains, Pages History, Site Audit Issues.</w:t>
      </w:r>
    </w:p>
    <w:p>
      <w:pPr>
        <w:pStyle w:val="ListParagraph"/>
        <w:numPr>
          <w:ilvl w:val="0"/>
          <w:numId w:val="2"/>
        </w:numPr>
        <w:spacing w:after="80"/>
      </w:pPr>
      <w:r>
        <w:rPr>
          <w:rFonts w:ascii="Calibri" w:cs="Calibri" w:eastAsia="Calibri" w:hAnsi="Calibri"/>
        </w:rPr>
        <w:t xml:space="preserve">Google Search Console — performance history Oct 2025 – Apr 2026 (daily clicks, impressions, CTR, average position).</w:t>
      </w:r>
    </w:p>
    <w:p>
      <w:pPr>
        <w:pStyle w:val="ListParagraph"/>
        <w:numPr>
          <w:ilvl w:val="0"/>
          <w:numId w:val="2"/>
        </w:numPr>
        <w:spacing w:after="80"/>
      </w:pPr>
      <w:r>
        <w:rPr>
          <w:rFonts w:ascii="Calibri" w:cs="Calibri" w:eastAsia="Calibri" w:hAnsi="Calibri"/>
        </w:rPr>
        <w:t xml:space="preserve">First-party content inspection of 12+ representative URLs across all page-type templates.</w:t>
      </w:r>
    </w:p>
    <w:p>
      <w:pPr>
        <w:pStyle w:val="ListParagraph"/>
        <w:numPr>
          <w:ilvl w:val="0"/>
          <w:numId w:val="2"/>
        </w:numPr>
        <w:spacing w:after="80"/>
      </w:pPr>
      <w:r>
        <w:rPr>
          <w:rFonts w:ascii="Calibri" w:cs="Calibri" w:eastAsia="Calibri" w:hAnsi="Calibri"/>
        </w:rPr>
        <w:t xml:space="preserve">The Koray Tuğberk Gübür topical-authority framework (Source Context, Topical Borders, Contextual Bridge, Strongly Connected Components, Sandbox Escape, Historical Data, one-entity-per-URL).</w:t>
      </w:r>
    </w:p>
    <w:p>
      <w:pPr>
        <w:pStyle w:val="Heading2"/>
        <w:spacing w:after="120" w:before="240"/>
      </w:pPr>
      <w:r>
        <w:rPr>
          <w:rFonts w:ascii="Calibri" w:cs="Calibri" w:eastAsia="Calibri" w:hAnsi="Calibri"/>
        </w:rPr>
        <w:t xml:space="preserve">1.2 The topical-map fundamentals we are auditing against</w:t>
      </w:r>
    </w:p>
    <w:p>
      <w:pPr>
        <w:spacing w:after="120" w:line="300"/>
      </w:pPr>
      <w:r>
        <w:rPr>
          <w:rFonts w:ascii="Calibri" w:cs="Calibri" w:eastAsia="Calibri" w:hAnsi="Calibri"/>
          <w:i/>
          <w:iCs/>
        </w:rPr>
        <w:t xml:space="preserve">Provided by the Transcure team at the start of the engagement. These are the fundamentals the entire site should be aligned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Fundamental</w:t>
            </w:r>
          </w:p>
        </w:tc>
        <w:tc>
          <w:tcPr>
            <w:tcW w:type="dxa" w:w="676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Current definition</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Source Context</w:t>
            </w:r>
          </w:p>
        </w:tc>
        <w:tc>
          <w:tcPr>
            <w:tcW w:type="dxa" w:w="6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Selling end-to-end Medical Billing services.</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Central Entity</w:t>
            </w:r>
          </w:p>
        </w:tc>
        <w:tc>
          <w:tcPr>
            <w:tcW w:type="dxa" w:w="6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Medical Billing.</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Central Search Intent</w:t>
            </w:r>
          </w:p>
        </w:tc>
        <w:tc>
          <w:tcPr>
            <w:tcW w:type="dxa" w:w="6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Know solutions to issues in medical billing, best practices, best billing company for a specific software or specialty, and hire us.</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Core Section</w:t>
            </w:r>
          </w:p>
        </w:tc>
        <w:tc>
          <w:tcPr>
            <w:tcW w:type="dxa" w:w="6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Medical Billing Services → Benefits, States, Counties, Service Pages, Specialties, Software-specific billing.</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Outer Section</w:t>
            </w:r>
          </w:p>
        </w:tc>
        <w:tc>
          <w:tcPr>
            <w:tcW w:type="dxa" w:w="6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Medical Billing Guide → Issues, Processes, Types, How-tos, Codes, Modifiers, Listicles.</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Target Audience</w:t>
            </w:r>
          </w:p>
        </w:tc>
        <w:tc>
          <w:tcPr>
            <w:tcW w:type="dxa" w:w="6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Physicians in each US state, different specialties, surgery centers.</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Priority Specialties</w:t>
            </w:r>
          </w:p>
        </w:tc>
        <w:tc>
          <w:tcPr>
            <w:tcW w:type="dxa" w:w="6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Pain Management, Orthopedics, Surgery Centers, Imaging/Radiology, Oncology, Gastro, ASC, Podiatry, Dental, Pediatrics, Cardiology, OB/GYN.</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Priority States</w:t>
            </w:r>
          </w:p>
        </w:tc>
        <w:tc>
          <w:tcPr>
            <w:tcW w:type="dxa" w:w="6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CA, NY, FL, NJ, TX, MA, PA, DE, CO, AL, MN, TN, VA, MD, GA, AZ, MI.</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Priority Software (EMR/PM)</w:t>
            </w:r>
          </w:p>
        </w:tc>
        <w:tc>
          <w:tcPr>
            <w:tcW w:type="dxa" w:w="6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eClinicalWorks, Athena, Kareo, NextGen, ICANotes, OfficeAlly, AdvancedMD, PracticeFusion, Allscripts, Cerner.</w:t>
            </w:r>
          </w:p>
        </w:tc>
      </w:tr>
    </w:tbl>
    <w:p>
      <w:pPr>
        <w:pStyle w:val="Heading2"/>
        <w:spacing w:after="120" w:before="240"/>
      </w:pPr>
      <w:r>
        <w:rPr>
          <w:rFonts w:ascii="Calibri" w:cs="Calibri" w:eastAsia="Calibri" w:hAnsi="Calibri"/>
        </w:rPr>
        <w:t xml:space="preserve">1.3 A note on data provenance</w:t>
      </w:r>
    </w:p>
    <w:p>
      <w:pPr>
        <w:spacing w:after="120" w:line="300"/>
      </w:pPr>
      <w:r>
        <w:rPr>
          <w:rFonts w:ascii="Calibri" w:cs="Calibri" w:eastAsia="Calibri" w:hAnsi="Calibri"/>
        </w:rPr>
        <w:t xml:space="preserve">Every number in this report is traceable to a tool call. Where a data source is partial (the GSC connector intermittently returns empty payloads for project 5726513), it is flagged inline. The Ahrefs Pages History, Site Audit and Site Explorer data are complete; the GSC trajectory is reconstructed from every day that did return a payload.</w:t>
      </w:r>
    </w:p>
    <w:p>
      <w:r>
        <w:br w:type="page"/>
      </w:r>
    </w:p>
    <w:p>
      <w:pPr>
        <w:pStyle w:val="Heading1"/>
        <w:spacing w:after="160" w:before="320"/>
      </w:pPr>
      <w:r>
        <w:rPr>
          <w:rFonts w:ascii="Calibri" w:cs="Calibri" w:eastAsia="Calibri" w:hAnsi="Calibri"/>
        </w:rPr>
        <w:t xml:space="preserve">2 — The January 2026 incident</w:t>
      </w:r>
    </w:p>
    <w:p>
      <w:pPr>
        <w:pStyle w:val="Heading2"/>
        <w:spacing w:after="120" w:before="240"/>
      </w:pPr>
      <w:r>
        <w:rPr>
          <w:rFonts w:ascii="Calibri" w:cs="Calibri" w:eastAsia="Calibri" w:hAnsi="Calibri"/>
        </w:rPr>
        <w:t xml:space="preserve">2.1 What was actually published</w:t>
      </w:r>
    </w:p>
    <w:p>
      <w:pPr>
        <w:pStyle w:val="ListParagraph"/>
        <w:numPr>
          <w:ilvl w:val="0"/>
          <w:numId w:val="2"/>
        </w:numPr>
        <w:spacing w:after="80"/>
      </w:pPr>
      <w:r>
        <w:rPr>
          <w:rFonts w:ascii="Calibri" w:cs="Calibri" w:eastAsia="Calibri" w:hAnsi="Calibri"/>
          <w:b/>
          <w:bCs/>
        </w:rPr>
        <w:t xml:space="preserve">101 URLs</w:t>
      </w:r>
      <w:r>
        <w:rPr>
          <w:rFonts w:ascii="Calibri" w:cs="Calibri" w:eastAsia="Calibri" w:hAnsi="Calibri"/>
        </w:rPr>
        <w:t xml:space="preserve"> under </w:t>
      </w:r>
      <w:r>
        <w:rPr>
          <w:rFonts w:ascii="Consolas" w:cs="Consolas" w:eastAsia="Consolas" w:hAnsi="Consolas"/>
          <w:sz w:val="20"/>
          <w:szCs w:val="20"/>
        </w:rPr>
        <w:t xml:space="preserve">/medical-billing/companies/&lt;state&gt;/</w:t>
      </w:r>
      <w:r>
        <w:rPr>
          <w:rFonts w:ascii="Calibri" w:cs="Calibri" w:eastAsia="Calibri" w:hAnsi="Calibri"/>
        </w:rPr>
        <w:t xml:space="preserve"> and </w:t>
      </w:r>
      <w:r>
        <w:rPr>
          <w:rFonts w:ascii="Consolas" w:cs="Consolas" w:eastAsia="Consolas" w:hAnsi="Consolas"/>
          <w:sz w:val="20"/>
          <w:szCs w:val="20"/>
        </w:rPr>
        <w:t xml:space="preserve">/medical-billing/companies/&lt;state&gt;/&lt;city&gt;/</w:t>
      </w:r>
      <w:r>
        <w:rPr>
          <w:rFonts w:ascii="Calibri" w:cs="Calibri" w:eastAsia="Calibri" w:hAnsi="Calibri"/>
        </w:rPr>
        <w:t xml:space="preserve"> between 10 Jan and 28 Jan 2026.</w:t>
      </w:r>
    </w:p>
    <w:p>
      <w:pPr>
        <w:pStyle w:val="ListParagraph"/>
        <w:numPr>
          <w:ilvl w:val="0"/>
          <w:numId w:val="2"/>
        </w:numPr>
        <w:spacing w:after="80"/>
      </w:pPr>
      <w:r>
        <w:rPr>
          <w:rFonts w:ascii="Calibri" w:cs="Calibri" w:eastAsia="Calibri" w:hAnsi="Calibri"/>
          <w:b/>
          <w:bCs/>
        </w:rPr>
        <w:t xml:space="preserve">+ 11 URLs</w:t>
      </w:r>
      <w:r>
        <w:rPr>
          <w:rFonts w:ascii="Calibri" w:cs="Calibri" w:eastAsia="Calibri" w:hAnsi="Calibri"/>
        </w:rPr>
        <w:t xml:space="preserve"> under the older </w:t>
      </w:r>
      <w:r>
        <w:rPr>
          <w:rFonts w:ascii="Consolas" w:cs="Consolas" w:eastAsia="Consolas" w:hAnsi="Consolas"/>
          <w:sz w:val="20"/>
          <w:szCs w:val="20"/>
        </w:rPr>
        <w:t xml:space="preserve">/article/medical-billing-companies-&lt;location&gt;/</w:t>
      </w:r>
      <w:r>
        <w:rPr>
          <w:rFonts w:ascii="Calibri" w:cs="Calibri" w:eastAsia="Calibri" w:hAnsi="Calibri"/>
        </w:rPr>
        <w:t xml:space="preserve"> cluster in the same window — adding to an already-existing 21 URLs in that cluster.</w:t>
      </w:r>
    </w:p>
    <w:p>
      <w:pPr>
        <w:pStyle w:val="ListParagraph"/>
        <w:numPr>
          <w:ilvl w:val="0"/>
          <w:numId w:val="2"/>
        </w:numPr>
        <w:spacing w:after="80"/>
      </w:pPr>
      <w:r>
        <w:rPr>
          <w:rFonts w:ascii="Calibri" w:cs="Calibri" w:eastAsia="Calibri" w:hAnsi="Calibri"/>
          <w:b/>
          <w:bCs/>
        </w:rPr>
        <w:t xml:space="preserve">132 total</w:t>
      </w:r>
      <w:r>
        <w:rPr>
          <w:rFonts w:ascii="Calibri" w:cs="Calibri" w:eastAsia="Calibri" w:hAnsi="Calibri"/>
        </w:rPr>
        <w:t xml:space="preserve"> ‘best medical-billing companies in &lt;location&gt;’ listicles now live across two parallel URL families.</w:t>
      </w:r>
    </w:p>
    <w:p>
      <w:pPr>
        <w:pStyle w:val="ListParagraph"/>
        <w:numPr>
          <w:ilvl w:val="0"/>
          <w:numId w:val="2"/>
        </w:numPr>
        <w:spacing w:after="80"/>
      </w:pPr>
      <w:r>
        <w:rPr>
          <w:rFonts w:ascii="Calibri" w:cs="Calibri" w:eastAsia="Calibri" w:hAnsi="Calibri"/>
          <w:b/>
          <w:bCs/>
        </w:rPr>
        <w:t xml:space="preserve">Template similarity: </w:t>
      </w:r>
      <w:r>
        <w:rPr>
          <w:rFonts w:ascii="Calibri" w:cs="Calibri" w:eastAsia="Calibri" w:hAnsi="Calibri"/>
        </w:rPr>
        <w:t xml:space="preserve">the city variants of the same state are &gt; 90% lexically similar (same ten companies, same paragraphs, city name swapped in intro and FAQ).</w:t>
      </w:r>
    </w:p>
    <w:p>
      <w:pPr>
        <w:pStyle w:val="Heading2"/>
        <w:spacing w:after="120" w:before="240"/>
      </w:pPr>
      <w:r>
        <w:rPr>
          <w:rFonts w:ascii="Calibri" w:cs="Calibri" w:eastAsia="Calibri" w:hAnsi="Calibri"/>
        </w:rPr>
        <w:t xml:space="preserve">2.2 The performance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300"/>
        <w:gridCol w:w="1200"/>
        <w:gridCol w:w="1200"/>
        <w:gridCol w:w="2360"/>
      </w:tblGrid>
      <w:tr>
        <w:trPr>
          <w:tblHeader/>
        </w:trPr>
        <w:tc>
          <w:tcPr>
            <w:tcW w:type="dxa" w:w="19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Window</w:t>
            </w:r>
          </w:p>
        </w:tc>
        <w:tc>
          <w:tcPr>
            <w:tcW w:type="dxa" w:w="14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Clicks / wk</w:t>
            </w:r>
          </w:p>
        </w:tc>
        <w:tc>
          <w:tcPr>
            <w:tcW w:type="dxa" w:w="13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Impr / wk</w:t>
            </w:r>
          </w:p>
        </w:tc>
        <w:tc>
          <w:tcPr>
            <w:tcW w:type="dxa" w:w="12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CTR</w:t>
            </w:r>
          </w:p>
        </w:tc>
        <w:tc>
          <w:tcPr>
            <w:tcW w:type="dxa" w:w="12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Avg pos</w:t>
            </w:r>
          </w:p>
        </w:tc>
        <w:tc>
          <w:tcPr>
            <w:tcW w:type="dxa" w:w="236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State</w:t>
            </w:r>
          </w:p>
        </w:tc>
      </w:tr>
      <w:tr>
        <w:tc>
          <w:tcPr>
            <w:tcW w:type="dxa" w:w="19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Oct – Nov 2025 (baseline)</w:t>
            </w:r>
          </w:p>
        </w:tc>
        <w:tc>
          <w:tcPr>
            <w:tcW w:type="dxa" w:w="1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1,000 – 1,178</w:t>
            </w:r>
          </w:p>
        </w:tc>
        <w:tc>
          <w:tcPr>
            <w:tcW w:type="dxa" w:w="13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~90 – 110 K</w:t>
            </w:r>
          </w:p>
        </w:tc>
        <w:tc>
          <w:tcPr>
            <w:tcW w:type="dxa" w:w="12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 1.00 %</w:t>
            </w:r>
          </w:p>
        </w:tc>
        <w:tc>
          <w:tcPr>
            <w:tcW w:type="dxa" w:w="12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10 – 12</w:t>
            </w:r>
          </w:p>
        </w:tc>
        <w:tc>
          <w:tcPr>
            <w:tcW w:type="dxa" w:w="2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Healthy, pre-publish.</w:t>
            </w:r>
          </w:p>
        </w:tc>
      </w:tr>
      <w:tr>
        <w:tc>
          <w:tcPr>
            <w:tcW w:type="dxa" w:w="19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Dec 2025 (drift)</w:t>
            </w:r>
          </w:p>
        </w:tc>
        <w:tc>
          <w:tcPr>
            <w:tcW w:type="dxa" w:w="1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900 – 1,050</w:t>
            </w:r>
          </w:p>
        </w:tc>
        <w:tc>
          <w:tcPr>
            <w:tcW w:type="dxa" w:w="13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~95 – 115 K</w:t>
            </w:r>
          </w:p>
        </w:tc>
        <w:tc>
          <w:tcPr>
            <w:tcW w:type="dxa" w:w="12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 0.85 %</w:t>
            </w:r>
          </w:p>
        </w:tc>
        <w:tc>
          <w:tcPr>
            <w:tcW w:type="dxa" w:w="12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11 – 13</w:t>
            </w:r>
          </w:p>
        </w:tc>
        <w:tc>
          <w:tcPr>
            <w:tcW w:type="dxa" w:w="2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Early quality drift.</w:t>
            </w:r>
          </w:p>
        </w:tc>
      </w:tr>
      <w:tr>
        <w:tc>
          <w:tcPr>
            <w:tcW w:type="dxa" w:w="19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12 Jan 2026 (peak)</w:t>
            </w:r>
          </w:p>
        </w:tc>
        <w:tc>
          <w:tcPr>
            <w:tcW w:type="dxa" w:w="1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1,157 (single week)</w:t>
            </w:r>
          </w:p>
        </w:tc>
        <w:tc>
          <w:tcPr>
            <w:tcW w:type="dxa" w:w="13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~120 K</w:t>
            </w:r>
          </w:p>
        </w:tc>
        <w:tc>
          <w:tcPr>
            <w:tcW w:type="dxa" w:w="12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 0.96 %</w:t>
            </w:r>
          </w:p>
        </w:tc>
        <w:tc>
          <w:tcPr>
            <w:tcW w:type="dxa" w:w="12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10</w:t>
            </w:r>
          </w:p>
        </w:tc>
        <w:tc>
          <w:tcPr>
            <w:tcW w:type="dxa" w:w="2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Freshness bump on new URLs.</w:t>
            </w:r>
          </w:p>
        </w:tc>
      </w:tr>
      <w:tr>
        <w:tc>
          <w:tcPr>
            <w:tcW w:type="dxa" w:w="19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19 Jan 2026 (impression surge)</w:t>
            </w:r>
          </w:p>
        </w:tc>
        <w:tc>
          <w:tcPr>
            <w:tcW w:type="dxa" w:w="1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 960</w:t>
            </w:r>
          </w:p>
        </w:tc>
        <w:tc>
          <w:tcPr>
            <w:tcW w:type="dxa" w:w="13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b/>
                <w:bCs/>
                <w:color w:val="B00020"/>
              </w:rPr>
              <w:t xml:space="preserve">≈ 260 K</w:t>
            </w:r>
          </w:p>
        </w:tc>
        <w:tc>
          <w:tcPr>
            <w:tcW w:type="dxa" w:w="12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b/>
                <w:bCs/>
                <w:color w:val="B00020"/>
              </w:rPr>
              <w:t xml:space="preserve">0.37 %</w:t>
            </w:r>
          </w:p>
        </w:tc>
        <w:tc>
          <w:tcPr>
            <w:tcW w:type="dxa" w:w="12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14 – 16</w:t>
            </w:r>
          </w:p>
        </w:tc>
        <w:tc>
          <w:tcPr>
            <w:tcW w:type="dxa" w:w="2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Listicles earn impressions on long-tail ‘companies in &lt;city&gt;’ queries but do not earn clicks — the CTR collapse begins.</w:t>
            </w:r>
          </w:p>
        </w:tc>
      </w:tr>
      <w:tr>
        <w:tc>
          <w:tcPr>
            <w:tcW w:type="dxa" w:w="19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Feb 2026</w:t>
            </w:r>
          </w:p>
        </w:tc>
        <w:tc>
          <w:tcPr>
            <w:tcW w:type="dxa" w:w="1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b/>
                <w:bCs/>
                <w:color w:val="B00020"/>
              </w:rPr>
              <w:t xml:space="preserve">≈ 780</w:t>
            </w:r>
          </w:p>
        </w:tc>
        <w:tc>
          <w:tcPr>
            <w:tcW w:type="dxa" w:w="13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~140 K</w:t>
            </w:r>
          </w:p>
        </w:tc>
        <w:tc>
          <w:tcPr>
            <w:tcW w:type="dxa" w:w="12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 0.56 %</w:t>
            </w:r>
          </w:p>
        </w:tc>
        <w:tc>
          <w:tcPr>
            <w:tcW w:type="dxa" w:w="12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15 – 18</w:t>
            </w:r>
          </w:p>
        </w:tc>
        <w:tc>
          <w:tcPr>
            <w:tcW w:type="dxa" w:w="2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Algorithmic demotion settling in.</w:t>
            </w:r>
          </w:p>
        </w:tc>
      </w:tr>
      <w:tr>
        <w:tc>
          <w:tcPr>
            <w:tcW w:type="dxa" w:w="19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Mar 2026</w:t>
            </w:r>
          </w:p>
        </w:tc>
        <w:tc>
          <w:tcPr>
            <w:tcW w:type="dxa" w:w="1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b/>
                <w:bCs/>
                <w:color w:val="B00020"/>
              </w:rPr>
              <w:t xml:space="preserve">≈ 760</w:t>
            </w:r>
          </w:p>
        </w:tc>
        <w:tc>
          <w:tcPr>
            <w:tcW w:type="dxa" w:w="13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~135 K</w:t>
            </w:r>
          </w:p>
        </w:tc>
        <w:tc>
          <w:tcPr>
            <w:tcW w:type="dxa" w:w="12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 0.56 %</w:t>
            </w:r>
          </w:p>
        </w:tc>
        <w:tc>
          <w:tcPr>
            <w:tcW w:type="dxa" w:w="12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15 – 18</w:t>
            </w:r>
          </w:p>
        </w:tc>
        <w:tc>
          <w:tcPr>
            <w:tcW w:type="dxa" w:w="2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New normal.</w:t>
            </w:r>
          </w:p>
        </w:tc>
      </w:tr>
      <w:tr>
        <w:tc>
          <w:tcPr>
            <w:tcW w:type="dxa" w:w="19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Apr 2026 (current)</w:t>
            </w:r>
          </w:p>
        </w:tc>
        <w:tc>
          <w:tcPr>
            <w:tcW w:type="dxa" w:w="1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b/>
                <w:bCs/>
                <w:color w:val="B00020"/>
              </w:rPr>
              <w:t xml:space="preserve">≈ 750</w:t>
            </w:r>
          </w:p>
        </w:tc>
        <w:tc>
          <w:tcPr>
            <w:tcW w:type="dxa" w:w="13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~130 K</w:t>
            </w:r>
          </w:p>
        </w:tc>
        <w:tc>
          <w:tcPr>
            <w:tcW w:type="dxa" w:w="12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 0.58 %</w:t>
            </w:r>
          </w:p>
        </w:tc>
        <w:tc>
          <w:tcPr>
            <w:tcW w:type="dxa" w:w="12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15 – 17</w:t>
            </w:r>
          </w:p>
        </w:tc>
        <w:tc>
          <w:tcPr>
            <w:tcW w:type="dxa" w:w="2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b/>
                <w:bCs/>
                <w:color w:val="B00020"/>
              </w:rPr>
              <w:t xml:space="preserve">≈ 35% below pre-publish baseline</w:t>
            </w:r>
          </w:p>
        </w:tc>
      </w:tr>
    </w:tbl>
    <w:p>
      <w:pPr>
        <w:pStyle w:val="Heading2"/>
        <w:spacing w:after="120" w:before="240"/>
      </w:pPr>
      <w:r>
        <w:rPr>
          <w:rFonts w:ascii="Calibri" w:cs="Calibri" w:eastAsia="Calibri" w:hAnsi="Calibri"/>
        </w:rPr>
        <w:t xml:space="preserve">2.3 What the Ahrefs data confirms</w:t>
      </w:r>
    </w:p>
    <w:p>
      <w:pPr>
        <w:pStyle w:val="ListParagraph"/>
        <w:numPr>
          <w:ilvl w:val="0"/>
          <w:numId w:val="2"/>
        </w:numPr>
        <w:spacing w:after="80"/>
      </w:pPr>
      <w:r>
        <w:rPr>
          <w:rFonts w:ascii="Calibri" w:cs="Calibri" w:eastAsia="Calibri" w:hAnsi="Calibri"/>
          <w:b/>
          <w:bCs/>
        </w:rPr>
        <w:t xml:space="preserve">13 pages dropped out of the Top 10</w:t>
      </w:r>
      <w:r>
        <w:rPr>
          <w:rFonts w:ascii="Calibri" w:cs="Calibri" w:eastAsia="Calibri" w:hAnsi="Calibri"/>
        </w:rPr>
        <w:t xml:space="preserve"> in the most recent Pages-History delta.</w:t>
      </w:r>
    </w:p>
    <w:p>
      <w:pPr>
        <w:pStyle w:val="ListParagraph"/>
        <w:numPr>
          <w:ilvl w:val="0"/>
          <w:numId w:val="2"/>
        </w:numPr>
        <w:spacing w:after="80"/>
      </w:pPr>
      <w:r>
        <w:rPr>
          <w:rFonts w:ascii="Calibri" w:cs="Calibri" w:eastAsia="Calibri" w:hAnsi="Calibri"/>
          <w:b/>
          <w:bCs/>
        </w:rPr>
        <w:t xml:space="preserve">28 pages lost organic traffic</w:t>
      </w:r>
      <w:r>
        <w:rPr>
          <w:rFonts w:ascii="Calibri" w:cs="Calibri" w:eastAsia="Calibri" w:hAnsi="Calibri"/>
        </w:rPr>
        <w:t xml:space="preserve"> in the same window.</w:t>
      </w:r>
    </w:p>
    <w:p>
      <w:pPr>
        <w:pStyle w:val="ListParagraph"/>
        <w:numPr>
          <w:ilvl w:val="0"/>
          <w:numId w:val="2"/>
        </w:numPr>
        <w:spacing w:after="80"/>
      </w:pPr>
      <w:r>
        <w:rPr>
          <w:rFonts w:ascii="Calibri" w:cs="Calibri" w:eastAsia="Calibri" w:hAnsi="Calibri"/>
          <w:b/>
          <w:bCs/>
        </w:rPr>
        <w:t xml:space="preserve">13 pages lost referring domains</w:t>
      </w:r>
      <w:r>
        <w:rPr>
          <w:rFonts w:ascii="Calibri" w:cs="Calibri" w:eastAsia="Calibri" w:hAnsi="Calibri"/>
        </w:rPr>
        <w:t xml:space="preserve"> — the same cluster losing search signal is also bleeding link signal.</w:t>
      </w:r>
    </w:p>
    <w:p>
      <w:pPr>
        <w:pStyle w:val="ListParagraph"/>
        <w:numPr>
          <w:ilvl w:val="0"/>
          <w:numId w:val="2"/>
        </w:numPr>
        <w:spacing w:after="80"/>
      </w:pPr>
      <w:r>
        <w:rPr>
          <w:rFonts w:ascii="Calibri" w:cs="Calibri" w:eastAsia="Calibri" w:hAnsi="Calibri"/>
        </w:rPr>
        <w:t xml:space="preserve">Site Audit health score has softened from ~94 (pre-publish) to </w:t>
      </w:r>
      <w:r>
        <w:rPr>
          <w:rFonts w:ascii="Calibri" w:cs="Calibri" w:eastAsia="Calibri" w:hAnsi="Calibri"/>
          <w:b/>
          <w:bCs/>
        </w:rPr>
        <w:t xml:space="preserve">91</w:t>
      </w:r>
      <w:r>
        <w:rPr>
          <w:rFonts w:ascii="Calibri" w:cs="Calibri" w:eastAsia="Calibri" w:hAnsi="Calibri"/>
        </w:rPr>
        <w:t xml:space="preserve"> — driven primarily by the 434 errors and 956 warnings concentrated in the /medical-billing/companies/ tree.</w:t>
      </w:r>
    </w:p>
    <w:p>
      <w:pPr>
        <w:pStyle w:val="Heading2"/>
        <w:spacing w:after="120" w:before="240"/>
      </w:pPr>
      <w:r>
        <w:rPr>
          <w:rFonts w:ascii="Calibri" w:cs="Calibri" w:eastAsia="Calibri" w:hAnsi="Calibri"/>
        </w:rPr>
        <w:t xml:space="preserve">2.4 How this maps to Koray’s framework</w:t>
      </w:r>
    </w:p>
    <w:p>
      <w:pPr>
        <w:spacing w:after="120" w:line="300"/>
      </w:pPr>
      <w:r>
        <w:rPr>
          <w:rFonts w:ascii="Calibri" w:cs="Calibri" w:eastAsia="Calibri" w:hAnsi="Calibri"/>
        </w:rPr>
        <w:t xml:space="preserve">Koray’s model has two ranking phases: Initial Ranking (freshness + relevance) and Re-ranking (quality, Historical Data, user signals). You saw both. The 12-Jan click peak is the Initial Ranking phase — Google gave the new URLs a freshness budget and sampled user behaviour. The 19-Jan impression surge with 0.37% CTR is where Google watched users refuse to click, recorded it as a negative Historical Data event, and entered the Re-ranking phase against the whole </w:t>
      </w:r>
      <w:r>
        <w:rPr>
          <w:rFonts w:ascii="Consolas" w:cs="Consolas" w:eastAsia="Consolas" w:hAnsi="Consolas"/>
          <w:sz w:val="20"/>
          <w:szCs w:val="20"/>
        </w:rPr>
        <w:t xml:space="preserve">/medical-billing/companies/</w:t>
      </w:r>
      <w:r>
        <w:rPr>
          <w:rFonts w:ascii="Calibri" w:cs="Calibri" w:eastAsia="Calibri" w:hAnsi="Calibri"/>
        </w:rPr>
        <w:t xml:space="preserve"> cluster. Because the cluster is a Strongly Connected Component with the rest of the site (same header, same internal links, same domain), the demotion spread to sibling URLs that were never part of the publish. That is why the baseline did not recover after the Jan spike faded: the demotion is sitewide, not listicle-local.</w:t>
      </w:r>
    </w:p>
    <w:p>
      <w:r>
        <w:br w:type="page"/>
      </w:r>
    </w:p>
    <w:p>
      <w:pPr>
        <w:pStyle w:val="Heading1"/>
        <w:spacing w:after="160" w:before="320"/>
      </w:pPr>
      <w:r>
        <w:rPr>
          <w:rFonts w:ascii="Calibri" w:cs="Calibri" w:eastAsia="Calibri" w:hAnsi="Calibri"/>
        </w:rPr>
        <w:t xml:space="preserve">3 — Koray pillar 1 — Source Context integrity</w:t>
      </w:r>
    </w:p>
    <w:p>
      <w:pPr>
        <w:pStyle w:val="Heading2"/>
        <w:spacing w:after="120" w:before="240"/>
      </w:pPr>
      <w:r>
        <w:rPr>
          <w:rFonts w:ascii="Calibri" w:cs="Calibri" w:eastAsia="Calibri" w:hAnsi="Calibri"/>
        </w:rPr>
        <w:t xml:space="preserve">3.1 The breach, in plain English</w:t>
      </w:r>
    </w:p>
    <w:p>
      <w:pPr>
        <w:spacing w:after="120" w:line="300"/>
      </w:pPr>
      <w:r>
        <w:rPr>
          <w:rFonts w:ascii="Calibri" w:cs="Calibri" w:eastAsia="Calibri" w:hAnsi="Calibri"/>
        </w:rPr>
        <w:t xml:space="preserve">Transcure’s declared Source Context is </w:t>
      </w:r>
      <w:r>
        <w:rPr>
          <w:rFonts w:ascii="Calibri" w:cs="Calibri" w:eastAsia="Calibri" w:hAnsi="Calibri"/>
          <w:b/>
          <w:bCs/>
        </w:rPr>
        <w:t xml:space="preserve">‘selling end-to-end Medical Billing services’</w:t>
      </w:r>
      <w:r>
        <w:rPr>
          <w:rFonts w:ascii="Calibri" w:cs="Calibri" w:eastAsia="Calibri" w:hAnsi="Calibri"/>
        </w:rPr>
        <w:t xml:space="preserve">. A medical-billing company cannot credibly publish a ‘best medical-billing companies in &lt;city&gt;’ listicle — it is the subject of the listicle, not a neutral reviewer. Every one of the 132 listicles violates the ‘who is qualified to write this’ test that Google’s reviewer-intent detection has been tuned for since the 2022 Product Reviews update.</w:t>
      </w:r>
    </w:p>
    <w:p>
      <w:pPr>
        <w:pStyle w:val="Heading2"/>
        <w:spacing w:after="120" w:before="240"/>
      </w:pPr>
      <w:r>
        <w:rPr>
          <w:rFonts w:ascii="Calibri" w:cs="Calibri" w:eastAsia="Calibri" w:hAnsi="Calibri"/>
        </w:rPr>
        <w:t xml:space="preserve">3.2 Where this shows up in the data</w:t>
      </w:r>
    </w:p>
    <w:p>
      <w:pPr>
        <w:pStyle w:val="ListParagraph"/>
        <w:numPr>
          <w:ilvl w:val="0"/>
          <w:numId w:val="2"/>
        </w:numPr>
        <w:spacing w:after="80"/>
      </w:pPr>
      <w:r>
        <w:rPr>
          <w:rFonts w:ascii="Calibri" w:cs="Calibri" w:eastAsia="Calibri" w:hAnsi="Calibri"/>
          <w:b/>
          <w:bCs/>
        </w:rPr>
        <w:t xml:space="preserve">CTR collapse: </w:t>
      </w:r>
      <w:r>
        <w:rPr>
          <w:rFonts w:ascii="Calibri" w:cs="Calibri" w:eastAsia="Calibri" w:hAnsi="Calibri"/>
        </w:rPr>
        <w:t xml:space="preserve">0.37% on 19 Jan is the tell. Meta titles are being shown, users are reading them, and they are declining to click — they can see from the SERP that Transcure is on the list being reviewed.</w:t>
      </w:r>
    </w:p>
    <w:p>
      <w:pPr>
        <w:pStyle w:val="ListParagraph"/>
        <w:numPr>
          <w:ilvl w:val="0"/>
          <w:numId w:val="2"/>
        </w:numPr>
        <w:spacing w:after="80"/>
      </w:pPr>
      <w:r>
        <w:rPr>
          <w:rFonts w:ascii="Calibri" w:cs="Calibri" w:eastAsia="Calibri" w:hAnsi="Calibri"/>
          <w:b/>
          <w:bCs/>
        </w:rPr>
        <w:t xml:space="preserve">Dwell-time proxy: </w:t>
      </w:r>
      <w:r>
        <w:rPr>
          <w:rFonts w:ascii="Calibri" w:cs="Calibri" w:eastAsia="Calibri" w:hAnsi="Calibri"/>
        </w:rPr>
        <w:t xml:space="preserve">Ahrefs’ top-pages organic-position data shows listicle URLs drop in position within 2–4 weeks of Initial Ranking — classic Re-ranking behaviour.</w:t>
      </w:r>
    </w:p>
    <w:p>
      <w:pPr>
        <w:pStyle w:val="ListParagraph"/>
        <w:numPr>
          <w:ilvl w:val="0"/>
          <w:numId w:val="2"/>
        </w:numPr>
        <w:spacing w:after="80"/>
      </w:pPr>
      <w:r>
        <w:rPr>
          <w:rFonts w:ascii="Calibri" w:cs="Calibri" w:eastAsia="Calibri" w:hAnsi="Calibri"/>
          <w:b/>
          <w:bCs/>
        </w:rPr>
        <w:t xml:space="preserve">Spillover: </w:t>
      </w:r>
      <w:r>
        <w:rPr>
          <w:rFonts w:ascii="Calibri" w:cs="Calibri" w:eastAsia="Calibri" w:hAnsi="Calibri"/>
        </w:rPr>
        <w:t xml:space="preserve">Service pages (the Core Section) also lost position — the listicle cluster contaminated the Source Context for the domain overall.</w:t>
      </w:r>
    </w:p>
    <w:p>
      <w:pPr>
        <w:pStyle w:val="Heading2"/>
        <w:spacing w:after="120" w:before="240"/>
      </w:pPr>
      <w:r>
        <w:rPr>
          <w:rFonts w:ascii="Calibri" w:cs="Calibri" w:eastAsia="Calibri" w:hAnsi="Calibri"/>
        </w:rPr>
        <w:t xml:space="preserve">3.3 The Koray-framework justification</w:t>
      </w:r>
    </w:p>
    <w:p>
      <w:pPr>
        <w:spacing w:after="120" w:line="300"/>
      </w:pPr>
      <w:r>
        <w:rPr>
          <w:rFonts w:ascii="Calibri" w:cs="Calibri" w:eastAsia="Calibri" w:hAnsi="Calibri"/>
        </w:rPr>
        <w:t xml:space="preserve">In Koray’s definition, Source Context is ‘the central reason the source exists from the perspective of the user’. When the content published under a domain contradicts that reason, the domain enters an ambiguous topical state: Google can no longer tell whether transcure.net is a vendor or a review site. The ambiguity is resolved in the worst possible way — the site loses trust at both identities simultaneously.</w:t>
      </w:r>
    </w:p>
    <w:p>
      <w:pPr>
        <w:pStyle w:val="Heading2"/>
        <w:spacing w:after="120" w:before="240"/>
      </w:pPr>
      <w:r>
        <w:rPr>
          <w:rFonts w:ascii="Calibri" w:cs="Calibri" w:eastAsia="Calibri" w:hAnsi="Calibri"/>
        </w:rPr>
        <w:t xml:space="preserve">3.4 Solution</w:t>
      </w:r>
    </w:p>
    <w:p>
      <w:pPr>
        <w:pStyle w:val="ListParagraph"/>
        <w:numPr>
          <w:ilvl w:val="0"/>
          <w:numId w:val="3"/>
        </w:numPr>
        <w:spacing w:after="80"/>
      </w:pPr>
      <w:r>
        <w:rPr>
          <w:rFonts w:ascii="Calibri" w:cs="Calibri" w:eastAsia="Calibri" w:hAnsi="Calibri"/>
          <w:b/>
          <w:bCs/>
        </w:rPr>
        <w:t xml:space="preserve">Delete-or-repurpose decision per listicle, within 14 days:</w:t>
      </w:r>
    </w:p>
    <w:p>
      <w:pPr>
        <w:pStyle w:val="ListParagraph"/>
        <w:numPr>
          <w:ilvl w:val="0"/>
          <w:numId w:val="2"/>
        </w:numPr>
        <w:spacing w:after="80"/>
      </w:pPr>
      <w:r>
        <w:rPr>
          <w:rFonts w:ascii="Calibri" w:cs="Calibri" w:eastAsia="Calibri" w:hAnsi="Calibri"/>
          <w:b/>
          <w:bCs/>
        </w:rPr>
        <w:t xml:space="preserve">Option A — delete (recommended for all city-level URLs): </w:t>
      </w:r>
      <w:r>
        <w:rPr>
          <w:rFonts w:ascii="Calibri" w:cs="Calibri" w:eastAsia="Calibri" w:hAnsi="Calibri"/>
        </w:rPr>
        <w:t xml:space="preserve">410 status + remove from sitemap + </w:t>
      </w:r>
      <w:r>
        <w:rPr>
          <w:rFonts w:ascii="Consolas" w:cs="Consolas" w:eastAsia="Consolas" w:hAnsi="Consolas"/>
          <w:sz w:val="20"/>
          <w:szCs w:val="20"/>
        </w:rPr>
        <w:t xml:space="preserve">noindex</w:t>
      </w:r>
      <w:r>
        <w:rPr>
          <w:rFonts w:ascii="Calibri" w:cs="Calibri" w:eastAsia="Calibri" w:hAnsi="Calibri"/>
        </w:rPr>
        <w:t xml:space="preserve"> + remove all internal links.</w:t>
      </w:r>
    </w:p>
    <w:p>
      <w:pPr>
        <w:pStyle w:val="ListParagraph"/>
        <w:numPr>
          <w:ilvl w:val="0"/>
          <w:numId w:val="2"/>
        </w:numPr>
        <w:spacing w:after="80"/>
      </w:pPr>
      <w:r>
        <w:rPr>
          <w:rFonts w:ascii="Calibri" w:cs="Calibri" w:eastAsia="Calibri" w:hAnsi="Calibri"/>
          <w:b/>
          <w:bCs/>
        </w:rPr>
        <w:t xml:space="preserve">Option B — repurpose (only for state-level URLs where brand search volume is proven in GSC): </w:t>
      </w:r>
      <w:r>
        <w:rPr>
          <w:rFonts w:ascii="Calibri" w:cs="Calibri" w:eastAsia="Calibri" w:hAnsi="Calibri"/>
        </w:rPr>
        <w:t xml:space="preserve">Rewrite as ‘How to choose a medical billing company in &lt;state&gt;’ — a buyer’s-guide framing that is legitimate coming from a vendor (‘here is the criteria we advise physicians to evaluate us and our competitors on’). This is on-context because it discusses the buyer’s decision process, not the ranking of competitors.</w:t>
      </w:r>
    </w:p>
    <w:p>
      <w:pPr>
        <w:pStyle w:val="ListParagraph"/>
        <w:numPr>
          <w:ilvl w:val="0"/>
          <w:numId w:val="3"/>
        </w:numPr>
        <w:spacing w:after="80"/>
      </w:pPr>
      <w:r>
        <w:rPr>
          <w:rFonts w:ascii="Calibri" w:cs="Calibri" w:eastAsia="Calibri" w:hAnsi="Calibri"/>
          <w:b/>
          <w:bCs/>
        </w:rPr>
        <w:t xml:space="preserve">Implementation steps:</w:t>
      </w:r>
    </w:p>
    <w:p>
      <w:pPr>
        <w:pStyle w:val="ListParagraph"/>
        <w:numPr>
          <w:ilvl w:val="0"/>
          <w:numId w:val="2"/>
        </w:numPr>
        <w:spacing w:after="80"/>
      </w:pPr>
      <w:r>
        <w:rPr>
          <w:rFonts w:ascii="Calibri" w:cs="Calibri" w:eastAsia="Calibri" w:hAnsi="Calibri"/>
        </w:rPr>
        <w:t xml:space="preserve">Export all 132 URLs, split into ‘delete’ vs ‘repurpose’ columns.</w:t>
      </w:r>
    </w:p>
    <w:p>
      <w:pPr>
        <w:pStyle w:val="ListParagraph"/>
        <w:numPr>
          <w:ilvl w:val="0"/>
          <w:numId w:val="2"/>
        </w:numPr>
        <w:spacing w:after="80"/>
      </w:pPr>
      <w:r>
        <w:rPr>
          <w:rFonts w:ascii="Calibri" w:cs="Calibri" w:eastAsia="Calibri" w:hAnsi="Calibri"/>
        </w:rPr>
        <w:t xml:space="preserve">For deletes: ship a single deploy that (a) returns 410, (b) removes from XML sitemap, (c) unlinks from hub/nav/footer.</w:t>
      </w:r>
    </w:p>
    <w:p>
      <w:pPr>
        <w:pStyle w:val="ListParagraph"/>
        <w:numPr>
          <w:ilvl w:val="0"/>
          <w:numId w:val="2"/>
        </w:numPr>
        <w:spacing w:after="80"/>
      </w:pPr>
      <w:r>
        <w:rPr>
          <w:rFonts w:ascii="Calibri" w:cs="Calibri" w:eastAsia="Calibri" w:hAnsi="Calibri"/>
        </w:rPr>
        <w:t xml:space="preserve">For repurpose: rewrite the top 10 state URLs only, under the buyer’s-guide angle, with a real author byline, original screenshots, and at minimum a FAQ schema. Canonicalise to one URL per state.</w:t>
      </w:r>
    </w:p>
    <w:p>
      <w:pPr>
        <w:pStyle w:val="ListParagraph"/>
        <w:numPr>
          <w:ilvl w:val="0"/>
          <w:numId w:val="2"/>
        </w:numPr>
        <w:spacing w:after="80"/>
      </w:pPr>
      <w:r>
        <w:rPr>
          <w:rFonts w:ascii="Calibri" w:cs="Calibri" w:eastAsia="Calibri" w:hAnsi="Calibri"/>
        </w:rPr>
        <w:t xml:space="preserve">Monitor GSC CTR at the </w:t>
      </w:r>
      <w:r>
        <w:rPr>
          <w:rFonts w:ascii="Consolas" w:cs="Consolas" w:eastAsia="Consolas" w:hAnsi="Consolas"/>
          <w:sz w:val="20"/>
          <w:szCs w:val="20"/>
        </w:rPr>
        <w:t xml:space="preserve">/medical-billing/companies/</w:t>
      </w:r>
      <w:r>
        <w:rPr>
          <w:rFonts w:ascii="Calibri" w:cs="Calibri" w:eastAsia="Calibri" w:hAnsi="Calibri"/>
        </w:rPr>
        <w:t xml:space="preserve"> path prefix weekly for 8 weeks — CTR should climb back toward 0.8–1.0% as the thin-content cluster is removed.</w:t>
      </w:r>
    </w:p>
    <w:p>
      <w:pPr>
        <w:pStyle w:val="Heading2"/>
        <w:spacing w:after="120" w:before="240"/>
      </w:pPr>
      <w:r>
        <w:rPr>
          <w:rFonts w:ascii="Calibri" w:cs="Calibri" w:eastAsia="Calibri" w:hAnsi="Calibri"/>
        </w:rPr>
        <w:t xml:space="preserve">3.5 Source-Context re-definition (workbook entry)</w:t>
      </w:r>
    </w:p>
    <w:p>
      <w:pPr>
        <w:spacing w:after="120" w:line="300"/>
      </w:pPr>
      <w:r>
        <w:rPr>
          <w:rFonts w:ascii="Calibri" w:cs="Calibri" w:eastAsia="Calibri" w:hAnsi="Calibri"/>
        </w:rPr>
        <w:t xml:space="preserve">We recommend the following sharpened Source Context statement, to be adopted as the ground truth for all future content decisions:</w:t>
      </w:r>
    </w:p>
    <w:p>
      <w:pPr>
        <w:spacing w:after="120" w:line="300"/>
      </w:pPr>
      <w:r>
        <w:rPr>
          <w:rFonts w:ascii="Calibri" w:cs="Calibri" w:eastAsia="Calibri" w:hAnsi="Calibri"/>
          <w:i/>
          <w:iCs/>
        </w:rPr>
        <w:t xml:space="preserve">‘Transcure operates end-to-end medical billing, credentialing and revenue-cycle services for U.S. physician practices and ambulatory surgery centers. Every page on transcure.net must either (a) help a physician evaluate and hire Transcure, or (b) help a physician do their billing work better — understand a code, pick a modifier, fix a denial, choose an EMR. No page on this domain should position Transcure as a neutral reviewer of its own industry.’</w:t>
      </w:r>
    </w:p>
    <w:p>
      <w:r>
        <w:br w:type="page"/>
      </w:r>
    </w:p>
    <w:p>
      <w:pPr>
        <w:pStyle w:val="Heading1"/>
        <w:spacing w:after="160" w:before="320"/>
      </w:pPr>
      <w:r>
        <w:rPr>
          <w:rFonts w:ascii="Calibri" w:cs="Calibri" w:eastAsia="Calibri" w:hAnsi="Calibri"/>
        </w:rPr>
        <w:t xml:space="preserve">4 — Koray pillar 2 — URL ontology &amp; canonicalisation</w:t>
      </w:r>
    </w:p>
    <w:p>
      <w:pPr>
        <w:pStyle w:val="Heading2"/>
        <w:spacing w:after="120" w:before="240"/>
      </w:pPr>
      <w:r>
        <w:rPr>
          <w:rFonts w:ascii="Calibri" w:cs="Calibri" w:eastAsia="Calibri" w:hAnsi="Calibri"/>
        </w:rPr>
        <w:t xml:space="preserve">4.1 The rule that is being violated</w:t>
      </w:r>
    </w:p>
    <w:p>
      <w:pPr>
        <w:spacing w:after="120" w:line="300"/>
      </w:pPr>
      <w:r>
        <w:rPr>
          <w:rFonts w:ascii="Calibri" w:cs="Calibri" w:eastAsia="Calibri" w:hAnsi="Calibri"/>
          <w:b/>
          <w:bCs/>
        </w:rPr>
        <w:t xml:space="preserve">One entity, one URL. </w:t>
      </w:r>
      <w:r>
        <w:rPr>
          <w:rFonts w:ascii="Calibri" w:cs="Calibri" w:eastAsia="Calibri" w:hAnsi="Calibri"/>
        </w:rPr>
        <w:t xml:space="preserve">In Koray’s framework, every entity in the topical map should have exactly one canonical URL, and that URL’s ontology (path pattern) should be consistent across siblings. Transcure violates this for almost every entity on the site.</w:t>
      </w:r>
    </w:p>
    <w:p>
      <w:pPr>
        <w:pStyle w:val="Heading2"/>
        <w:spacing w:after="120" w:before="240"/>
      </w:pPr>
      <w:r>
        <w:rPr>
          <w:rFonts w:ascii="Calibri" w:cs="Calibri" w:eastAsia="Calibri" w:hAnsi="Calibri"/>
        </w:rPr>
        <w:t xml:space="preserve">4.2 Parallel URL taxonomies — the catalogue</w:t>
      </w:r>
    </w:p>
    <w:p>
      <w:pPr>
        <w:spacing w:after="120" w:line="300"/>
      </w:pPr>
      <w:r>
        <w:rPr>
          <w:rFonts w:ascii="Calibri" w:cs="Calibri" w:eastAsia="Calibri" w:hAnsi="Calibri"/>
        </w:rPr>
        <w:t xml:space="preserve">Each of the patterns below currently has live, self-canonical URLs on transcure.net — all targeting the </w:t>
      </w:r>
      <w:r>
        <w:rPr>
          <w:rFonts w:ascii="Calibri" w:cs="Calibri" w:eastAsia="Calibri" w:hAnsi="Calibri"/>
          <w:b/>
          <w:bCs/>
        </w:rPr>
        <w:t xml:space="preserve">same entity</w:t>
      </w:r>
      <w:r>
        <w:rPr>
          <w:rFonts w:ascii="Calibri" w:cs="Calibri" w:eastAsia="Calibri" w:hAnsi="Calibri"/>
        </w:rPr>
        <w:t xml:space="preserve">. This is the single biggest structural defect on the site.</w:t>
      </w:r>
    </w:p>
    <w:p>
      <w:pPr>
        <w:pStyle w:val="Heading3"/>
        <w:spacing w:after="100" w:before="180"/>
      </w:pPr>
      <w:r>
        <w:rPr>
          <w:rFonts w:ascii="Calibri" w:cs="Calibri" w:eastAsia="Calibri" w:hAnsi="Calibri"/>
        </w:rPr>
        <w:t xml:space="preserve">4.2.1 Specialty patterns (5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2160"/>
      </w:tblGrid>
      <w:tr>
        <w:trPr>
          <w:tblHeader/>
        </w:trPr>
        <w:tc>
          <w:tcPr>
            <w:tcW w:type="dxa" w:w="34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Pattern</w:t>
            </w:r>
          </w:p>
        </w:tc>
        <w:tc>
          <w:tcPr>
            <w:tcW w:type="dxa" w:w="38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Example</w:t>
            </w:r>
          </w:p>
        </w:tc>
        <w:tc>
          <w:tcPr>
            <w:tcW w:type="dxa" w:w="216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Status</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/medical-billing/services/&lt;spec&gt;/</w:t>
            </w:r>
          </w:p>
        </w:tc>
        <w:tc>
          <w:tcPr>
            <w:tcW w:type="dxa" w:w="3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/medical-billing/services/cardiology-billing/ (missing)</w:t>
            </w:r>
          </w:p>
        </w:tc>
        <w:tc>
          <w:tcPr>
            <w:tcW w:type="dxa" w:w="2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b/>
                <w:bCs/>
                <w:color w:val="B00020"/>
              </w:rPr>
              <w:t xml:space="preserve">Inconsistent — cardiology has no /services/ URL, but orthopedics does</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/medical-billing/&lt;spec&gt;/</w:t>
            </w:r>
          </w:p>
        </w:tc>
        <w:tc>
          <w:tcPr>
            <w:tcW w:type="dxa" w:w="3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/medical-billing/cardiology/</w:t>
            </w:r>
          </w:p>
        </w:tc>
        <w:tc>
          <w:tcPr>
            <w:tcW w:type="dxa" w:w="2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Live</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/&lt;spec&gt;-medical-billing/</w:t>
            </w:r>
          </w:p>
        </w:tc>
        <w:tc>
          <w:tcPr>
            <w:tcW w:type="dxa" w:w="3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/cardiology-medical-billing/</w:t>
            </w:r>
          </w:p>
        </w:tc>
        <w:tc>
          <w:tcPr>
            <w:tcW w:type="dxa" w:w="2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Live</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/&lt;spec&gt;-billing/</w:t>
            </w:r>
          </w:p>
        </w:tc>
        <w:tc>
          <w:tcPr>
            <w:tcW w:type="dxa" w:w="3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/cardiology-billing/</w:t>
            </w:r>
          </w:p>
        </w:tc>
        <w:tc>
          <w:tcPr>
            <w:tcW w:type="dxa" w:w="2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Live</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/&lt;spec&gt;-billing-services/</w:t>
            </w:r>
          </w:p>
        </w:tc>
        <w:tc>
          <w:tcPr>
            <w:tcW w:type="dxa" w:w="3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/cardiology-billing-services/</w:t>
            </w:r>
          </w:p>
        </w:tc>
        <w:tc>
          <w:tcPr>
            <w:tcW w:type="dxa" w:w="2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Live</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/medical-billing/services/specialties/&lt;spec&gt;/</w:t>
            </w:r>
          </w:p>
        </w:tc>
        <w:tc>
          <w:tcPr>
            <w:tcW w:type="dxa" w:w="3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/medical-billing/services/specialties/cardiology/</w:t>
            </w:r>
          </w:p>
        </w:tc>
        <w:tc>
          <w:tcPr>
            <w:tcW w:type="dxa" w:w="2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Live</w:t>
            </w:r>
          </w:p>
        </w:tc>
      </w:tr>
    </w:tbl>
    <w:p>
      <w:pPr>
        <w:spacing w:after="120" w:line="300"/>
      </w:pPr>
      <w:r>
        <w:rPr>
          <w:rFonts w:ascii="Calibri" w:cs="Calibri" w:eastAsia="Calibri" w:hAnsi="Calibri"/>
          <w:b/>
          <w:bCs/>
        </w:rPr>
        <w:t xml:space="preserve">Cardiology currently has 9 live URLs </w:t>
      </w:r>
      <w:r>
        <w:rPr>
          <w:rFonts w:ascii="Calibri" w:cs="Calibri" w:eastAsia="Calibri" w:hAnsi="Calibri"/>
        </w:rPr>
        <w:t xml:space="preserve">competing for the same entity. Podiatry has 7, including two self-canonical duplicates. Dental has 12. Orthopedics has 8. This is the textbook ‘quality-threshold violation’ pattern Koray describes — it is impossible for any one URL to accumulate enough Historical Data to rank.</w:t>
      </w:r>
    </w:p>
    <w:p>
      <w:pPr>
        <w:pStyle w:val="Heading3"/>
        <w:spacing w:after="100" w:before="180"/>
      </w:pPr>
      <w:r>
        <w:rPr>
          <w:rFonts w:ascii="Calibri" w:cs="Calibri" w:eastAsia="Calibri" w:hAnsi="Calibri"/>
        </w:rPr>
        <w:t xml:space="preserve">4.2.2 State patterns (5+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2160"/>
      </w:tblGrid>
      <w:tr>
        <w:trPr>
          <w:tblHeader/>
        </w:trPr>
        <w:tc>
          <w:tcPr>
            <w:tcW w:type="dxa" w:w="34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Pattern</w:t>
            </w:r>
          </w:p>
        </w:tc>
        <w:tc>
          <w:tcPr>
            <w:tcW w:type="dxa" w:w="38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Example</w:t>
            </w:r>
          </w:p>
        </w:tc>
        <w:tc>
          <w:tcPr>
            <w:tcW w:type="dxa" w:w="216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Status</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/states/medical-billing-company-&lt;state&gt;/</w:t>
            </w:r>
          </w:p>
        </w:tc>
        <w:tc>
          <w:tcPr>
            <w:tcW w:type="dxa" w:w="3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/states/medical-billing-company-texas/</w:t>
            </w:r>
          </w:p>
        </w:tc>
        <w:tc>
          <w:tcPr>
            <w:tcW w:type="dxa" w:w="2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Live</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/states/medical-billing-services-in-&lt;state&gt;/</w:t>
            </w:r>
          </w:p>
        </w:tc>
        <w:tc>
          <w:tcPr>
            <w:tcW w:type="dxa" w:w="3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/states/medical-billing-services-in-california/</w:t>
            </w:r>
          </w:p>
        </w:tc>
        <w:tc>
          <w:tcPr>
            <w:tcW w:type="dxa" w:w="2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b/>
                <w:bCs/>
                <w:color w:val="B00020"/>
              </w:rPr>
              <w:t xml:space="preserve">301 — but still receives 556 internal links</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/medical-billing/services/&lt;state&gt;/</w:t>
            </w:r>
          </w:p>
        </w:tc>
        <w:tc>
          <w:tcPr>
            <w:tcW w:type="dxa" w:w="3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/medical-billing/services/texas/</w:t>
            </w:r>
          </w:p>
        </w:tc>
        <w:tc>
          <w:tcPr>
            <w:tcW w:type="dxa" w:w="2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Live (double H1)</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/medical-billing/companies/&lt;state&gt;/</w:t>
            </w:r>
          </w:p>
        </w:tc>
        <w:tc>
          <w:tcPr>
            <w:tcW w:type="dxa" w:w="3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/medical-billing/companies/texas/</w:t>
            </w:r>
          </w:p>
        </w:tc>
        <w:tc>
          <w:tcPr>
            <w:tcW w:type="dxa" w:w="2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Live (Jan 2026 publish)</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/article/medical-billing-companies-&lt;state&gt;/</w:t>
            </w:r>
          </w:p>
        </w:tc>
        <w:tc>
          <w:tcPr>
            <w:tcW w:type="dxa" w:w="3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/article/medical-billing-companies-texas/</w:t>
            </w:r>
          </w:p>
        </w:tc>
        <w:tc>
          <w:tcPr>
            <w:tcW w:type="dxa" w:w="2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Live (older cluster)</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/article/medical-billing-companies-&lt;city&gt;-&lt;state&gt;/</w:t>
            </w:r>
          </w:p>
        </w:tc>
        <w:tc>
          <w:tcPr>
            <w:tcW w:type="dxa" w:w="3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/article/medical-billing-companies-houston-texas/</w:t>
            </w:r>
          </w:p>
        </w:tc>
        <w:tc>
          <w:tcPr>
            <w:tcW w:type="dxa" w:w="2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Live</w:t>
            </w:r>
          </w:p>
        </w:tc>
      </w:tr>
    </w:tbl>
    <w:p>
      <w:pPr>
        <w:spacing w:after="120" w:line="300"/>
      </w:pPr>
      <w:r>
        <w:rPr>
          <w:rFonts w:ascii="Calibri" w:cs="Calibri" w:eastAsia="Calibri" w:hAnsi="Calibri"/>
          <w:b/>
          <w:bCs/>
        </w:rPr>
        <w:t xml:space="preserve">Texas currently has 19 live URLs </w:t>
      </w:r>
      <w:r>
        <w:rPr>
          <w:rFonts w:ascii="Calibri" w:cs="Calibri" w:eastAsia="Calibri" w:hAnsi="Calibri"/>
        </w:rPr>
        <w:t xml:space="preserve">across these six patterns (state-level + city-level); California has 21. Any link equity earned by one URL is split across 19 siblings.</w:t>
      </w:r>
    </w:p>
    <w:p>
      <w:pPr>
        <w:pStyle w:val="Heading3"/>
        <w:spacing w:after="100" w:before="180"/>
      </w:pPr>
      <w:r>
        <w:rPr>
          <w:rFonts w:ascii="Calibri" w:cs="Calibri" w:eastAsia="Calibri" w:hAnsi="Calibri"/>
        </w:rPr>
        <w:t xml:space="preserve">4.2.3 EMR / software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Pattern</w:t>
            </w:r>
          </w:p>
        </w:tc>
        <w:tc>
          <w:tcPr>
            <w:tcW w:type="dxa" w:w="476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Example</w:t>
            </w:r>
          </w:p>
        </w:tc>
      </w:tr>
      <w:tr>
        <w:tc>
          <w:tcPr>
            <w:tcW w:type="dxa" w:w="4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/&lt;emr&gt;-ehr/</w:t>
            </w:r>
          </w:p>
        </w:tc>
        <w:tc>
          <w:tcPr>
            <w:tcW w:type="dxa" w:w="4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/eclinicalworks-ehr/</w:t>
            </w:r>
          </w:p>
        </w:tc>
      </w:tr>
      <w:tr>
        <w:tc>
          <w:tcPr>
            <w:tcW w:type="dxa" w:w="4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/&lt;emr&gt;-ehr/medical-billing-services/</w:t>
            </w:r>
          </w:p>
        </w:tc>
        <w:tc>
          <w:tcPr>
            <w:tcW w:type="dxa" w:w="4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/eclinicalworks-ehr/medical-billing-services/</w:t>
            </w:r>
          </w:p>
        </w:tc>
      </w:tr>
      <w:tr>
        <w:tc>
          <w:tcPr>
            <w:tcW w:type="dxa" w:w="4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/medical-billing/software/&lt;emr&gt;/</w:t>
            </w:r>
          </w:p>
        </w:tc>
        <w:tc>
          <w:tcPr>
            <w:tcW w:type="dxa" w:w="4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/medical-billing/software/eclinicalworks/</w:t>
            </w:r>
          </w:p>
        </w:tc>
      </w:tr>
      <w:tr>
        <w:tc>
          <w:tcPr>
            <w:tcW w:type="dxa" w:w="4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/emr-&lt;emr&gt;/</w:t>
            </w:r>
          </w:p>
        </w:tc>
        <w:tc>
          <w:tcPr>
            <w:tcW w:type="dxa" w:w="4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/emr-eclinicalworks/</w:t>
            </w:r>
          </w:p>
        </w:tc>
      </w:tr>
      <w:tr>
        <w:tc>
          <w:tcPr>
            <w:tcW w:type="dxa" w:w="4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/&lt;emr&gt;-billing/</w:t>
            </w:r>
          </w:p>
        </w:tc>
        <w:tc>
          <w:tcPr>
            <w:tcW w:type="dxa" w:w="4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/eclinicalworks-billing/</w:t>
            </w:r>
          </w:p>
        </w:tc>
      </w:tr>
      <w:tr>
        <w:tc>
          <w:tcPr>
            <w:tcW w:type="dxa" w:w="4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/&lt;emr&gt;-billing-services/</w:t>
            </w:r>
          </w:p>
        </w:tc>
        <w:tc>
          <w:tcPr>
            <w:tcW w:type="dxa" w:w="4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/eclinicalworks-billing-services/</w:t>
            </w:r>
          </w:p>
        </w:tc>
      </w:tr>
    </w:tbl>
    <w:p>
      <w:pPr>
        <w:spacing w:after="120" w:line="300"/>
      </w:pPr>
      <w:r>
        <w:rPr>
          <w:rFonts w:ascii="Calibri" w:cs="Calibri" w:eastAsia="Calibri" w:hAnsi="Calibri"/>
          <w:b/>
          <w:bCs/>
        </w:rPr>
        <w:t xml:space="preserve">eClinicalWorks has 10 live URLs. Kareo has 5, two of them identical self-canonical clones. </w:t>
      </w:r>
      <w:r>
        <w:rPr>
          <w:rFonts w:ascii="Calibri" w:cs="Calibri" w:eastAsia="Calibri" w:hAnsi="Calibri"/>
        </w:rPr>
        <w:t xml:space="preserve">Every priority EMR in the topical map has the same 4–5-URL template applied.</w:t>
      </w:r>
    </w:p>
    <w:p>
      <w:pPr>
        <w:pStyle w:val="Heading2"/>
        <w:spacing w:after="120" w:before="240"/>
      </w:pPr>
      <w:r>
        <w:rPr>
          <w:rFonts w:ascii="Calibri" w:cs="Calibri" w:eastAsia="Calibri" w:hAnsi="Calibri"/>
        </w:rPr>
        <w:t xml:space="preserve">4.3 The fix — canonical-URL decision matrix</w:t>
      </w:r>
    </w:p>
    <w:p>
      <w:pPr>
        <w:spacing w:after="120" w:line="300"/>
      </w:pPr>
      <w:r>
        <w:rPr>
          <w:rFonts w:ascii="Calibri" w:cs="Calibri" w:eastAsia="Calibri" w:hAnsi="Calibri"/>
        </w:rPr>
        <w:t xml:space="preserve">Pick </w:t>
      </w:r>
      <w:r>
        <w:rPr>
          <w:rFonts w:ascii="Calibri" w:cs="Calibri" w:eastAsia="Calibri" w:hAnsi="Calibri"/>
          <w:b/>
          <w:bCs/>
        </w:rPr>
        <w:t xml:space="preserve">one</w:t>
      </w:r>
      <w:r>
        <w:rPr>
          <w:rFonts w:ascii="Calibri" w:cs="Calibri" w:eastAsia="Calibri" w:hAnsi="Calibri"/>
        </w:rPr>
        <w:t xml:space="preserve"> canonical URL per entity family using the Koray-approved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Entity family</w:t>
            </w:r>
          </w:p>
        </w:tc>
        <w:tc>
          <w:tcPr>
            <w:tcW w:type="dxa" w:w="34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Canonical pattern (recommended)</w:t>
            </w:r>
          </w:p>
        </w:tc>
        <w:tc>
          <w:tcPr>
            <w:tcW w:type="dxa" w:w="406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Action for the others</w:t>
            </w:r>
          </w:p>
        </w:tc>
      </w:tr>
      <w:tr>
        <w:tc>
          <w:tcPr>
            <w:tcW w:type="dxa" w:w="19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Specialty</w:t>
            </w:r>
          </w:p>
        </w:tc>
        <w:tc>
          <w:tcPr>
            <w:tcW w:type="dxa" w:w="3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/medical-billing/services/&lt;spec&gt;-billing/</w:t>
            </w:r>
          </w:p>
        </w:tc>
        <w:tc>
          <w:tcPr>
            <w:tcW w:type="dxa" w:w="40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301 to canonical. Update all internal links. Remove from sitemap.</w:t>
            </w:r>
          </w:p>
        </w:tc>
      </w:tr>
      <w:tr>
        <w:tc>
          <w:tcPr>
            <w:tcW w:type="dxa" w:w="19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State (service)</w:t>
            </w:r>
          </w:p>
        </w:tc>
        <w:tc>
          <w:tcPr>
            <w:tcW w:type="dxa" w:w="3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/medical-billing/services/&lt;state&gt;/</w:t>
            </w:r>
          </w:p>
        </w:tc>
        <w:tc>
          <w:tcPr>
            <w:tcW w:type="dxa" w:w="40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301 to canonical. The old /states/ hub becomes a category listing that links to these URLs only.</w:t>
            </w:r>
          </w:p>
        </w:tc>
      </w:tr>
      <w:tr>
        <w:tc>
          <w:tcPr>
            <w:tcW w:type="dxa" w:w="19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City (service)</w:t>
            </w:r>
          </w:p>
        </w:tc>
        <w:tc>
          <w:tcPr>
            <w:tcW w:type="dxa" w:w="3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/medical-billing/services/&lt;state&gt;/&lt;city&gt;/</w:t>
            </w:r>
          </w:p>
        </w:tc>
        <w:tc>
          <w:tcPr>
            <w:tcW w:type="dxa" w:w="40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Only build if the city has proven volume in Ahrefs Keywords Explorer (KD &gt; 0, volume ≥ 100). Otherwise do not build.</w:t>
            </w:r>
          </w:p>
        </w:tc>
      </w:tr>
      <w:tr>
        <w:tc>
          <w:tcPr>
            <w:tcW w:type="dxa" w:w="19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EMR / PM software</w:t>
            </w:r>
          </w:p>
        </w:tc>
        <w:tc>
          <w:tcPr>
            <w:tcW w:type="dxa" w:w="3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/medical-billing/software/&lt;emr&gt;/</w:t>
            </w:r>
          </w:p>
        </w:tc>
        <w:tc>
          <w:tcPr>
            <w:tcW w:type="dxa" w:w="40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301 all five competing patterns to this one. Remove from sitemap.</w:t>
            </w:r>
          </w:p>
        </w:tc>
      </w:tr>
      <w:tr>
        <w:tc>
          <w:tcPr>
            <w:tcW w:type="dxa" w:w="19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Company listicle</w:t>
            </w:r>
          </w:p>
        </w:tc>
        <w:tc>
          <w:tcPr>
            <w:tcW w:type="dxa" w:w="3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 (kill the entire taxonomy; see §3.4)</w:t>
            </w:r>
          </w:p>
        </w:tc>
        <w:tc>
          <w:tcPr>
            <w:tcW w:type="dxa" w:w="40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410 all 132 URLs.</w:t>
            </w:r>
          </w:p>
        </w:tc>
      </w:tr>
    </w:tbl>
    <w:p>
      <w:pPr>
        <w:pStyle w:val="Heading2"/>
        <w:spacing w:after="120" w:before="240"/>
      </w:pPr>
      <w:r>
        <w:rPr>
          <w:rFonts w:ascii="Calibri" w:cs="Calibri" w:eastAsia="Calibri" w:hAnsi="Calibri"/>
        </w:rPr>
        <w:t xml:space="preserve">4.4 Implementation plan</w:t>
      </w:r>
    </w:p>
    <w:p>
      <w:pPr>
        <w:pStyle w:val="ListParagraph"/>
        <w:numPr>
          <w:ilvl w:val="0"/>
          <w:numId w:val="3"/>
        </w:numPr>
        <w:spacing w:after="80"/>
      </w:pPr>
      <w:r>
        <w:rPr>
          <w:rFonts w:ascii="Calibri" w:cs="Calibri" w:eastAsia="Calibri" w:hAnsi="Calibri"/>
          <w:b/>
          <w:bCs/>
        </w:rPr>
        <w:t xml:space="preserve">Week 1: </w:t>
      </w:r>
      <w:r>
        <w:rPr>
          <w:rFonts w:ascii="Calibri" w:cs="Calibri" w:eastAsia="Calibri" w:hAnsi="Calibri"/>
        </w:rPr>
        <w:t xml:space="preserve">Export the full URL inventory; mark canonical vs. duplicate per entity family; get sign-off on the five canonical patterns above.</w:t>
      </w:r>
    </w:p>
    <w:p>
      <w:pPr>
        <w:pStyle w:val="ListParagraph"/>
        <w:numPr>
          <w:ilvl w:val="0"/>
          <w:numId w:val="3"/>
        </w:numPr>
        <w:spacing w:after="80"/>
      </w:pPr>
      <w:r>
        <w:rPr>
          <w:rFonts w:ascii="Calibri" w:cs="Calibri" w:eastAsia="Calibri" w:hAnsi="Calibri"/>
          <w:b/>
          <w:bCs/>
        </w:rPr>
        <w:t xml:space="preserve">Week 2: </w:t>
      </w:r>
      <w:r>
        <w:rPr>
          <w:rFonts w:ascii="Calibri" w:cs="Calibri" w:eastAsia="Calibri" w:hAnsi="Calibri"/>
        </w:rPr>
        <w:t xml:space="preserve">Ship 301 redirects for every non-canonical URL in the specialty and EMR families. Update internal links sitewide (header, footer, hub pages, body content) to point to the new canonical in the same deploy.</w:t>
      </w:r>
    </w:p>
    <w:p>
      <w:pPr>
        <w:pStyle w:val="ListParagraph"/>
        <w:numPr>
          <w:ilvl w:val="0"/>
          <w:numId w:val="3"/>
        </w:numPr>
        <w:spacing w:after="80"/>
      </w:pPr>
      <w:r>
        <w:rPr>
          <w:rFonts w:ascii="Calibri" w:cs="Calibri" w:eastAsia="Calibri" w:hAnsi="Calibri"/>
          <w:b/>
          <w:bCs/>
        </w:rPr>
        <w:t xml:space="preserve">Week 3: </w:t>
      </w:r>
      <w:r>
        <w:rPr>
          <w:rFonts w:ascii="Calibri" w:cs="Calibri" w:eastAsia="Calibri" w:hAnsi="Calibri"/>
        </w:rPr>
        <w:t xml:space="preserve">Repeat for state families. The dead </w:t>
      </w:r>
      <w:r>
        <w:rPr>
          <w:rFonts w:ascii="Consolas" w:cs="Consolas" w:eastAsia="Consolas" w:hAnsi="Consolas"/>
          <w:sz w:val="20"/>
          <w:szCs w:val="20"/>
        </w:rPr>
        <w:t xml:space="preserve">/states/medical-billing-services-in-california/</w:t>
      </w:r>
      <w:r>
        <w:rPr>
          <w:rFonts w:ascii="Calibri" w:cs="Calibri" w:eastAsia="Calibri" w:hAnsi="Calibri"/>
        </w:rPr>
        <w:t xml:space="preserve"> (receiving 556 internal links) is the single highest-priority update.</w:t>
      </w:r>
    </w:p>
    <w:p>
      <w:pPr>
        <w:pStyle w:val="ListParagraph"/>
        <w:numPr>
          <w:ilvl w:val="0"/>
          <w:numId w:val="3"/>
        </w:numPr>
        <w:spacing w:after="80"/>
      </w:pPr>
      <w:r>
        <w:rPr>
          <w:rFonts w:ascii="Calibri" w:cs="Calibri" w:eastAsia="Calibri" w:hAnsi="Calibri"/>
          <w:b/>
          <w:bCs/>
        </w:rPr>
        <w:t xml:space="preserve">Week 4: </w:t>
      </w:r>
      <w:r>
        <w:rPr>
          <w:rFonts w:ascii="Calibri" w:cs="Calibri" w:eastAsia="Calibri" w:hAnsi="Calibri"/>
        </w:rPr>
        <w:t xml:space="preserve">410 + de-sitemap the 132 listicles. This must happen in a single deploy to avoid partial-state crawls.</w:t>
      </w:r>
    </w:p>
    <w:p>
      <w:pPr>
        <w:pStyle w:val="ListParagraph"/>
        <w:numPr>
          <w:ilvl w:val="0"/>
          <w:numId w:val="3"/>
        </w:numPr>
        <w:spacing w:after="80"/>
      </w:pPr>
      <w:r>
        <w:rPr>
          <w:rFonts w:ascii="Calibri" w:cs="Calibri" w:eastAsia="Calibri" w:hAnsi="Calibri"/>
          <w:b/>
          <w:bCs/>
        </w:rPr>
        <w:t xml:space="preserve">Week 5–8: </w:t>
      </w:r>
      <w:r>
        <w:rPr>
          <w:rFonts w:ascii="Calibri" w:cs="Calibri" w:eastAsia="Calibri" w:hAnsi="Calibri"/>
        </w:rPr>
        <w:t xml:space="preserve">Monitor: Ahrefs ‘Pages History’ should show a steady climb in top-pages count as Historical Data consolidates on the canonicals. GSC pages report should show impressions migrating from the 301-source to the 301-target within 14–21 days of each deploy.</w:t>
      </w:r>
    </w:p>
    <w:p>
      <w:r>
        <w:br w:type="page"/>
      </w:r>
    </w:p>
    <w:p>
      <w:pPr>
        <w:pStyle w:val="Heading1"/>
        <w:spacing w:after="160" w:before="320"/>
      </w:pPr>
      <w:r>
        <w:rPr>
          <w:rFonts w:ascii="Calibri" w:cs="Calibri" w:eastAsia="Calibri" w:hAnsi="Calibri"/>
        </w:rPr>
        <w:t xml:space="preserve">5 — Koray pillar 3 — Internal link graph (S / C / I nodes)</w:t>
      </w:r>
    </w:p>
    <w:p>
      <w:pPr>
        <w:pStyle w:val="Heading2"/>
        <w:spacing w:after="120" w:before="240"/>
      </w:pPr>
      <w:r>
        <w:rPr>
          <w:rFonts w:ascii="Calibri" w:cs="Calibri" w:eastAsia="Calibri" w:hAnsi="Calibri"/>
        </w:rPr>
        <w:t xml:space="preserve">5.1 The model we are auditing against</w:t>
      </w:r>
    </w:p>
    <w:p>
      <w:pPr>
        <w:spacing w:after="120" w:line="300"/>
      </w:pPr>
      <w:r>
        <w:rPr>
          <w:rFonts w:ascii="Calibri" w:cs="Calibri" w:eastAsia="Calibri" w:hAnsi="Calibri"/>
        </w:rPr>
        <w:t xml:space="preserve">Koray’s internal-link topology splits pages into three roles:</w:t>
      </w:r>
    </w:p>
    <w:p>
      <w:pPr>
        <w:pStyle w:val="ListParagraph"/>
        <w:numPr>
          <w:ilvl w:val="0"/>
          <w:numId w:val="2"/>
        </w:numPr>
        <w:spacing w:after="80"/>
      </w:pPr>
      <w:r>
        <w:rPr>
          <w:rFonts w:ascii="Calibri" w:cs="Calibri" w:eastAsia="Calibri" w:hAnsi="Calibri"/>
          <w:b/>
          <w:bCs/>
        </w:rPr>
        <w:t xml:space="preserve">S (Source) nodes: </w:t>
      </w:r>
      <w:r>
        <w:rPr>
          <w:rFonts w:ascii="Calibri" w:cs="Calibri" w:eastAsia="Calibri" w:hAnsi="Calibri"/>
        </w:rPr>
        <w:t xml:space="preserve">the homepage and section hubs — maximum authority, few outbound internal links, every link is deliberate.</w:t>
      </w:r>
    </w:p>
    <w:p>
      <w:pPr>
        <w:pStyle w:val="ListParagraph"/>
        <w:numPr>
          <w:ilvl w:val="0"/>
          <w:numId w:val="2"/>
        </w:numPr>
        <w:spacing w:after="80"/>
      </w:pPr>
      <w:r>
        <w:rPr>
          <w:rFonts w:ascii="Calibri" w:cs="Calibri" w:eastAsia="Calibri" w:hAnsi="Calibri"/>
          <w:b/>
          <w:bCs/>
        </w:rPr>
        <w:t xml:space="preserve">C (Category) nodes: </w:t>
      </w:r>
      <w:r>
        <w:rPr>
          <w:rFonts w:ascii="Calibri" w:cs="Calibri" w:eastAsia="Calibri" w:hAnsi="Calibri"/>
        </w:rPr>
        <w:t xml:space="preserve">section indexes (e.g. /medical-billing/services/) — hub between S and I.</w:t>
      </w:r>
    </w:p>
    <w:p>
      <w:pPr>
        <w:pStyle w:val="ListParagraph"/>
        <w:numPr>
          <w:ilvl w:val="0"/>
          <w:numId w:val="2"/>
        </w:numPr>
        <w:spacing w:after="80"/>
      </w:pPr>
      <w:r>
        <w:rPr>
          <w:rFonts w:ascii="Calibri" w:cs="Calibri" w:eastAsia="Calibri" w:hAnsi="Calibri"/>
          <w:b/>
          <w:bCs/>
        </w:rPr>
        <w:t xml:space="preserve">I (Information) nodes: </w:t>
      </w:r>
      <w:r>
        <w:rPr>
          <w:rFonts w:ascii="Calibri" w:cs="Calibri" w:eastAsia="Calibri" w:hAnsi="Calibri"/>
        </w:rPr>
        <w:t xml:space="preserve">individual articles and service pages — many inbound, few outbound, link up to C.</w:t>
      </w:r>
    </w:p>
    <w:p>
      <w:pPr>
        <w:spacing w:after="120" w:line="300"/>
      </w:pPr>
      <w:r>
        <w:rPr>
          <w:rFonts w:ascii="Calibri" w:cs="Calibri" w:eastAsia="Calibri" w:hAnsi="Calibri"/>
        </w:rPr>
        <w:t xml:space="preserve">A healthy site is a Strongly Connected Component where S → C → I is always reachable in at most 2 clicks and no I is orphaned.</w:t>
      </w:r>
    </w:p>
    <w:p>
      <w:pPr>
        <w:pStyle w:val="Heading2"/>
        <w:spacing w:after="120" w:before="240"/>
      </w:pPr>
      <w:r>
        <w:rPr>
          <w:rFonts w:ascii="Calibri" w:cs="Calibri" w:eastAsia="Calibri" w:hAnsi="Calibri"/>
        </w:rPr>
        <w:t xml:space="preserve">5.2 What transcure.net’s graph actually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360"/>
      </w:tblGrid>
      <w:tr>
        <w:trPr>
          <w:tblHeader/>
        </w:trPr>
        <w:tc>
          <w:tcPr>
            <w:tcW w:type="dxa" w:w="31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Observation</w:t>
            </w:r>
          </w:p>
        </w:tc>
        <w:tc>
          <w:tcPr>
            <w:tcW w:type="dxa" w:w="29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Evidence</w:t>
            </w:r>
          </w:p>
        </w:tc>
        <w:tc>
          <w:tcPr>
            <w:tcW w:type="dxa" w:w="336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Koray-framework consequence</w:t>
            </w:r>
          </w:p>
        </w:tc>
      </w:tr>
      <w:tr>
        <w:tc>
          <w:tcPr>
            <w:tcW w:type="dxa" w:w="31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Dead URL </w:t>
            </w:r>
          </w:p>
        </w:tc>
        <w:tc>
          <w:tcPr>
            <w:tcW w:type="dxa" w:w="29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onsolas" w:cs="Consolas" w:eastAsia="Consolas" w:hAnsi="Consolas"/>
                <w:sz w:val="20"/>
                <w:szCs w:val="20"/>
              </w:rPr>
              <w:t xml:space="preserve">/states/medical-billing-services-in-california/</w:t>
            </w:r>
          </w:p>
        </w:tc>
        <w:tc>
          <w:tcPr>
            <w:tcW w:type="dxa" w:w="3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 receives 556 internal links — a 301 should not be an I-node target.</w:t>
            </w:r>
          </w:p>
        </w:tc>
        <w:tc>
          <w:tcPr>
            <w:tcW w:type="dxa" w:w="312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556 inbound internal links logged in site-explorer-linked-anchors-internal; URL returns 301</w:t>
            </w:r>
          </w:p>
        </w:tc>
        <w:tc>
          <w:tcPr>
            <w:tcW w:type="dxa" w:w="312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Every one of those links passes diluted PageRank through a redirect hop. Sitewide loss of link equity. The canonical target loses ~15% of the equity in each hop.</w:t>
            </w:r>
          </w:p>
        </w:tc>
      </w:tr>
      <w:tr>
        <w:tc>
          <w:tcPr>
            <w:tcW w:type="dxa" w:w="31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The /states/ C-node links to only 6 state I-nodes</w:t>
            </w:r>
          </w:p>
        </w:tc>
        <w:tc>
          <w:tcPr>
            <w:tcW w:type="dxa" w:w="29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Inspection of /states/ hub HTML</w:t>
            </w:r>
          </w:p>
        </w:tc>
        <w:tc>
          <w:tcPr>
            <w:tcW w:type="dxa" w:w="3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34+ states are orphaned at the C-level. They can only be reached via body-copy links or the sitemap.</w:t>
            </w:r>
          </w:p>
        </w:tc>
      </w:tr>
      <w:tr>
        <w:tc>
          <w:tcPr>
            <w:tcW w:type="dxa" w:w="31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The </w:t>
            </w:r>
          </w:p>
        </w:tc>
        <w:tc>
          <w:tcPr>
            <w:tcW w:type="dxa" w:w="29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onsolas" w:cs="Consolas" w:eastAsia="Consolas" w:hAnsi="Consolas"/>
                <w:sz w:val="20"/>
                <w:szCs w:val="20"/>
              </w:rPr>
              <w:t xml:space="preserve">/medical-billing/companies/</w:t>
            </w:r>
          </w:p>
        </w:tc>
        <w:tc>
          <w:tcPr>
            <w:tcW w:type="dxa" w:w="3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 hub links to ~60 of 132 child listicles</w:t>
            </w:r>
          </w:p>
        </w:tc>
        <w:tc>
          <w:tcPr>
            <w:tcW w:type="dxa" w:w="312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Hub crawl vs. sitemap count</w:t>
            </w:r>
          </w:p>
        </w:tc>
        <w:tc>
          <w:tcPr>
            <w:tcW w:type="dxa" w:w="312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72 of the January publish URLs are effectively orphans — they sit in a sitemap but receive almost no internal PageRank.</w:t>
            </w:r>
          </w:p>
        </w:tc>
      </w:tr>
      <w:tr>
        <w:tc>
          <w:tcPr>
            <w:tcW w:type="dxa" w:w="31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State parent </w:t>
            </w:r>
          </w:p>
        </w:tc>
        <w:tc>
          <w:tcPr>
            <w:tcW w:type="dxa" w:w="29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onsolas" w:cs="Consolas" w:eastAsia="Consolas" w:hAnsi="Consolas"/>
                <w:sz w:val="20"/>
                <w:szCs w:val="20"/>
              </w:rPr>
              <w:t xml:space="preserve">/medical-billing/companies/texas/</w:t>
            </w:r>
          </w:p>
        </w:tc>
        <w:tc>
          <w:tcPr>
            <w:tcW w:type="dxa" w:w="3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 makes 0 links to its city children</w:t>
            </w:r>
          </w:p>
        </w:tc>
        <w:tc>
          <w:tcPr>
            <w:tcW w:type="dxa" w:w="312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Page HTML inspection</w:t>
            </w:r>
          </w:p>
        </w:tc>
        <w:tc>
          <w:tcPr>
            <w:tcW w:type="dxa" w:w="312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The city listicles are double-orphaned — no parent link, no sibling links.</w:t>
            </w:r>
          </w:p>
        </w:tc>
      </w:tr>
      <w:tr>
        <w:tc>
          <w:tcPr>
            <w:tcW w:type="dxa" w:w="31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Specialty URLs link to specialty URLs using 4 different anchor texts for the same target (and the same anchor text for 3 different targets)</w:t>
            </w:r>
          </w:p>
        </w:tc>
        <w:tc>
          <w:tcPr>
            <w:tcW w:type="dxa" w:w="29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Anchors scan across top 50 specialty pages</w:t>
            </w:r>
          </w:p>
        </w:tc>
        <w:tc>
          <w:tcPr>
            <w:tcW w:type="dxa" w:w="3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Anchor-text dilution — Google cannot resolve which URL is the canonical ‘cardiology medical billing’ entity.</w:t>
            </w:r>
          </w:p>
        </w:tc>
      </w:tr>
    </w:tbl>
    <w:p>
      <w:pPr>
        <w:pStyle w:val="Heading2"/>
        <w:spacing w:after="120" w:before="240"/>
      </w:pPr>
      <w:r>
        <w:rPr>
          <w:rFonts w:ascii="Calibri" w:cs="Calibri" w:eastAsia="Calibri" w:hAnsi="Calibri"/>
        </w:rPr>
        <w:t xml:space="preserve">5.3 Anchor-text discipline (the rule to adopt)</w:t>
      </w:r>
    </w:p>
    <w:p>
      <w:pPr>
        <w:pStyle w:val="ListParagraph"/>
        <w:numPr>
          <w:ilvl w:val="0"/>
          <w:numId w:val="2"/>
        </w:numPr>
        <w:spacing w:after="80"/>
      </w:pPr>
      <w:r>
        <w:rPr>
          <w:rFonts w:ascii="Calibri" w:cs="Calibri" w:eastAsia="Calibri" w:hAnsi="Calibri"/>
          <w:b/>
          <w:bCs/>
        </w:rPr>
        <w:t xml:space="preserve">Never</w:t>
      </w:r>
      <w:r>
        <w:rPr>
          <w:rFonts w:ascii="Calibri" w:cs="Calibri" w:eastAsia="Calibri" w:hAnsi="Calibri"/>
        </w:rPr>
        <w:t xml:space="preserve"> use the same anchor text for two different targets.</w:t>
      </w:r>
    </w:p>
    <w:p>
      <w:pPr>
        <w:pStyle w:val="ListParagraph"/>
        <w:numPr>
          <w:ilvl w:val="0"/>
          <w:numId w:val="2"/>
        </w:numPr>
        <w:spacing w:after="80"/>
      </w:pPr>
      <w:r>
        <w:rPr>
          <w:rFonts w:ascii="Calibri" w:cs="Calibri" w:eastAsia="Calibri" w:hAnsi="Calibri"/>
          <w:b/>
          <w:bCs/>
        </w:rPr>
        <w:t xml:space="preserve">Never</w:t>
      </w:r>
      <w:r>
        <w:rPr>
          <w:rFonts w:ascii="Calibri" w:cs="Calibri" w:eastAsia="Calibri" w:hAnsi="Calibri"/>
        </w:rPr>
        <w:t xml:space="preserve"> use two different anchor texts for the same target more than, say, 30% of the time — one primary, one branded, one generic at most.</w:t>
      </w:r>
    </w:p>
    <w:p>
      <w:pPr>
        <w:pStyle w:val="ListParagraph"/>
        <w:numPr>
          <w:ilvl w:val="0"/>
          <w:numId w:val="2"/>
        </w:numPr>
        <w:spacing w:after="80"/>
      </w:pPr>
      <w:r>
        <w:rPr>
          <w:rFonts w:ascii="Calibri" w:cs="Calibri" w:eastAsia="Calibri" w:hAnsi="Calibri"/>
          <w:b/>
          <w:bCs/>
        </w:rPr>
        <w:t xml:space="preserve">Always</w:t>
      </w:r>
      <w:r>
        <w:rPr>
          <w:rFonts w:ascii="Calibri" w:cs="Calibri" w:eastAsia="Calibri" w:hAnsi="Calibri"/>
        </w:rPr>
        <w:t xml:space="preserve"> link up (I → C, C → S) and laterally (I ↔ I in the same micro-topic), never randomly.</w:t>
      </w:r>
    </w:p>
    <w:p>
      <w:pPr>
        <w:pStyle w:val="Heading2"/>
        <w:spacing w:after="120" w:before="240"/>
      </w:pPr>
      <w:r>
        <w:rPr>
          <w:rFonts w:ascii="Calibri" w:cs="Calibri" w:eastAsia="Calibri" w:hAnsi="Calibri"/>
        </w:rPr>
        <w:t xml:space="preserve">5.4 The remediation plan — graph surgery</w:t>
      </w:r>
    </w:p>
    <w:p>
      <w:pPr>
        <w:pStyle w:val="ListParagraph"/>
        <w:numPr>
          <w:ilvl w:val="0"/>
          <w:numId w:val="3"/>
        </w:numPr>
        <w:spacing w:after="80"/>
      </w:pPr>
      <w:r>
        <w:rPr>
          <w:rFonts w:ascii="Calibri" w:cs="Calibri" w:eastAsia="Calibri" w:hAnsi="Calibri"/>
          <w:b/>
          <w:bCs/>
        </w:rPr>
        <w:t xml:space="preserve">Build the target graph on paper first. </w:t>
      </w:r>
      <w:r>
        <w:rPr>
          <w:rFonts w:ascii="Calibri" w:cs="Calibri" w:eastAsia="Calibri" w:hAnsi="Calibri"/>
        </w:rPr>
        <w:t xml:space="preserve">For each entity family, draw S → C → I. Only after the target is agreed do you change any link.</w:t>
      </w:r>
    </w:p>
    <w:p>
      <w:pPr>
        <w:pStyle w:val="ListParagraph"/>
        <w:numPr>
          <w:ilvl w:val="0"/>
          <w:numId w:val="3"/>
        </w:numPr>
        <w:spacing w:after="80"/>
      </w:pPr>
      <w:r>
        <w:rPr>
          <w:rFonts w:ascii="Calibri" w:cs="Calibri" w:eastAsia="Calibri" w:hAnsi="Calibri"/>
          <w:b/>
          <w:bCs/>
        </w:rPr>
        <w:t xml:space="preserve">Re-wire the /states/ C-node: </w:t>
      </w:r>
      <w:r>
        <w:rPr>
          <w:rFonts w:ascii="Calibri" w:cs="Calibri" w:eastAsia="Calibri" w:hAnsi="Calibri"/>
        </w:rPr>
        <w:t xml:space="preserve">it must link to exactly one canonical URL per priority state (17 URLs, from §1.2). Drop all links to 301s, drop links to dead city pages.</w:t>
      </w:r>
    </w:p>
    <w:p>
      <w:pPr>
        <w:pStyle w:val="ListParagraph"/>
        <w:numPr>
          <w:ilvl w:val="0"/>
          <w:numId w:val="3"/>
        </w:numPr>
        <w:spacing w:after="80"/>
      </w:pPr>
      <w:r>
        <w:rPr>
          <w:rFonts w:ascii="Calibri" w:cs="Calibri" w:eastAsia="Calibri" w:hAnsi="Calibri"/>
          <w:b/>
          <w:bCs/>
        </w:rPr>
        <w:t xml:space="preserve">Re-wire /medical-billing/services/ C-node: </w:t>
      </w:r>
      <w:r>
        <w:rPr>
          <w:rFonts w:ascii="Calibri" w:cs="Calibri" w:eastAsia="Calibri" w:hAnsi="Calibri"/>
        </w:rPr>
        <w:t xml:space="preserve">it must link to exactly one canonical URL per priority specialty (12 URLs) and one per priority EMR (10 URLs).</w:t>
      </w:r>
    </w:p>
    <w:p>
      <w:pPr>
        <w:pStyle w:val="ListParagraph"/>
        <w:numPr>
          <w:ilvl w:val="0"/>
          <w:numId w:val="3"/>
        </w:numPr>
        <w:spacing w:after="80"/>
      </w:pPr>
      <w:r>
        <w:rPr>
          <w:rFonts w:ascii="Calibri" w:cs="Calibri" w:eastAsia="Calibri" w:hAnsi="Calibri"/>
          <w:b/>
          <w:bCs/>
        </w:rPr>
        <w:t xml:space="preserve">Kill the /medical-billing/companies/ hub: </w:t>
      </w:r>
      <w:r>
        <w:rPr>
          <w:rFonts w:ascii="Calibri" w:cs="Calibri" w:eastAsia="Calibri" w:hAnsi="Calibri"/>
        </w:rPr>
        <w:t xml:space="preserve">remove from nav, 410 the URL. Do not keep a crippled hub in the live site.</w:t>
      </w:r>
    </w:p>
    <w:p>
      <w:pPr>
        <w:pStyle w:val="ListParagraph"/>
        <w:numPr>
          <w:ilvl w:val="0"/>
          <w:numId w:val="3"/>
        </w:numPr>
        <w:spacing w:after="80"/>
      </w:pPr>
      <w:r>
        <w:rPr>
          <w:rFonts w:ascii="Calibri" w:cs="Calibri" w:eastAsia="Calibri" w:hAnsi="Calibri"/>
          <w:b/>
          <w:bCs/>
        </w:rPr>
        <w:t xml:space="preserve">Contextual body links: </w:t>
      </w:r>
      <w:r>
        <w:rPr>
          <w:rFonts w:ascii="Calibri" w:cs="Calibri" w:eastAsia="Calibri" w:hAnsi="Calibri"/>
        </w:rPr>
        <w:t xml:space="preserve">for each I-node, add 3 outbound links to sibling I-nodes in the same micro-topic (same specialty, same state, or same EMR). This is the Contextual Bridge — it is what makes a cluster a Strongly Connected Component rather than a star.</w:t>
      </w:r>
    </w:p>
    <w:p>
      <w:r>
        <w:br w:type="page"/>
      </w:r>
    </w:p>
    <w:p>
      <w:pPr>
        <w:pStyle w:val="Heading1"/>
        <w:spacing w:after="160" w:before="320"/>
      </w:pPr>
      <w:r>
        <w:rPr>
          <w:rFonts w:ascii="Calibri" w:cs="Calibri" w:eastAsia="Calibri" w:hAnsi="Calibri"/>
        </w:rPr>
        <w:t xml:space="preserve">6 — Koray pillar 4 — Content writing &amp; E-E-A-T</w:t>
      </w:r>
    </w:p>
    <w:p>
      <w:pPr>
        <w:pStyle w:val="Heading2"/>
        <w:spacing w:after="120" w:before="240"/>
      </w:pPr>
      <w:r>
        <w:rPr>
          <w:rFonts w:ascii="Calibri" w:cs="Calibri" w:eastAsia="Calibri" w:hAnsi="Calibri"/>
        </w:rPr>
        <w:t xml:space="preserve">6.1 Template-collision audit</w:t>
      </w:r>
    </w:p>
    <w:p>
      <w:pPr>
        <w:spacing w:after="120" w:line="300"/>
      </w:pPr>
      <w:r>
        <w:rPr>
          <w:rFonts w:ascii="Calibri" w:cs="Calibri" w:eastAsia="Calibri" w:hAnsi="Calibri"/>
        </w:rPr>
        <w:t xml:space="preserve">Across the 132 listicles, the body text follows a single template (‘intro paragraph → list of 10 companies → FAQ → CTA’) with city or state name substituted. Cosine similarity between any two city variants of the same state is &gt; 0.92 — well into the ‘templated thin content’ band Google’s quality classifiers demote.</w:t>
      </w:r>
    </w:p>
    <w:p>
      <w:pPr>
        <w:pStyle w:val="Heading2"/>
        <w:spacing w:after="120" w:before="240"/>
      </w:pPr>
      <w:r>
        <w:rPr>
          <w:rFonts w:ascii="Calibri" w:cs="Calibri" w:eastAsia="Calibri" w:hAnsi="Calibri"/>
        </w:rPr>
        <w:t xml:space="preserve">6.2 Missing E-E-A-T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Signal</w:t>
            </w:r>
          </w:p>
        </w:tc>
        <w:tc>
          <w:tcPr>
            <w:tcW w:type="dxa" w:w="24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Present on transcure.net?</w:t>
            </w:r>
          </w:p>
        </w:tc>
        <w:tc>
          <w:tcPr>
            <w:tcW w:type="dxa" w:w="436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Koray / Google guidance</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Author byline with bio</w:t>
            </w:r>
          </w:p>
        </w:tc>
        <w:tc>
          <w:tcPr>
            <w:tcW w:type="dxa" w:w="2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b/>
                <w:bCs/>
                <w:color w:val="B00020"/>
              </w:rPr>
              <w:t xml:space="preserve">No — 0% of audited pages</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YMYL content (medical-billing is adjacent to medical/financial) requires a named, credentialed author.</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Author/Person schema</w:t>
            </w:r>
          </w:p>
        </w:tc>
        <w:tc>
          <w:tcPr>
            <w:tcW w:type="dxa" w:w="2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b/>
                <w:bCs/>
                <w:color w:val="B00020"/>
              </w:rPr>
              <w:t xml:space="preserve">No — 0 instances</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Required for Google to associate content with an expert entity.</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Medically-reviewed stamp</w:t>
            </w:r>
          </w:p>
        </w:tc>
        <w:tc>
          <w:tcPr>
            <w:tcW w:type="dxa" w:w="2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b/>
                <w:bCs/>
                <w:color w:val="B00020"/>
              </w:rPr>
              <w:t xml:space="preserve">No</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Not universally expected for billing content, but ‘written by a coder’ / ‘reviewed by a billing manager’ stamp would strengthen the cluster.</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Original research / first-party data</w:t>
            </w:r>
          </w:p>
        </w:tc>
        <w:tc>
          <w:tcPr>
            <w:tcW w:type="dxa" w:w="2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b/>
                <w:bCs/>
                <w:color w:val="B00020"/>
              </w:rPr>
              <w:t xml:space="preserve">No — all numbers are industry-aggregates</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Original data is the single strongest E-E-A-T signal.</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Citations to primary sources (AMA, CMS, AAPC)</w:t>
            </w:r>
          </w:p>
        </w:tc>
        <w:tc>
          <w:tcPr>
            <w:tcW w:type="dxa" w:w="2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Partial — some articles cite, most don’t</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Every billing article should cite CMS/AMA/AAPC at least once.</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ItemList schema on listicles</w:t>
            </w:r>
          </w:p>
        </w:tc>
        <w:tc>
          <w:tcPr>
            <w:tcW w:type="dxa" w:w="2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b/>
                <w:bCs/>
                <w:color w:val="B00020"/>
              </w:rPr>
              <w:t xml:space="preserve">No</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Required for listicle rich results.</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Review schema on company listicles</w:t>
            </w:r>
          </w:p>
        </w:tc>
        <w:tc>
          <w:tcPr>
            <w:tcW w:type="dxa" w:w="2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b/>
                <w:bCs/>
                <w:color w:val="B00020"/>
              </w:rPr>
              <w:t xml:space="preserve">No</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Would signal reviewer intent — but only appropriate if the listicles are kept (see §3.4).</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FAQ schema</w:t>
            </w:r>
          </w:p>
        </w:tc>
        <w:tc>
          <w:tcPr>
            <w:tcW w:type="dxa" w:w="2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Partial — ~30% of service pages have it</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Deploy sitewide on service pages.</w:t>
            </w:r>
          </w:p>
        </w:tc>
      </w:tr>
    </w:tbl>
    <w:p>
      <w:pPr>
        <w:pStyle w:val="Heading2"/>
        <w:spacing w:after="120" w:before="240"/>
      </w:pPr>
      <w:r>
        <w:rPr>
          <w:rFonts w:ascii="Calibri" w:cs="Calibri" w:eastAsia="Calibri" w:hAnsi="Calibri"/>
        </w:rPr>
        <w:t xml:space="preserve">6.3 Title / H1 / meta discipline</w:t>
      </w:r>
    </w:p>
    <w:p>
      <w:pPr>
        <w:pStyle w:val="ListParagraph"/>
        <w:numPr>
          <w:ilvl w:val="0"/>
          <w:numId w:val="2"/>
        </w:numPr>
        <w:spacing w:after="80"/>
      </w:pPr>
      <w:r>
        <w:rPr>
          <w:rFonts w:ascii="Calibri" w:cs="Calibri" w:eastAsia="Calibri" w:hAnsi="Calibri"/>
          <w:b/>
          <w:bCs/>
        </w:rPr>
        <w:t xml:space="preserve">Double H1 on </w:t>
      </w:r>
      <w:r>
        <w:rPr>
          <w:rFonts w:ascii="Consolas" w:cs="Consolas" w:eastAsia="Consolas" w:hAnsi="Consolas"/>
          <w:sz w:val="20"/>
          <w:szCs w:val="20"/>
        </w:rPr>
        <w:t xml:space="preserve">/medical-billing/services/texas/</w:t>
      </w:r>
      <w:r>
        <w:rPr>
          <w:rFonts w:ascii="Calibri" w:cs="Calibri" w:eastAsia="Calibri" w:hAnsi="Calibri"/>
        </w:rPr>
        <w:t xml:space="preserve"> — the template puts the page title inside both a </w:t>
      </w:r>
      <w:r>
        <w:rPr>
          <w:rFonts w:ascii="Consolas" w:cs="Consolas" w:eastAsia="Consolas" w:hAnsi="Consolas"/>
          <w:sz w:val="20"/>
          <w:szCs w:val="20"/>
        </w:rPr>
        <w:t xml:space="preserve">&lt;h1&gt;</w:t>
      </w:r>
      <w:r>
        <w:rPr>
          <w:rFonts w:ascii="Calibri" w:cs="Calibri" w:eastAsia="Calibri" w:hAnsi="Calibri"/>
        </w:rPr>
        <w:t xml:space="preserve"> in the hero and the breadcrumb header.</w:t>
      </w:r>
    </w:p>
    <w:p>
      <w:pPr>
        <w:pStyle w:val="ListParagraph"/>
        <w:numPr>
          <w:ilvl w:val="0"/>
          <w:numId w:val="2"/>
        </w:numPr>
        <w:spacing w:after="80"/>
      </w:pPr>
      <w:r>
        <w:rPr>
          <w:rFonts w:ascii="Calibri" w:cs="Calibri" w:eastAsia="Calibri" w:hAnsi="Calibri"/>
          <w:b/>
          <w:bCs/>
        </w:rPr>
        <w:t xml:space="preserve">Duplicate titles: </w:t>
      </w:r>
      <w:r>
        <w:rPr>
          <w:rFonts w:ascii="Calibri" w:cs="Calibri" w:eastAsia="Calibri" w:hAnsi="Calibri"/>
        </w:rPr>
        <w:t xml:space="preserve">Ahrefs audit shows 26 duplicate </w:t>
      </w:r>
      <w:r>
        <w:rPr>
          <w:rFonts w:ascii="Consolas" w:cs="Consolas" w:eastAsia="Consolas" w:hAnsi="Consolas"/>
          <w:sz w:val="20"/>
          <w:szCs w:val="20"/>
        </w:rPr>
        <w:t xml:space="preserve">&lt;title&gt;</w:t>
      </w:r>
      <w:r>
        <w:rPr>
          <w:rFonts w:ascii="Calibri" w:cs="Calibri" w:eastAsia="Calibri" w:hAnsi="Calibri"/>
        </w:rPr>
        <w:t xml:space="preserve"> pairs, concentrated in the specialty and EMR clones.</w:t>
      </w:r>
    </w:p>
    <w:p>
      <w:pPr>
        <w:pStyle w:val="ListParagraph"/>
        <w:numPr>
          <w:ilvl w:val="0"/>
          <w:numId w:val="2"/>
        </w:numPr>
        <w:spacing w:after="80"/>
      </w:pPr>
      <w:r>
        <w:rPr>
          <w:rFonts w:ascii="Calibri" w:cs="Calibri" w:eastAsia="Calibri" w:hAnsi="Calibri"/>
          <w:b/>
          <w:bCs/>
        </w:rPr>
        <w:t xml:space="preserve">Meta descriptions templated: </w:t>
      </w:r>
      <w:r>
        <w:rPr>
          <w:rFonts w:ascii="Calibri" w:cs="Calibri" w:eastAsia="Calibri" w:hAnsi="Calibri"/>
        </w:rPr>
        <w:t xml:space="preserve">~70% of the /companies/ listicles share a near-identical meta, which is the lever Google uses to decide which to show — and often shows none, collapsing CTR.</w:t>
      </w:r>
    </w:p>
    <w:p>
      <w:pPr>
        <w:pStyle w:val="Heading2"/>
        <w:spacing w:after="120" w:before="240"/>
      </w:pPr>
      <w:r>
        <w:rPr>
          <w:rFonts w:ascii="Calibri" w:cs="Calibri" w:eastAsia="Calibri" w:hAnsi="Calibri"/>
        </w:rPr>
        <w:t xml:space="preserve">6.4 Solution — a content-quality floor for every new page</w:t>
      </w:r>
    </w:p>
    <w:p>
      <w:pPr>
        <w:pStyle w:val="ListParagraph"/>
        <w:numPr>
          <w:ilvl w:val="0"/>
          <w:numId w:val="3"/>
        </w:numPr>
        <w:spacing w:after="80"/>
      </w:pPr>
      <w:r>
        <w:rPr>
          <w:rFonts w:ascii="Calibri" w:cs="Calibri" w:eastAsia="Calibri" w:hAnsi="Calibri"/>
          <w:b/>
          <w:bCs/>
        </w:rPr>
        <w:t xml:space="preserve">Named author with credentials </w:t>
      </w:r>
      <w:r>
        <w:rPr>
          <w:rFonts w:ascii="Calibri" w:cs="Calibri" w:eastAsia="Calibri" w:hAnsi="Calibri"/>
        </w:rPr>
        <w:t xml:space="preserve">(RCM manager, certified coder, revenue-cycle director).</w:t>
      </w:r>
    </w:p>
    <w:p>
      <w:pPr>
        <w:pStyle w:val="ListParagraph"/>
        <w:numPr>
          <w:ilvl w:val="0"/>
          <w:numId w:val="3"/>
        </w:numPr>
        <w:spacing w:after="80"/>
      </w:pPr>
      <w:r>
        <w:rPr>
          <w:rFonts w:ascii="Calibri" w:cs="Calibri" w:eastAsia="Calibri" w:hAnsi="Calibri"/>
          <w:b/>
          <w:bCs/>
        </w:rPr>
        <w:t xml:space="preserve">A primary-source citation </w:t>
      </w:r>
      <w:r>
        <w:rPr>
          <w:rFonts w:ascii="Calibri" w:cs="Calibri" w:eastAsia="Calibri" w:hAnsi="Calibri"/>
        </w:rPr>
        <w:t xml:space="preserve">within the first 300 words (AMA, CMS, AAPC, HHS, state Medicaid).</w:t>
      </w:r>
    </w:p>
    <w:p>
      <w:pPr>
        <w:pStyle w:val="ListParagraph"/>
        <w:numPr>
          <w:ilvl w:val="0"/>
          <w:numId w:val="3"/>
        </w:numPr>
        <w:spacing w:after="80"/>
      </w:pPr>
      <w:r>
        <w:rPr>
          <w:rFonts w:ascii="Calibri" w:cs="Calibri" w:eastAsia="Calibri" w:hAnsi="Calibri"/>
          <w:b/>
          <w:bCs/>
        </w:rPr>
        <w:t xml:space="preserve">At least one first-party element </w:t>
      </w:r>
      <w:r>
        <w:rPr>
          <w:rFonts w:ascii="Calibri" w:cs="Calibri" w:eastAsia="Calibri" w:hAnsi="Calibri"/>
        </w:rPr>
        <w:t xml:space="preserve">(a screenshot of a real denial, a real EOB, a real CPT lookup, or original survey data).</w:t>
      </w:r>
    </w:p>
    <w:p>
      <w:pPr>
        <w:pStyle w:val="ListParagraph"/>
        <w:numPr>
          <w:ilvl w:val="0"/>
          <w:numId w:val="3"/>
        </w:numPr>
        <w:spacing w:after="80"/>
      </w:pPr>
      <w:r>
        <w:rPr>
          <w:rFonts w:ascii="Calibri" w:cs="Calibri" w:eastAsia="Calibri" w:hAnsi="Calibri"/>
          <w:b/>
          <w:bCs/>
        </w:rPr>
        <w:t xml:space="preserve">Unique intro and unique FAQ per URL </w:t>
      </w:r>
      <w:r>
        <w:rPr>
          <w:rFonts w:ascii="Calibri" w:cs="Calibri" w:eastAsia="Calibri" w:hAnsi="Calibri"/>
        </w:rPr>
        <w:t xml:space="preserve">— never template-substitute city/state names.</w:t>
      </w:r>
    </w:p>
    <w:p>
      <w:pPr>
        <w:pStyle w:val="ListParagraph"/>
        <w:numPr>
          <w:ilvl w:val="0"/>
          <w:numId w:val="3"/>
        </w:numPr>
        <w:spacing w:after="80"/>
      </w:pPr>
      <w:r>
        <w:rPr>
          <w:rFonts w:ascii="Calibri" w:cs="Calibri" w:eastAsia="Calibri" w:hAnsi="Calibri"/>
          <w:b/>
          <w:bCs/>
        </w:rPr>
        <w:t xml:space="preserve">Schema: </w:t>
      </w:r>
      <w:r>
        <w:rPr>
          <w:rFonts w:ascii="Calibri" w:cs="Calibri" w:eastAsia="Calibri" w:hAnsi="Calibri"/>
        </w:rPr>
        <w:t xml:space="preserve">Article + Person (for the author) + FAQ. Listicles additionally need ItemList (and Review only if the listicle is legitimate).</w:t>
      </w:r>
    </w:p>
    <w:p>
      <w:r>
        <w:br w:type="page"/>
      </w:r>
    </w:p>
    <w:p>
      <w:pPr>
        <w:pStyle w:val="Heading1"/>
        <w:spacing w:after="160" w:before="320"/>
      </w:pPr>
      <w:r>
        <w:rPr>
          <w:rFonts w:ascii="Calibri" w:cs="Calibri" w:eastAsia="Calibri" w:hAnsi="Calibri"/>
        </w:rPr>
        <w:t xml:space="preserve">7 — Koray pillar 5 — Historical Data &amp; Re-ranking</w:t>
      </w:r>
    </w:p>
    <w:p>
      <w:pPr>
        <w:pStyle w:val="Heading2"/>
        <w:spacing w:after="120" w:before="240"/>
      </w:pPr>
      <w:r>
        <w:rPr>
          <w:rFonts w:ascii="Calibri" w:cs="Calibri" w:eastAsia="Calibri" w:hAnsi="Calibri"/>
        </w:rPr>
        <w:t xml:space="preserve">7.1 The mechanism</w:t>
      </w:r>
    </w:p>
    <w:p>
      <w:pPr>
        <w:spacing w:after="120" w:line="300"/>
      </w:pPr>
      <w:r>
        <w:rPr>
          <w:rFonts w:ascii="Calibri" w:cs="Calibri" w:eastAsia="Calibri" w:hAnsi="Calibri"/>
        </w:rPr>
        <w:t xml:space="preserve">Koray models rank as Topical Coverage × Historical Data. Historical Data is the accumulated record of how users behave on each URL (click, dwell, scroll, return-to-SERP, re-query) relative to how Google expected them to behave. Publishing into an entity family that already has 4–5 competing URLs resets the Historical-Data clock for all of them — none of the siblings can accumulate a clean record.</w:t>
      </w:r>
    </w:p>
    <w:p>
      <w:pPr>
        <w:pStyle w:val="Heading2"/>
        <w:spacing w:after="120" w:before="240"/>
      </w:pPr>
      <w:r>
        <w:rPr>
          <w:rFonts w:ascii="Calibri" w:cs="Calibri" w:eastAsia="Calibri" w:hAnsi="Calibri"/>
        </w:rPr>
        <w:t xml:space="preserve">7.2 Transcure’s current Historical-Data state</w:t>
      </w:r>
    </w:p>
    <w:p>
      <w:pPr>
        <w:pStyle w:val="ListParagraph"/>
        <w:numPr>
          <w:ilvl w:val="0"/>
          <w:numId w:val="2"/>
        </w:numPr>
        <w:spacing w:after="80"/>
      </w:pPr>
      <w:r>
        <w:rPr>
          <w:rFonts w:ascii="Calibri" w:cs="Calibri" w:eastAsia="Calibri" w:hAnsi="Calibri"/>
          <w:b/>
          <w:bCs/>
        </w:rPr>
        <w:t xml:space="preserve">Fragmented: </w:t>
      </w:r>
      <w:r>
        <w:rPr>
          <w:rFonts w:ascii="Calibri" w:cs="Calibri" w:eastAsia="Calibri" w:hAnsi="Calibri"/>
        </w:rPr>
        <w:t xml:space="preserve">every priority entity has 5+ URLs sharing split signals.</w:t>
      </w:r>
    </w:p>
    <w:p>
      <w:pPr>
        <w:pStyle w:val="ListParagraph"/>
        <w:numPr>
          <w:ilvl w:val="0"/>
          <w:numId w:val="2"/>
        </w:numPr>
        <w:spacing w:after="80"/>
      </w:pPr>
      <w:r>
        <w:rPr>
          <w:rFonts w:ascii="Calibri" w:cs="Calibri" w:eastAsia="Calibri" w:hAnsi="Calibri"/>
          <w:b/>
          <w:bCs/>
        </w:rPr>
        <w:t xml:space="preserve">Negative for the /companies/ cluster: </w:t>
      </w:r>
      <w:r>
        <w:rPr>
          <w:rFonts w:ascii="Calibri" w:cs="Calibri" w:eastAsia="Calibri" w:hAnsi="Calibri"/>
        </w:rPr>
        <w:t xml:space="preserve">0.37% CTR on 19 Jan is now the ‘expected’ behaviour Google has learned for those URLs.</w:t>
      </w:r>
    </w:p>
    <w:p>
      <w:pPr>
        <w:pStyle w:val="ListParagraph"/>
        <w:numPr>
          <w:ilvl w:val="0"/>
          <w:numId w:val="2"/>
        </w:numPr>
        <w:spacing w:after="80"/>
      </w:pPr>
      <w:r>
        <w:rPr>
          <w:rFonts w:ascii="Calibri" w:cs="Calibri" w:eastAsia="Calibri" w:hAnsi="Calibri"/>
          <w:b/>
          <w:bCs/>
        </w:rPr>
        <w:t xml:space="preserve">Contaminated for the Core section: </w:t>
      </w:r>
      <w:r>
        <w:rPr>
          <w:rFonts w:ascii="Calibri" w:cs="Calibri" w:eastAsia="Calibri" w:hAnsi="Calibri"/>
        </w:rPr>
        <w:t xml:space="preserve">sibling specialty and state URLs lost position in the same window, suggesting site-level quality demotion.</w:t>
      </w:r>
    </w:p>
    <w:p>
      <w:pPr>
        <w:pStyle w:val="Heading2"/>
        <w:spacing w:after="120" w:before="240"/>
      </w:pPr>
      <w:r>
        <w:rPr>
          <w:rFonts w:ascii="Calibri" w:cs="Calibri" w:eastAsia="Calibri" w:hAnsi="Calibri"/>
        </w:rPr>
        <w:t xml:space="preserve">7.3 What ‘fixing Historical Data’ actually means</w:t>
      </w:r>
    </w:p>
    <w:p>
      <w:pPr>
        <w:spacing w:after="120" w:line="300"/>
      </w:pPr>
      <w:r>
        <w:rPr>
          <w:rFonts w:ascii="Calibri" w:cs="Calibri" w:eastAsia="Calibri" w:hAnsi="Calibri"/>
        </w:rPr>
        <w:t xml:space="preserve">You cannot ‘reset’ Historical Data — only consolidate it. When you 301 duplicate-A, duplicate-B, duplicate-C and duplicate-D into canonical-E, Google merges their Historical Data onto E. Over 6–12 weeks, E’s record stops being ‘four confused siblings’ and starts being ‘one authoritative entity’. Rank follows.</w:t>
      </w:r>
    </w:p>
    <w:p>
      <w:pPr>
        <w:pStyle w:val="Heading2"/>
        <w:spacing w:after="120" w:before="240"/>
      </w:pPr>
      <w:r>
        <w:rPr>
          <w:rFonts w:ascii="Calibri" w:cs="Calibri" w:eastAsia="Calibri" w:hAnsi="Calibri"/>
        </w:rPr>
        <w:t xml:space="preserve">7.4 The Sandbox-escape checklist</w:t>
      </w:r>
    </w:p>
    <w:p>
      <w:pPr>
        <w:spacing w:after="120" w:line="300"/>
      </w:pPr>
      <w:r>
        <w:rPr>
          <w:rFonts w:ascii="Calibri" w:cs="Calibri" w:eastAsia="Calibri" w:hAnsi="Calibri"/>
        </w:rPr>
        <w:t xml:space="preserve">Transcure is not in a fresh-domain Google Sandbox (the domain has been ranking for years), but the /medical-billing/companies/ cluster IS in a quality sandbox as of 19 Jan 2026. Koray’s four escape factors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Factor</w:t>
            </w:r>
          </w:p>
        </w:tc>
        <w:tc>
          <w:tcPr>
            <w:tcW w:type="dxa" w:w="34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Transcure status</w:t>
            </w:r>
          </w:p>
        </w:tc>
        <w:tc>
          <w:tcPr>
            <w:tcW w:type="dxa" w:w="406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Action</w:t>
            </w:r>
          </w:p>
        </w:tc>
      </w:tr>
      <w:tr>
        <w:tc>
          <w:tcPr>
            <w:tcW w:type="dxa" w:w="19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Brand Power</w:t>
            </w:r>
          </w:p>
        </w:tc>
        <w:tc>
          <w:tcPr>
            <w:tcW w:type="dxa" w:w="3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Medium — ~3.2K branded queries/month in Ahrefs</w:t>
            </w:r>
          </w:p>
        </w:tc>
        <w:tc>
          <w:tcPr>
            <w:tcW w:type="dxa" w:w="40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Increase via PR and branded anchor text on new backlinks. Link internal ‘About the author’ bios to named LinkedIn profiles.</w:t>
            </w:r>
          </w:p>
        </w:tc>
      </w:tr>
      <w:tr>
        <w:tc>
          <w:tcPr>
            <w:tcW w:type="dxa" w:w="19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Historical Data</w:t>
            </w:r>
          </w:p>
        </w:tc>
        <w:tc>
          <w:tcPr>
            <w:tcW w:type="dxa" w:w="3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Fragmented — see §7.2</w:t>
            </w:r>
          </w:p>
        </w:tc>
        <w:tc>
          <w:tcPr>
            <w:tcW w:type="dxa" w:w="40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Consolidate via redirects (§4); ship E-E-A-T signals (§6.2).</w:t>
            </w:r>
          </w:p>
        </w:tc>
      </w:tr>
      <w:tr>
        <w:tc>
          <w:tcPr>
            <w:tcW w:type="dxa" w:w="19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Entity Reputation</w:t>
            </w:r>
          </w:p>
        </w:tc>
        <w:tc>
          <w:tcPr>
            <w:tcW w:type="dxa" w:w="3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Weak — no Knowledge Panel, no Person entities in schema</w:t>
            </w:r>
          </w:p>
        </w:tc>
        <w:tc>
          <w:tcPr>
            <w:tcW w:type="dxa" w:w="40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Add Organization schema to homepage with sameAs links to LinkedIn, Crunchbase, BBB. Add Person schema for every author.</w:t>
            </w:r>
          </w:p>
        </w:tc>
      </w:tr>
      <w:tr>
        <w:tc>
          <w:tcPr>
            <w:tcW w:type="dxa" w:w="19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High Impression</w:t>
            </w:r>
          </w:p>
        </w:tc>
        <w:tc>
          <w:tcPr>
            <w:tcW w:type="dxa" w:w="3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Present but negative — 260K imps @ 0.37% CTR signals users are actively rejecting the SERP listing</w:t>
            </w:r>
          </w:p>
        </w:tc>
        <w:tc>
          <w:tcPr>
            <w:tcW w:type="dxa" w:w="40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The 410 + canonical consolidation will stop the bleed; CTR recovery is the metric to watch.</w:t>
            </w:r>
          </w:p>
        </w:tc>
      </w:tr>
    </w:tbl>
    <w:p>
      <w:r>
        <w:br w:type="page"/>
      </w:r>
    </w:p>
    <w:p>
      <w:pPr>
        <w:pStyle w:val="Heading1"/>
        <w:spacing w:after="160" w:before="320"/>
      </w:pPr>
      <w:r>
        <w:rPr>
          <w:rFonts w:ascii="Calibri" w:cs="Calibri" w:eastAsia="Calibri" w:hAnsi="Calibri"/>
        </w:rPr>
        <w:t xml:space="preserve">8 — Koray pillar 6 — Technical hygiene</w:t>
      </w:r>
    </w:p>
    <w:p>
      <w:pPr>
        <w:pStyle w:val="Heading2"/>
        <w:spacing w:after="120" w:before="240"/>
      </w:pPr>
      <w:r>
        <w:rPr>
          <w:rFonts w:ascii="Calibri" w:cs="Calibri" w:eastAsia="Calibri" w:hAnsi="Calibri"/>
        </w:rPr>
        <w:t xml:space="preserve">8.1 Ahrefs Site Audit snapshot</w:t>
      </w:r>
    </w:p>
    <w:p>
      <w:pPr>
        <w:pStyle w:val="ListParagraph"/>
        <w:numPr>
          <w:ilvl w:val="0"/>
          <w:numId w:val="2"/>
        </w:numPr>
        <w:spacing w:after="80"/>
      </w:pPr>
      <w:r>
        <w:rPr>
          <w:rFonts w:ascii="Calibri" w:cs="Calibri" w:eastAsia="Calibri" w:hAnsi="Calibri"/>
          <w:b/>
          <w:bCs/>
        </w:rPr>
        <w:t xml:space="preserve">5,044 URLs crawled</w:t>
      </w:r>
      <w:r>
        <w:rPr>
          <w:rFonts w:ascii="Calibri" w:cs="Calibri" w:eastAsia="Calibri" w:hAnsi="Calibri"/>
        </w:rPr>
        <w:t xml:space="preserve"> (site is larger than the 547 in the sitemap — many non-sitemap URLs are accessible, which is itself a crawl-budget risk).</w:t>
      </w:r>
    </w:p>
    <w:p>
      <w:pPr>
        <w:pStyle w:val="ListParagraph"/>
        <w:numPr>
          <w:ilvl w:val="0"/>
          <w:numId w:val="2"/>
        </w:numPr>
        <w:spacing w:after="80"/>
      </w:pPr>
      <w:r>
        <w:rPr>
          <w:rFonts w:ascii="Calibri" w:cs="Calibri" w:eastAsia="Calibri" w:hAnsi="Calibri"/>
          <w:b/>
          <w:bCs/>
        </w:rPr>
        <w:t xml:space="preserve">434 errors, 956 warnings, 656 notices, health score 91.</w:t>
      </w:r>
      <w:r>
        <w:rPr>
          <w:rFonts w:ascii="Calibri" w:cs="Calibri" w:eastAsia="Calibri" w:hAnsi="Calibri"/>
        </w:rPr>
        <w:t xml:space="preserve"> The erosion from 94→91 maps to the January publish window.</w:t>
      </w:r>
    </w:p>
    <w:p>
      <w:pPr>
        <w:pStyle w:val="ListParagraph"/>
        <w:numPr>
          <w:ilvl w:val="0"/>
          <w:numId w:val="2"/>
        </w:numPr>
        <w:spacing w:after="80"/>
      </w:pPr>
      <w:r>
        <w:rPr>
          <w:rFonts w:ascii="Calibri" w:cs="Calibri" w:eastAsia="Calibri" w:hAnsi="Calibri"/>
          <w:b/>
          <w:bCs/>
        </w:rPr>
        <w:t xml:space="preserve">Duplicate titles: 26 pairs.</w:t>
      </w:r>
      <w:r>
        <w:rPr>
          <w:rFonts w:ascii="Calibri" w:cs="Calibri" w:eastAsia="Calibri" w:hAnsi="Calibri"/>
          <w:b/>
          <w:bCs/>
        </w:rPr>
        <w:t xml:space="preserve"> Duplicate H1s: several.</w:t>
      </w:r>
      <w:r>
        <w:rPr>
          <w:rFonts w:ascii="Calibri" w:cs="Calibri" w:eastAsia="Calibri" w:hAnsi="Calibri"/>
          <w:b/>
          <w:bCs/>
        </w:rPr>
        <w:t xml:space="preserve"> Double H1 on /medical-billing/services/texas/ </w:t>
      </w:r>
      <w:r>
        <w:rPr>
          <w:rFonts w:ascii="Calibri" w:cs="Calibri" w:eastAsia="Calibri" w:hAnsi="Calibri"/>
        </w:rPr>
        <w:t xml:space="preserve">(and likely on other state service pages built from the same template).</w:t>
      </w:r>
    </w:p>
    <w:p>
      <w:pPr>
        <w:pStyle w:val="ListParagraph"/>
        <w:numPr>
          <w:ilvl w:val="0"/>
          <w:numId w:val="2"/>
        </w:numPr>
        <w:spacing w:after="80"/>
      </w:pPr>
      <w:r>
        <w:rPr>
          <w:rFonts w:ascii="Calibri" w:cs="Calibri" w:eastAsia="Calibri" w:hAnsi="Calibri"/>
          <w:b/>
          <w:bCs/>
        </w:rPr>
        <w:t xml:space="preserve">3xx chains: </w:t>
      </w:r>
      <w:r>
        <w:rPr>
          <w:rFonts w:ascii="Calibri" w:cs="Calibri" w:eastAsia="Calibri" w:hAnsi="Calibri"/>
        </w:rPr>
        <w:t xml:space="preserve">present in at least 8 redirect chains of length ≥ 2 (302→301→200 patterns) — every hop leaks ~15% PageRank.</w:t>
      </w:r>
    </w:p>
    <w:p>
      <w:pPr>
        <w:pStyle w:val="ListParagraph"/>
        <w:numPr>
          <w:ilvl w:val="0"/>
          <w:numId w:val="2"/>
        </w:numPr>
        <w:spacing w:after="80"/>
      </w:pPr>
      <w:r>
        <w:rPr>
          <w:rFonts w:ascii="Calibri" w:cs="Calibri" w:eastAsia="Calibri" w:hAnsi="Calibri"/>
          <w:b/>
          <w:bCs/>
        </w:rPr>
        <w:t xml:space="preserve">404s: </w:t>
      </w:r>
      <w:r>
        <w:rPr>
          <w:rFonts w:ascii="Calibri" w:cs="Calibri" w:eastAsia="Calibri" w:hAnsi="Calibri"/>
        </w:rPr>
        <w:t xml:space="preserve">47 URLs returning 404 still receive internal links.</w:t>
      </w:r>
    </w:p>
    <w:p>
      <w:pPr>
        <w:pStyle w:val="ListParagraph"/>
        <w:numPr>
          <w:ilvl w:val="0"/>
          <w:numId w:val="2"/>
        </w:numPr>
        <w:spacing w:after="80"/>
      </w:pPr>
      <w:r>
        <w:rPr>
          <w:rFonts w:ascii="Calibri" w:cs="Calibri" w:eastAsia="Calibri" w:hAnsi="Calibri"/>
          <w:b/>
          <w:bCs/>
        </w:rPr>
        <w:t xml:space="preserve">Schema gaps: </w:t>
      </w:r>
      <w:r>
        <w:rPr>
          <w:rFonts w:ascii="Calibri" w:cs="Calibri" w:eastAsia="Calibri" w:hAnsi="Calibri"/>
        </w:rPr>
        <w:t xml:space="preserve">0 ItemList schema instances; 0 Review schema; 0 Person schema; partial FAQ; partial Article.</w:t>
      </w:r>
    </w:p>
    <w:p>
      <w:pPr>
        <w:pStyle w:val="Heading2"/>
        <w:spacing w:after="120" w:before="240"/>
      </w:pPr>
      <w:r>
        <w:rPr>
          <w:rFonts w:ascii="Calibri" w:cs="Calibri" w:eastAsia="Calibri" w:hAnsi="Calibri"/>
        </w:rPr>
        <w:t xml:space="preserve">8.2 Mobile-First Index readiness</w:t>
      </w:r>
    </w:p>
    <w:p>
      <w:pPr>
        <w:pStyle w:val="ListParagraph"/>
        <w:numPr>
          <w:ilvl w:val="0"/>
          <w:numId w:val="2"/>
        </w:numPr>
        <w:spacing w:after="80"/>
      </w:pPr>
      <w:r>
        <w:rPr>
          <w:rFonts w:ascii="Calibri" w:cs="Calibri" w:eastAsia="Calibri" w:hAnsi="Calibri"/>
        </w:rPr>
        <w:t xml:space="preserve">Viewport meta: present sitewide.</w:t>
      </w:r>
    </w:p>
    <w:p>
      <w:pPr>
        <w:pStyle w:val="ListParagraph"/>
        <w:numPr>
          <w:ilvl w:val="0"/>
          <w:numId w:val="2"/>
        </w:numPr>
        <w:spacing w:after="80"/>
      </w:pPr>
      <w:r>
        <w:rPr>
          <w:rFonts w:ascii="Calibri" w:cs="Calibri" w:eastAsia="Calibri" w:hAnsi="Calibri"/>
        </w:rPr>
        <w:t xml:space="preserve">Mobile font-size on listicle templates: 14px — passes.</w:t>
      </w:r>
    </w:p>
    <w:p>
      <w:pPr>
        <w:pStyle w:val="ListParagraph"/>
        <w:numPr>
          <w:ilvl w:val="0"/>
          <w:numId w:val="2"/>
        </w:numPr>
        <w:spacing w:after="80"/>
      </w:pPr>
      <w:r>
        <w:rPr>
          <w:rFonts w:ascii="Calibri" w:cs="Calibri" w:eastAsia="Calibri" w:hAnsi="Calibri"/>
        </w:rPr>
        <w:t xml:space="preserve">Render-blocking JS on first paint: </w:t>
      </w:r>
      <w:r>
        <w:rPr>
          <w:rFonts w:ascii="Calibri" w:cs="Calibri" w:eastAsia="Calibri" w:hAnsi="Calibri"/>
        </w:rPr>
        <w:t xml:space="preserve">3 third-party tags (live-chat, analytics, heatmap) — target to delay-load.</w:t>
      </w:r>
    </w:p>
    <w:p>
      <w:pPr>
        <w:pStyle w:val="ListParagraph"/>
        <w:numPr>
          <w:ilvl w:val="0"/>
          <w:numId w:val="2"/>
        </w:numPr>
        <w:spacing w:after="80"/>
      </w:pPr>
      <w:r>
        <w:rPr>
          <w:rFonts w:ascii="Calibri" w:cs="Calibri" w:eastAsia="Calibri" w:hAnsi="Calibri"/>
        </w:rPr>
        <w:t xml:space="preserve">CLS on </w:t>
      </w:r>
      <w:r>
        <w:rPr>
          <w:rFonts w:ascii="Consolas" w:cs="Consolas" w:eastAsia="Consolas" w:hAnsi="Consolas"/>
          <w:sz w:val="20"/>
          <w:szCs w:val="20"/>
        </w:rPr>
        <w:t xml:space="preserve">/medical-billing/companies/&lt;state&gt;/</w:t>
      </w:r>
      <w:r>
        <w:rPr>
          <w:rFonts w:ascii="Calibri" w:cs="Calibri" w:eastAsia="Calibri" w:hAnsi="Calibri"/>
        </w:rPr>
        <w:t xml:space="preserve"> templates: above threshold on CrUX (the CTA block injects late).</w:t>
      </w:r>
    </w:p>
    <w:p>
      <w:pPr>
        <w:pStyle w:val="Heading2"/>
        <w:spacing w:after="120" w:before="240"/>
      </w:pPr>
      <w:r>
        <w:rPr>
          <w:rFonts w:ascii="Calibri" w:cs="Calibri" w:eastAsia="Calibri" w:hAnsi="Calibri"/>
        </w:rPr>
        <w:t xml:space="preserve">8.3 Immediate technical fixes</w:t>
      </w:r>
    </w:p>
    <w:p>
      <w:pPr>
        <w:pStyle w:val="ListParagraph"/>
        <w:numPr>
          <w:ilvl w:val="0"/>
          <w:numId w:val="3"/>
        </w:numPr>
        <w:spacing w:after="80"/>
      </w:pPr>
      <w:r>
        <w:rPr>
          <w:rFonts w:ascii="Calibri" w:cs="Calibri" w:eastAsia="Calibri" w:hAnsi="Calibri"/>
          <w:b/>
          <w:bCs/>
        </w:rPr>
        <w:t xml:space="preserve">Fix double H1 </w:t>
      </w:r>
      <w:r>
        <w:rPr>
          <w:rFonts w:ascii="Calibri" w:cs="Calibri" w:eastAsia="Calibri" w:hAnsi="Calibri"/>
        </w:rPr>
        <w:t xml:space="preserve">in the state-service template — use </w:t>
      </w:r>
      <w:r>
        <w:rPr>
          <w:rFonts w:ascii="Consolas" w:cs="Consolas" w:eastAsia="Consolas" w:hAnsi="Consolas"/>
          <w:sz w:val="20"/>
          <w:szCs w:val="20"/>
        </w:rPr>
        <w:t xml:space="preserve">&lt;h1&gt;</w:t>
      </w:r>
      <w:r>
        <w:rPr>
          <w:rFonts w:ascii="Calibri" w:cs="Calibri" w:eastAsia="Calibri" w:hAnsi="Calibri"/>
        </w:rPr>
        <w:t xml:space="preserve"> only once, in the hero; breadcrumb must be </w:t>
      </w:r>
      <w:r>
        <w:rPr>
          <w:rFonts w:ascii="Consolas" w:cs="Consolas" w:eastAsia="Consolas" w:hAnsi="Consolas"/>
          <w:sz w:val="20"/>
          <w:szCs w:val="20"/>
        </w:rPr>
        <w:t xml:space="preserve">&lt;nav&gt;</w:t>
      </w:r>
      <w:r>
        <w:rPr>
          <w:rFonts w:ascii="Calibri" w:cs="Calibri" w:eastAsia="Calibri" w:hAnsi="Calibri"/>
        </w:rPr>
        <w:t xml:space="preserve"> with </w:t>
      </w:r>
      <w:r>
        <w:rPr>
          <w:rFonts w:ascii="Consolas" w:cs="Consolas" w:eastAsia="Consolas" w:hAnsi="Consolas"/>
          <w:sz w:val="20"/>
          <w:szCs w:val="20"/>
        </w:rPr>
        <w:t xml:space="preserve">&lt;span&gt;</w:t>
      </w:r>
      <w:r>
        <w:rPr>
          <w:rFonts w:ascii="Calibri" w:cs="Calibri" w:eastAsia="Calibri" w:hAnsi="Calibri"/>
        </w:rPr>
        <w:t xml:space="preserve"> labels.</w:t>
      </w:r>
    </w:p>
    <w:p>
      <w:pPr>
        <w:pStyle w:val="ListParagraph"/>
        <w:numPr>
          <w:ilvl w:val="0"/>
          <w:numId w:val="3"/>
        </w:numPr>
        <w:spacing w:after="80"/>
      </w:pPr>
      <w:r>
        <w:rPr>
          <w:rFonts w:ascii="Calibri" w:cs="Calibri" w:eastAsia="Calibri" w:hAnsi="Calibri"/>
          <w:b/>
          <w:bCs/>
        </w:rPr>
        <w:t xml:space="preserve">Flatten 3xx chains </w:t>
      </w:r>
      <w:r>
        <w:rPr>
          <w:rFonts w:ascii="Calibri" w:cs="Calibri" w:eastAsia="Calibri" w:hAnsi="Calibri"/>
        </w:rPr>
        <w:t xml:space="preserve">by updating the chain source to the final target — mechanical change, ~2 hours.</w:t>
      </w:r>
    </w:p>
    <w:p>
      <w:pPr>
        <w:pStyle w:val="ListParagraph"/>
        <w:numPr>
          <w:ilvl w:val="0"/>
          <w:numId w:val="3"/>
        </w:numPr>
        <w:spacing w:after="80"/>
      </w:pPr>
      <w:r>
        <w:rPr>
          <w:rFonts w:ascii="Calibri" w:cs="Calibri" w:eastAsia="Calibri" w:hAnsi="Calibri"/>
          <w:b/>
          <w:bCs/>
        </w:rPr>
        <w:t xml:space="preserve">De-link the 47 internal 404s. </w:t>
      </w:r>
      <w:r>
        <w:rPr>
          <w:rFonts w:ascii="Calibri" w:cs="Calibri" w:eastAsia="Calibri" w:hAnsi="Calibri"/>
        </w:rPr>
        <w:t xml:space="preserve">Run a crawl, find the link source, replace or remove.</w:t>
      </w:r>
    </w:p>
    <w:p>
      <w:pPr>
        <w:pStyle w:val="ListParagraph"/>
        <w:numPr>
          <w:ilvl w:val="0"/>
          <w:numId w:val="3"/>
        </w:numPr>
        <w:spacing w:after="80"/>
      </w:pPr>
      <w:r>
        <w:rPr>
          <w:rFonts w:ascii="Calibri" w:cs="Calibri" w:eastAsia="Calibri" w:hAnsi="Calibri"/>
          <w:b/>
          <w:bCs/>
        </w:rPr>
        <w:t xml:space="preserve">Ship Organization + Person schema </w:t>
      </w:r>
      <w:r>
        <w:rPr>
          <w:rFonts w:ascii="Calibri" w:cs="Calibri" w:eastAsia="Calibri" w:hAnsi="Calibri"/>
        </w:rPr>
        <w:t xml:space="preserve">on the homepage and every author bio page. This is the single highest-leverage schema fix.</w:t>
      </w:r>
    </w:p>
    <w:p>
      <w:pPr>
        <w:pStyle w:val="ListParagraph"/>
        <w:numPr>
          <w:ilvl w:val="0"/>
          <w:numId w:val="3"/>
        </w:numPr>
        <w:spacing w:after="80"/>
      </w:pPr>
      <w:r>
        <w:rPr>
          <w:rFonts w:ascii="Calibri" w:cs="Calibri" w:eastAsia="Calibri" w:hAnsi="Calibri"/>
          <w:b/>
          <w:bCs/>
        </w:rPr>
        <w:t xml:space="preserve">Ship ItemList schema </w:t>
      </w:r>
      <w:r>
        <w:rPr>
          <w:rFonts w:ascii="Calibri" w:cs="Calibri" w:eastAsia="Calibri" w:hAnsi="Calibri"/>
        </w:rPr>
        <w:t xml:space="preserve">on all legitimate listicles (the </w:t>
      </w:r>
      <w:r>
        <w:rPr>
          <w:rFonts w:ascii="Consolas" w:cs="Consolas" w:eastAsia="Consolas" w:hAnsi="Consolas"/>
          <w:sz w:val="20"/>
          <w:szCs w:val="20"/>
        </w:rPr>
        <w:t xml:space="preserve">/article/</w:t>
      </w:r>
      <w:r>
        <w:rPr>
          <w:rFonts w:ascii="Calibri" w:cs="Calibri" w:eastAsia="Calibri" w:hAnsi="Calibri"/>
        </w:rPr>
        <w:t xml:space="preserve"> cluster, once de-duplicated).</w:t>
      </w:r>
    </w:p>
    <w:p>
      <w:r>
        <w:br w:type="page"/>
      </w:r>
    </w:p>
    <w:p>
      <w:pPr>
        <w:pStyle w:val="Heading1"/>
        <w:spacing w:after="160" w:before="320"/>
      </w:pPr>
      <w:r>
        <w:rPr>
          <w:rFonts w:ascii="Calibri" w:cs="Calibri" w:eastAsia="Calibri" w:hAnsi="Calibri"/>
        </w:rPr>
        <w:t xml:space="preserve">9 — Root-cause analysis of the January 2026 publish</w:t>
      </w:r>
    </w:p>
    <w:p>
      <w:pPr>
        <w:pStyle w:val="Heading2"/>
        <w:spacing w:after="120" w:before="240"/>
      </w:pPr>
      <w:r>
        <w:rPr>
          <w:rFonts w:ascii="Calibri" w:cs="Calibri" w:eastAsia="Calibri" w:hAnsi="Calibri"/>
        </w:rPr>
        <w:t xml:space="preserve">9.1 The five compounding root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400"/>
        <w:gridCol w:w="5520"/>
      </w:tblGrid>
      <w:tr>
        <w:trPr>
          <w:tblHeader/>
        </w:trPr>
        <w:tc>
          <w:tcPr>
            <w:tcW w:type="dxa" w:w="44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w:t>
            </w:r>
          </w:p>
        </w:tc>
        <w:tc>
          <w:tcPr>
            <w:tcW w:type="dxa" w:w="34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Root cause</w:t>
            </w:r>
          </w:p>
        </w:tc>
        <w:tc>
          <w:tcPr>
            <w:tcW w:type="dxa" w:w="552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What it produced</w:t>
            </w:r>
          </w:p>
        </w:tc>
      </w:tr>
      <w:tr>
        <w:tc>
          <w:tcPr>
            <w:tcW w:type="dxa" w:w="44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1</w:t>
            </w:r>
          </w:p>
        </w:tc>
        <w:tc>
          <w:tcPr>
            <w:tcW w:type="dxa" w:w="3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Source-Context violation — a vendor publishing listicles about its own industry</w:t>
            </w:r>
          </w:p>
        </w:tc>
        <w:tc>
          <w:tcPr>
            <w:tcW w:type="dxa" w:w="552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CTR collapse to 0.37%; user signals informed Google that the SERP listing is untrustworthy.</w:t>
            </w:r>
          </w:p>
        </w:tc>
      </w:tr>
      <w:tr>
        <w:tc>
          <w:tcPr>
            <w:tcW w:type="dxa" w:w="44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2</w:t>
            </w:r>
          </w:p>
        </w:tc>
        <w:tc>
          <w:tcPr>
            <w:tcW w:type="dxa" w:w="3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Publishing into an already-fragmented URL ontology — 132 new URLs joining a cluster that already had 5+ parallel taxonomies</w:t>
            </w:r>
          </w:p>
        </w:tc>
        <w:tc>
          <w:tcPr>
            <w:tcW w:type="dxa" w:w="552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Zero chance of Historical-Data consolidation on any canonical; link equity split across 19+ siblings per state.</w:t>
            </w:r>
          </w:p>
        </w:tc>
      </w:tr>
      <w:tr>
        <w:tc>
          <w:tcPr>
            <w:tcW w:type="dxa" w:w="44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3</w:t>
            </w:r>
          </w:p>
        </w:tc>
        <w:tc>
          <w:tcPr>
            <w:tcW w:type="dxa" w:w="3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Templated thin content — 90%+ lexical similarity across city variants; no author, no original research, no schema</w:t>
            </w:r>
          </w:p>
        </w:tc>
        <w:tc>
          <w:tcPr>
            <w:tcW w:type="dxa" w:w="552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Panda/RankBrain-era quality demotion; listicle cluster flagged as doorway-adjacent.</w:t>
            </w:r>
          </w:p>
        </w:tc>
      </w:tr>
      <w:tr>
        <w:tc>
          <w:tcPr>
            <w:tcW w:type="dxa" w:w="44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4</w:t>
            </w:r>
          </w:p>
        </w:tc>
        <w:tc>
          <w:tcPr>
            <w:tcW w:type="dxa" w:w="3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Orphan graph state — hub links to only ~60 of 132 children; state parents don’t link to city children</w:t>
            </w:r>
          </w:p>
        </w:tc>
        <w:tc>
          <w:tcPr>
            <w:tcW w:type="dxa" w:w="552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Half the publish is PageRank-starved from day 1.</w:t>
            </w:r>
          </w:p>
        </w:tc>
      </w:tr>
      <w:tr>
        <w:tc>
          <w:tcPr>
            <w:tcW w:type="dxa" w:w="44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5</w:t>
            </w:r>
          </w:p>
        </w:tc>
        <w:tc>
          <w:tcPr>
            <w:tcW w:type="dxa" w:w="34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No schema markup (ItemList/Review/FAQ/Person), no author, no E-E-A-T stack</w:t>
            </w:r>
          </w:p>
        </w:tc>
        <w:tc>
          <w:tcPr>
            <w:tcW w:type="dxa" w:w="552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Google cannot classify the pages as listicles; no rich-result eligibility; no trust signal to offset the thinness.</w:t>
            </w:r>
          </w:p>
        </w:tc>
      </w:tr>
    </w:tbl>
    <w:p>
      <w:pPr>
        <w:pStyle w:val="Heading2"/>
        <w:spacing w:after="120" w:before="240"/>
      </w:pPr>
      <w:r>
        <w:rPr>
          <w:rFonts w:ascii="Calibri" w:cs="Calibri" w:eastAsia="Calibri" w:hAnsi="Calibri"/>
        </w:rPr>
        <w:t xml:space="preserve">9.2 Why the demotion spread beyond the listicle cluster</w:t>
      </w:r>
    </w:p>
    <w:p>
      <w:pPr>
        <w:spacing w:after="120" w:line="300"/>
      </w:pPr>
      <w:r>
        <w:rPr>
          <w:rFonts w:ascii="Calibri" w:cs="Calibri" w:eastAsia="Calibri" w:hAnsi="Calibri"/>
        </w:rPr>
        <w:t xml:space="preserve">Koray’s Strongly Connected Component model predicts this. When a cluster inside a domain is demoted, its internal links still pass signal to the rest of the domain — only now the signal is negative. Specifically, the 132 listicles linked (via template header/footer and ‘related services’ blocks) to the Core service pages. Google’s quality classifier, which operates at a domain-cluster level, propagated the demotion. This is why you see the Core specialty pages losing position in Feb–Apr despite not being part of the publish.</w:t>
      </w:r>
    </w:p>
    <w:p>
      <w:pPr>
        <w:pStyle w:val="Heading2"/>
        <w:spacing w:after="120" w:before="240"/>
      </w:pPr>
      <w:r>
        <w:rPr>
          <w:rFonts w:ascii="Calibri" w:cs="Calibri" w:eastAsia="Calibri" w:hAnsi="Calibri"/>
        </w:rPr>
        <w:t xml:space="preserve">9.3 Why re-ranking stayed negative (did not self-correct)</w:t>
      </w:r>
    </w:p>
    <w:p>
      <w:pPr>
        <w:pStyle w:val="ListParagraph"/>
        <w:numPr>
          <w:ilvl w:val="0"/>
          <w:numId w:val="2"/>
        </w:numPr>
        <w:spacing w:after="80"/>
      </w:pPr>
      <w:r>
        <w:rPr>
          <w:rFonts w:ascii="Calibri" w:cs="Calibri" w:eastAsia="Calibri" w:hAnsi="Calibri"/>
        </w:rPr>
        <w:t xml:space="preserve">User signals on the listicles remained bad throughout Feb–Apr — thin content is thin content; time doesn’t fix it.</w:t>
      </w:r>
    </w:p>
    <w:p>
      <w:pPr>
        <w:pStyle w:val="ListParagraph"/>
        <w:numPr>
          <w:ilvl w:val="0"/>
          <w:numId w:val="2"/>
        </w:numPr>
        <w:spacing w:after="80"/>
      </w:pPr>
      <w:r>
        <w:rPr>
          <w:rFonts w:ascii="Calibri" w:cs="Calibri" w:eastAsia="Calibri" w:hAnsi="Calibri"/>
        </w:rPr>
        <w:t xml:space="preserve">The redirect graph still routes 556 internal links through a 301 to a URL that itself is a duplicate — so even the canonical state pages never got a clean signal to recover on.</w:t>
      </w:r>
    </w:p>
    <w:p>
      <w:pPr>
        <w:pStyle w:val="ListParagraph"/>
        <w:numPr>
          <w:ilvl w:val="0"/>
          <w:numId w:val="2"/>
        </w:numPr>
        <w:spacing w:after="80"/>
      </w:pPr>
      <w:r>
        <w:rPr>
          <w:rFonts w:ascii="Calibri" w:cs="Calibri" w:eastAsia="Calibri" w:hAnsi="Calibri"/>
        </w:rPr>
        <w:t xml:space="preserve">The Contextual Bridge between the Core and Outer sections is missing — there is no content path from ‘I understand the problem’ (Outer) to ‘I hire Transcure’ (Core), so users who arrive on a guide rarely convert to a service page.</w:t>
      </w:r>
    </w:p>
    <w:p>
      <w:r>
        <w:br w:type="page"/>
      </w:r>
    </w:p>
    <w:p>
      <w:pPr>
        <w:pStyle w:val="Heading1"/>
        <w:spacing w:after="160" w:before="320"/>
      </w:pPr>
      <w:r>
        <w:rPr>
          <w:rFonts w:ascii="Calibri" w:cs="Calibri" w:eastAsia="Calibri" w:hAnsi="Calibri"/>
        </w:rPr>
        <w:t xml:space="preserve">10 — Prioritised remediation roadmap</w:t>
      </w:r>
    </w:p>
    <w:p>
      <w:pPr>
        <w:pStyle w:val="Heading2"/>
        <w:spacing w:after="120" w:before="240"/>
      </w:pPr>
      <w:r>
        <w:rPr>
          <w:rFonts w:ascii="Calibri" w:cs="Calibri" w:eastAsia="Calibri" w:hAnsi="Calibri"/>
        </w:rPr>
        <w:t xml:space="preserve">10.1 The 90-day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800"/>
        <w:gridCol w:w="2260"/>
      </w:tblGrid>
      <w:tr>
        <w:trPr>
          <w:tblHeader/>
        </w:trPr>
        <w:tc>
          <w:tcPr>
            <w:tcW w:type="dxa" w:w="8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Week</w:t>
            </w:r>
          </w:p>
        </w:tc>
        <w:tc>
          <w:tcPr>
            <w:tcW w:type="dxa" w:w="45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Work item</w:t>
            </w:r>
          </w:p>
        </w:tc>
        <w:tc>
          <w:tcPr>
            <w:tcW w:type="dxa" w:w="18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Owner</w:t>
            </w:r>
          </w:p>
        </w:tc>
        <w:tc>
          <w:tcPr>
            <w:tcW w:type="dxa" w:w="226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Success metric</w:t>
            </w:r>
          </w:p>
        </w:tc>
      </w:tr>
      <w:tr>
        <w:tc>
          <w:tcPr>
            <w:tcW w:type="dxa" w:w="8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1</w:t>
            </w:r>
          </w:p>
        </w:tc>
        <w:tc>
          <w:tcPr>
            <w:tcW w:type="dxa" w:w="45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Freeze all new /medical-billing/companies/ publishes. Export full URL inventory. Get sign-off on canonical patterns.</w:t>
            </w:r>
          </w:p>
        </w:tc>
        <w:tc>
          <w:tcPr>
            <w:tcW w:type="dxa" w:w="1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SEO Lead</w:t>
            </w:r>
          </w:p>
        </w:tc>
        <w:tc>
          <w:tcPr>
            <w:tcW w:type="dxa" w:w="22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Signed canonical-URL decision matrix.</w:t>
            </w:r>
          </w:p>
        </w:tc>
      </w:tr>
      <w:tr>
        <w:tc>
          <w:tcPr>
            <w:tcW w:type="dxa" w:w="8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2</w:t>
            </w:r>
          </w:p>
        </w:tc>
        <w:tc>
          <w:tcPr>
            <w:tcW w:type="dxa" w:w="45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Ship 410 + de-sitemap for 132 /medical-billing/companies/ URLs. Remove hub from nav.</w:t>
            </w:r>
          </w:p>
        </w:tc>
        <w:tc>
          <w:tcPr>
            <w:tcW w:type="dxa" w:w="1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Dev + SEO</w:t>
            </w:r>
          </w:p>
        </w:tc>
        <w:tc>
          <w:tcPr>
            <w:tcW w:type="dxa" w:w="22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GSC ‘pages with errors’ count drops; CTR for /medical-billing/ prefix starts climbing.</w:t>
            </w:r>
          </w:p>
        </w:tc>
      </w:tr>
      <w:tr>
        <w:tc>
          <w:tcPr>
            <w:tcW w:type="dxa" w:w="8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3</w:t>
            </w:r>
          </w:p>
        </w:tc>
        <w:tc>
          <w:tcPr>
            <w:tcW w:type="dxa" w:w="45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Consolidate specialty taxonomies — 301 9→1 for Cardiology; 7→1 for Podiatry; repeat for all 12 priority specialties.</w:t>
            </w:r>
          </w:p>
        </w:tc>
        <w:tc>
          <w:tcPr>
            <w:tcW w:type="dxa" w:w="1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Dev + SEO</w:t>
            </w:r>
          </w:p>
        </w:tc>
        <w:tc>
          <w:tcPr>
            <w:tcW w:type="dxa" w:w="22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Ahrefs organic keywords per URL consolidates — fewer URLs, higher median position.</w:t>
            </w:r>
          </w:p>
        </w:tc>
      </w:tr>
      <w:tr>
        <w:tc>
          <w:tcPr>
            <w:tcW w:type="dxa" w:w="8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4</w:t>
            </w:r>
          </w:p>
        </w:tc>
        <w:tc>
          <w:tcPr>
            <w:tcW w:type="dxa" w:w="45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Consolidate state taxonomies — fix the /states/medical-billing-services-in-california/ 301 (it should not exist at all — either make it live or redirect internal links past it).</w:t>
            </w:r>
          </w:p>
        </w:tc>
        <w:tc>
          <w:tcPr>
            <w:tcW w:type="dxa" w:w="1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Dev + SEO</w:t>
            </w:r>
          </w:p>
        </w:tc>
        <w:tc>
          <w:tcPr>
            <w:tcW w:type="dxa" w:w="22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556 internal-link count on that URL drops to 0.</w:t>
            </w:r>
          </w:p>
        </w:tc>
      </w:tr>
      <w:tr>
        <w:tc>
          <w:tcPr>
            <w:tcW w:type="dxa" w:w="8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5</w:t>
            </w:r>
          </w:p>
        </w:tc>
        <w:tc>
          <w:tcPr>
            <w:tcW w:type="dxa" w:w="45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Consolidate EMR taxonomies — 10→1 for eClinicalWorks, 5→1 for Kareo, and the same pattern for each priority EMR.</w:t>
            </w:r>
          </w:p>
        </w:tc>
        <w:tc>
          <w:tcPr>
            <w:tcW w:type="dxa" w:w="1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Dev + SEO</w:t>
            </w:r>
          </w:p>
        </w:tc>
        <w:tc>
          <w:tcPr>
            <w:tcW w:type="dxa" w:w="22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EMR pages climb in Ahrefs Top Pages.</w:t>
            </w:r>
          </w:p>
        </w:tc>
      </w:tr>
      <w:tr>
        <w:tc>
          <w:tcPr>
            <w:tcW w:type="dxa" w:w="8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6</w:t>
            </w:r>
          </w:p>
        </w:tc>
        <w:tc>
          <w:tcPr>
            <w:tcW w:type="dxa" w:w="45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Ship Organization + Person schema sitewide. Add author bylines to the top 50 highest-traffic URLs.</w:t>
            </w:r>
          </w:p>
        </w:tc>
        <w:tc>
          <w:tcPr>
            <w:tcW w:type="dxa" w:w="1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Content + Dev</w:t>
            </w:r>
          </w:p>
        </w:tc>
        <w:tc>
          <w:tcPr>
            <w:tcW w:type="dxa" w:w="22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Google Rich Results test passes on Article + Person for those URLs.</w:t>
            </w:r>
          </w:p>
        </w:tc>
      </w:tr>
      <w:tr>
        <w:tc>
          <w:tcPr>
            <w:tcW w:type="dxa" w:w="8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7</w:t>
            </w:r>
          </w:p>
        </w:tc>
        <w:tc>
          <w:tcPr>
            <w:tcW w:type="dxa" w:w="45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Rewrite top 20 service pages with first-party data, original screenshots, and sharpened Source Context alignment.</w:t>
            </w:r>
          </w:p>
        </w:tc>
        <w:tc>
          <w:tcPr>
            <w:tcW w:type="dxa" w:w="1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Content</w:t>
            </w:r>
          </w:p>
        </w:tc>
        <w:tc>
          <w:tcPr>
            <w:tcW w:type="dxa" w:w="22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CTR for rewritten pages climbs by ≥ 30% within 4 weeks.</w:t>
            </w:r>
          </w:p>
        </w:tc>
      </w:tr>
      <w:tr>
        <w:tc>
          <w:tcPr>
            <w:tcW w:type="dxa" w:w="8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8</w:t>
            </w:r>
          </w:p>
        </w:tc>
        <w:tc>
          <w:tcPr>
            <w:tcW w:type="dxa" w:w="45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Re-wire internal link graph using the S / C / I model from §5.</w:t>
            </w:r>
          </w:p>
        </w:tc>
        <w:tc>
          <w:tcPr>
            <w:tcW w:type="dxa" w:w="1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SEO Lead</w:t>
            </w:r>
          </w:p>
        </w:tc>
        <w:tc>
          <w:tcPr>
            <w:tcW w:type="dxa" w:w="22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Avg. depth from homepage to any I-node ≤ 3 clicks.</w:t>
            </w:r>
          </w:p>
        </w:tc>
      </w:tr>
      <w:tr>
        <w:tc>
          <w:tcPr>
            <w:tcW w:type="dxa" w:w="8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9</w:t>
            </w:r>
          </w:p>
        </w:tc>
        <w:tc>
          <w:tcPr>
            <w:tcW w:type="dxa" w:w="45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Ship ItemList + Review schema on the surviving (repurposed) listicles. FAQ schema sitewide.</w:t>
            </w:r>
          </w:p>
        </w:tc>
        <w:tc>
          <w:tcPr>
            <w:tcW w:type="dxa" w:w="1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Dev + Content</w:t>
            </w:r>
          </w:p>
        </w:tc>
        <w:tc>
          <w:tcPr>
            <w:tcW w:type="dxa" w:w="22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Rich-result impressions appear in GSC.</w:t>
            </w:r>
          </w:p>
        </w:tc>
      </w:tr>
      <w:tr>
        <w:tc>
          <w:tcPr>
            <w:tcW w:type="dxa" w:w="8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10–12</w:t>
            </w:r>
          </w:p>
        </w:tc>
        <w:tc>
          <w:tcPr>
            <w:tcW w:type="dxa" w:w="45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Monitor. Do not ship any new content until the Feb–Apr baseline is recovered to ≥ 1,000 clicks/week.</w:t>
            </w:r>
          </w:p>
        </w:tc>
        <w:tc>
          <w:tcPr>
            <w:tcW w:type="dxa" w:w="18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SEO Lead</w:t>
            </w:r>
          </w:p>
        </w:tc>
        <w:tc>
          <w:tcPr>
            <w:tcW w:type="dxa" w:w="22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Weekly clicks ≥ 1,000 for 3 consecutive weeks.</w:t>
            </w:r>
          </w:p>
        </w:tc>
      </w:tr>
    </w:tbl>
    <w:p>
      <w:pPr>
        <w:pStyle w:val="Heading2"/>
        <w:spacing w:after="120" w:before="240"/>
      </w:pPr>
      <w:r>
        <w:rPr>
          <w:rFonts w:ascii="Calibri" w:cs="Calibri" w:eastAsia="Calibri" w:hAnsi="Calibri"/>
        </w:rPr>
        <w:t xml:space="preserve">10.2 Expected recovery shape</w:t>
      </w:r>
    </w:p>
    <w:p>
      <w:pPr>
        <w:pStyle w:val="ListParagraph"/>
        <w:numPr>
          <w:ilvl w:val="0"/>
          <w:numId w:val="2"/>
        </w:numPr>
        <w:spacing w:after="80"/>
      </w:pPr>
      <w:r>
        <w:rPr>
          <w:rFonts w:ascii="Calibri" w:cs="Calibri" w:eastAsia="Calibri" w:hAnsi="Calibri"/>
          <w:b/>
          <w:bCs/>
        </w:rPr>
        <w:t xml:space="preserve">Weeks 2–4: </w:t>
      </w:r>
      <w:r>
        <w:rPr>
          <w:rFonts w:ascii="Calibri" w:cs="Calibri" w:eastAsia="Calibri" w:hAnsi="Calibri"/>
        </w:rPr>
        <w:t xml:space="preserve">Impressions drop as 132 thin URLs leave the index. Clicks stay flat to slightly down — this is healthy.</w:t>
      </w:r>
    </w:p>
    <w:p>
      <w:pPr>
        <w:pStyle w:val="ListParagraph"/>
        <w:numPr>
          <w:ilvl w:val="0"/>
          <w:numId w:val="2"/>
        </w:numPr>
        <w:spacing w:after="80"/>
      </w:pPr>
      <w:r>
        <w:rPr>
          <w:rFonts w:ascii="Calibri" w:cs="Calibri" w:eastAsia="Calibri" w:hAnsi="Calibri"/>
          <w:b/>
          <w:bCs/>
        </w:rPr>
        <w:t xml:space="preserve">Weeks 5–8: </w:t>
      </w:r>
      <w:r>
        <w:rPr>
          <w:rFonts w:ascii="Calibri" w:cs="Calibri" w:eastAsia="Calibri" w:hAnsi="Calibri"/>
        </w:rPr>
        <w:t xml:space="preserve">CTR on the surviving cluster recovers to 0.7–0.9% as Google re-classifies the domain. Position on consolidated canonicals improves 3–6 slots.</w:t>
      </w:r>
    </w:p>
    <w:p>
      <w:pPr>
        <w:pStyle w:val="ListParagraph"/>
        <w:numPr>
          <w:ilvl w:val="0"/>
          <w:numId w:val="2"/>
        </w:numPr>
        <w:spacing w:after="80"/>
      </w:pPr>
      <w:r>
        <w:rPr>
          <w:rFonts w:ascii="Calibri" w:cs="Calibri" w:eastAsia="Calibri" w:hAnsi="Calibri"/>
          <w:b/>
          <w:bCs/>
        </w:rPr>
        <w:t xml:space="preserve">Weeks 9–12: </w:t>
      </w:r>
      <w:r>
        <w:rPr>
          <w:rFonts w:ascii="Calibri" w:cs="Calibri" w:eastAsia="Calibri" w:hAnsi="Calibri"/>
        </w:rPr>
        <w:t xml:space="preserve">Baseline recovers toward Oct–Nov 2025 levels (1,000–1,178 clicks/week). If no further regressions, ship the next content batch — under the new Source-Context guardrail from §3.5.</w:t>
      </w:r>
    </w:p>
    <w:p>
      <w:pPr>
        <w:pStyle w:val="Heading2"/>
        <w:spacing w:after="120" w:before="240"/>
      </w:pPr>
      <w:r>
        <w:rPr>
          <w:rFonts w:ascii="Calibri" w:cs="Calibri" w:eastAsia="Calibri" w:hAnsi="Calibri"/>
        </w:rPr>
        <w:t xml:space="preserve">10.3 What NOT to do during recovery</w:t>
      </w:r>
    </w:p>
    <w:p>
      <w:pPr>
        <w:pStyle w:val="ListParagraph"/>
        <w:numPr>
          <w:ilvl w:val="0"/>
          <w:numId w:val="2"/>
        </w:numPr>
        <w:spacing w:after="80"/>
      </w:pPr>
      <w:r>
        <w:rPr>
          <w:rFonts w:ascii="Calibri" w:cs="Calibri" w:eastAsia="Calibri" w:hAnsi="Calibri"/>
          <w:b/>
          <w:bCs/>
        </w:rPr>
        <w:t xml:space="preserve">Do not </w:t>
      </w:r>
      <w:r>
        <w:rPr>
          <w:rFonts w:ascii="Calibri" w:cs="Calibri" w:eastAsia="Calibri" w:hAnsi="Calibri"/>
        </w:rPr>
        <w:t xml:space="preserve">publish new ‘best-of’ listicles on the domain under any URL pattern.</w:t>
      </w:r>
    </w:p>
    <w:p>
      <w:pPr>
        <w:pStyle w:val="ListParagraph"/>
        <w:numPr>
          <w:ilvl w:val="0"/>
          <w:numId w:val="2"/>
        </w:numPr>
        <w:spacing w:after="80"/>
      </w:pPr>
      <w:r>
        <w:rPr>
          <w:rFonts w:ascii="Calibri" w:cs="Calibri" w:eastAsia="Calibri" w:hAnsi="Calibri"/>
          <w:b/>
          <w:bCs/>
        </w:rPr>
        <w:t xml:space="preserve">Do not </w:t>
      </w:r>
      <w:r>
        <w:rPr>
          <w:rFonts w:ascii="Calibri" w:cs="Calibri" w:eastAsia="Calibri" w:hAnsi="Calibri"/>
        </w:rPr>
        <w:t xml:space="preserve">add new city URLs unless the city has proven Ahrefs volume ≥ 100 and KD &gt; 0.</w:t>
      </w:r>
    </w:p>
    <w:p>
      <w:pPr>
        <w:pStyle w:val="ListParagraph"/>
        <w:numPr>
          <w:ilvl w:val="0"/>
          <w:numId w:val="2"/>
        </w:numPr>
        <w:spacing w:after="80"/>
      </w:pPr>
      <w:r>
        <w:rPr>
          <w:rFonts w:ascii="Calibri" w:cs="Calibri" w:eastAsia="Calibri" w:hAnsi="Calibri"/>
          <w:b/>
          <w:bCs/>
        </w:rPr>
        <w:t xml:space="preserve">Do not </w:t>
      </w:r>
      <w:r>
        <w:rPr>
          <w:rFonts w:ascii="Calibri" w:cs="Calibri" w:eastAsia="Calibri" w:hAnsi="Calibri"/>
        </w:rPr>
        <w:t xml:space="preserve">ship any new template that is &gt; 70% lexically similar to an existing one.</w:t>
      </w:r>
    </w:p>
    <w:p>
      <w:pPr>
        <w:pStyle w:val="ListParagraph"/>
        <w:numPr>
          <w:ilvl w:val="0"/>
          <w:numId w:val="2"/>
        </w:numPr>
        <w:spacing w:after="80"/>
      </w:pPr>
      <w:r>
        <w:rPr>
          <w:rFonts w:ascii="Calibri" w:cs="Calibri" w:eastAsia="Calibri" w:hAnsi="Calibri"/>
          <w:b/>
          <w:bCs/>
        </w:rPr>
        <w:t xml:space="preserve">Do not </w:t>
      </w:r>
      <w:r>
        <w:rPr>
          <w:rFonts w:ascii="Calibri" w:cs="Calibri" w:eastAsia="Calibri" w:hAnsi="Calibri"/>
        </w:rPr>
        <w:t xml:space="preserve">create another parallel URL pattern — every new URL must fit the canonical patterns agreed in week 1.</w:t>
      </w:r>
    </w:p>
    <w:p>
      <w:r>
        <w:br w:type="page"/>
      </w:r>
    </w:p>
    <w:p>
      <w:pPr>
        <w:pStyle w:val="Heading1"/>
        <w:spacing w:after="160" w:before="320"/>
      </w:pPr>
      <w:r>
        <w:rPr>
          <w:rFonts w:ascii="Calibri" w:cs="Calibri" w:eastAsia="Calibri" w:hAnsi="Calibri"/>
        </w:rPr>
        <w:t xml:space="preserve">11 — Appendix A — Parallel URL taxonomies catalogue</w:t>
      </w:r>
    </w:p>
    <w:p>
      <w:pPr>
        <w:pStyle w:val="Heading2"/>
        <w:spacing w:after="120" w:before="240"/>
      </w:pPr>
      <w:r>
        <w:rPr>
          <w:rFonts w:ascii="Calibri" w:cs="Calibri" w:eastAsia="Calibri" w:hAnsi="Calibri"/>
        </w:rPr>
        <w:t xml:space="preserve">11.1 Specialty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Specialty</w:t>
            </w:r>
          </w:p>
        </w:tc>
        <w:tc>
          <w:tcPr>
            <w:tcW w:type="dxa" w:w="16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 live URLs</w:t>
            </w:r>
          </w:p>
        </w:tc>
        <w:tc>
          <w:tcPr>
            <w:tcW w:type="dxa" w:w="516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Notes</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Cardiology</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9</w:t>
            </w:r>
          </w:p>
        </w:tc>
        <w:tc>
          <w:tcPr>
            <w:tcW w:type="dxa" w:w="5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b/>
                <w:bCs/>
                <w:color w:val="B00020"/>
              </w:rPr>
              <w:t xml:space="preserve">No /services/cardiology/ URL — gap</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Podiatry</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7</w:t>
            </w:r>
          </w:p>
        </w:tc>
        <w:tc>
          <w:tcPr>
            <w:tcW w:type="dxa" w:w="5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2 self-canonical duplicates</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Orthopedics</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8</w:t>
            </w:r>
          </w:p>
        </w:tc>
        <w:tc>
          <w:tcPr>
            <w:tcW w:type="dxa" w:w="5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All 5 patterns active</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Dental</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12</w:t>
            </w:r>
          </w:p>
        </w:tc>
        <w:tc>
          <w:tcPr>
            <w:tcW w:type="dxa" w:w="5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Worst offender</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Oncology</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8</w:t>
            </w:r>
          </w:p>
        </w:tc>
        <w:tc>
          <w:tcPr>
            <w:tcW w:type="dxa" w:w="5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Pain Management</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8</w:t>
            </w:r>
          </w:p>
        </w:tc>
        <w:tc>
          <w:tcPr>
            <w:tcW w:type="dxa" w:w="5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Nephrology</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6</w:t>
            </w:r>
          </w:p>
        </w:tc>
        <w:tc>
          <w:tcPr>
            <w:tcW w:type="dxa" w:w="5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Pediatrics</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6</w:t>
            </w:r>
          </w:p>
        </w:tc>
        <w:tc>
          <w:tcPr>
            <w:tcW w:type="dxa" w:w="5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Psychiatry</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5</w:t>
            </w:r>
          </w:p>
        </w:tc>
        <w:tc>
          <w:tcPr>
            <w:tcW w:type="dxa" w:w="5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Radiology</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4</w:t>
            </w:r>
          </w:p>
        </w:tc>
        <w:tc>
          <w:tcPr>
            <w:tcW w:type="dxa" w:w="5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Cleanest — target pattern</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Neurology</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3</w:t>
            </w:r>
          </w:p>
        </w:tc>
        <w:tc>
          <w:tcPr>
            <w:tcW w:type="dxa" w:w="5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Cleanest — target pattern</w:t>
            </w:r>
          </w:p>
        </w:tc>
      </w:tr>
      <w:tr>
        <w:tc>
          <w:tcPr>
            <w:tcW w:type="dxa" w:w="2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OB / GYN</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5</w:t>
            </w:r>
          </w:p>
        </w:tc>
        <w:tc>
          <w:tcPr>
            <w:tcW w:type="dxa" w:w="51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
            </w:r>
          </w:p>
        </w:tc>
      </w:tr>
    </w:tbl>
    <w:p>
      <w:pPr>
        <w:pStyle w:val="Heading2"/>
        <w:spacing w:after="120" w:before="240"/>
      </w:pPr>
      <w:r>
        <w:rPr>
          <w:rFonts w:ascii="Calibri" w:cs="Calibri" w:eastAsia="Calibri" w:hAnsi="Calibri"/>
        </w:rPr>
        <w:t xml:space="preserve">11.2 State counts (priority states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State</w:t>
            </w:r>
          </w:p>
        </w:tc>
        <w:tc>
          <w:tcPr>
            <w:tcW w:type="dxa" w:w="476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 live URLs</w:t>
            </w:r>
          </w:p>
        </w:tc>
      </w:tr>
      <w:tr>
        <w:tc>
          <w:tcPr>
            <w:tcW w:type="dxa" w:w="4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Texas</w:t>
            </w:r>
          </w:p>
        </w:tc>
        <w:tc>
          <w:tcPr>
            <w:tcW w:type="dxa" w:w="4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19</w:t>
            </w:r>
          </w:p>
        </w:tc>
      </w:tr>
      <w:tr>
        <w:tc>
          <w:tcPr>
            <w:tcW w:type="dxa" w:w="4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California</w:t>
            </w:r>
          </w:p>
        </w:tc>
        <w:tc>
          <w:tcPr>
            <w:tcW w:type="dxa" w:w="4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21</w:t>
            </w:r>
          </w:p>
        </w:tc>
      </w:tr>
      <w:tr>
        <w:tc>
          <w:tcPr>
            <w:tcW w:type="dxa" w:w="4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New York</w:t>
            </w:r>
          </w:p>
        </w:tc>
        <w:tc>
          <w:tcPr>
            <w:tcW w:type="dxa" w:w="4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14 (est.)</w:t>
            </w:r>
          </w:p>
        </w:tc>
      </w:tr>
      <w:tr>
        <w:tc>
          <w:tcPr>
            <w:tcW w:type="dxa" w:w="4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Florida</w:t>
            </w:r>
          </w:p>
        </w:tc>
        <w:tc>
          <w:tcPr>
            <w:tcW w:type="dxa" w:w="4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12 (est.)</w:t>
            </w:r>
          </w:p>
        </w:tc>
      </w:tr>
      <w:tr>
        <w:tc>
          <w:tcPr>
            <w:tcW w:type="dxa" w:w="4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New Jersey</w:t>
            </w:r>
          </w:p>
        </w:tc>
        <w:tc>
          <w:tcPr>
            <w:tcW w:type="dxa" w:w="4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8 (est.)</w:t>
            </w:r>
          </w:p>
        </w:tc>
      </w:tr>
      <w:tr>
        <w:tc>
          <w:tcPr>
            <w:tcW w:type="dxa" w:w="46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Other priority states</w:t>
            </w:r>
          </w:p>
        </w:tc>
        <w:tc>
          <w:tcPr>
            <w:tcW w:type="dxa" w:w="47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5–10 each</w:t>
            </w:r>
          </w:p>
        </w:tc>
      </w:tr>
    </w:tbl>
    <w:p>
      <w:pPr>
        <w:pStyle w:val="Heading2"/>
        <w:spacing w:after="120" w:before="240"/>
      </w:pPr>
      <w:r>
        <w:rPr>
          <w:rFonts w:ascii="Calibri" w:cs="Calibri" w:eastAsia="Calibri" w:hAnsi="Calibri"/>
        </w:rPr>
        <w:t xml:space="preserve">11.3 EMR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EMR</w:t>
            </w:r>
          </w:p>
        </w:tc>
        <w:tc>
          <w:tcPr>
            <w:tcW w:type="dxa" w:w="160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 live URLs</w:t>
            </w:r>
          </w:p>
        </w:tc>
        <w:tc>
          <w:tcPr>
            <w:tcW w:type="dxa" w:w="4360"/>
            <w:tcBorders>
              <w:top w:val="single" w:color="B4B4B4" w:sz="1"/>
              <w:left w:val="single" w:color="B4B4B4" w:sz="1"/>
              <w:bottom w:val="single" w:color="B4B4B4" w:sz="1"/>
              <w:right w:val="single" w:color="B4B4B4" w:sz="1"/>
            </w:tcBorders>
            <w:shd w:fill="1F3864" w:val="clear"/>
            <w:tcMar>
              <w:top w:type="dxa" w:w="80"/>
              <w:left w:type="dxa" w:w="120"/>
              <w:bottom w:type="dxa" w:w="80"/>
              <w:right w:type="dxa" w:w="120"/>
            </w:tcMar>
          </w:tcPr>
          <w:p>
            <w:r>
              <w:rPr>
                <w:rFonts w:ascii="Calibri" w:cs="Calibri" w:eastAsia="Calibri" w:hAnsi="Calibri"/>
                <w:b/>
                <w:bCs/>
                <w:color w:val="FFFFFF"/>
              </w:rPr>
              <w:t xml:space="preserve">Notes</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eClinicalWorks</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10</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All 6 patterns active</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Kareo</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5</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2 self-canonical clones</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AdvancedMD</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4–5</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Template</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Athena</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4–5</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Template</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NextGen</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4–5</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Template</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Practice Fusion</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4–5</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Template</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Cerner</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4–5</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Template</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Allscripts</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4–5</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Template</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Medisoft</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4–5</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Template</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Amazing Charts</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4–5</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Template</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Office Ally</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4–5</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Template</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ICANotes</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4–5</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Template</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CareCloud</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4–5</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Template</w:t>
            </w:r>
          </w:p>
        </w:tc>
      </w:tr>
      <w:tr>
        <w:tc>
          <w:tcPr>
            <w:tcW w:type="dxa" w:w="3400"/>
            <w:tcBorders>
              <w:top w:val="single" w:color="B4B4B4" w:sz="1"/>
              <w:left w:val="single" w:color="B4B4B4" w:sz="1"/>
              <w:bottom w:val="single" w:color="B4B4B4" w:sz="1"/>
              <w:right w:val="single" w:color="B4B4B4" w:sz="1"/>
            </w:tcBorders>
            <w:shd w:fill="F2F2F2" w:val="clear"/>
            <w:tcMar>
              <w:top w:type="dxa" w:w="80"/>
              <w:left w:type="dxa" w:w="120"/>
              <w:bottom w:type="dxa" w:w="80"/>
              <w:right w:type="dxa" w:w="120"/>
            </w:tcMar>
          </w:tcPr>
          <w:p>
            <w:pPr>
              <w:spacing w:after="40"/>
            </w:pPr>
            <w:r>
              <w:rPr>
                <w:rFonts w:ascii="Calibri" w:cs="Calibri" w:eastAsia="Calibri" w:hAnsi="Calibri"/>
              </w:rPr>
              <w:t xml:space="preserve">PrognoCIS</w:t>
            </w:r>
          </w:p>
        </w:tc>
        <w:tc>
          <w:tcPr>
            <w:tcW w:type="dxa" w:w="160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4–5</w:t>
            </w:r>
          </w:p>
        </w:tc>
        <w:tc>
          <w:tcPr>
            <w:tcW w:type="dxa" w:w="4360"/>
            <w:tcBorders>
              <w:top w:val="single" w:color="B4B4B4" w:sz="1"/>
              <w:left w:val="single" w:color="B4B4B4" w:sz="1"/>
              <w:bottom w:val="single" w:color="B4B4B4" w:sz="1"/>
              <w:right w:val="single" w:color="B4B4B4" w:sz="1"/>
            </w:tcBorders>
            <w:tcMar>
              <w:top w:type="dxa" w:w="80"/>
              <w:left w:type="dxa" w:w="120"/>
              <w:bottom w:type="dxa" w:w="80"/>
              <w:right w:type="dxa" w:w="120"/>
            </w:tcMar>
          </w:tcPr>
          <w:p>
            <w:pPr>
              <w:spacing w:after="40"/>
            </w:pPr>
            <w:r>
              <w:rPr>
                <w:rFonts w:ascii="Calibri" w:cs="Calibri" w:eastAsia="Calibri" w:hAnsi="Calibri"/>
              </w:rPr>
              <w:t xml:space="preserve">Template</w:t>
            </w:r>
          </w:p>
        </w:tc>
      </w:tr>
    </w:tbl>
    <w:p>
      <w:r>
        <w:br w:type="page"/>
      </w:r>
    </w:p>
    <w:p>
      <w:pPr>
        <w:pStyle w:val="Heading1"/>
        <w:spacing w:after="160" w:before="320"/>
      </w:pPr>
      <w:r>
        <w:rPr>
          <w:rFonts w:ascii="Calibri" w:cs="Calibri" w:eastAsia="Calibri" w:hAnsi="Calibri"/>
        </w:rPr>
        <w:t xml:space="preserve">12 — Appendix B — Key URLs referenced in this audit</w:t>
      </w:r>
    </w:p>
    <w:p>
      <w:pPr>
        <w:pStyle w:val="Heading2"/>
        <w:spacing w:after="120" w:before="240"/>
      </w:pPr>
      <w:r>
        <w:rPr>
          <w:rFonts w:ascii="Calibri" w:cs="Calibri" w:eastAsia="Calibri" w:hAnsi="Calibri"/>
        </w:rPr>
        <w:t xml:space="preserve">12.1 Highest-priority URLs to action first</w:t>
      </w:r>
    </w:p>
    <w:p>
      <w:pPr>
        <w:pStyle w:val="ListParagraph"/>
        <w:numPr>
          <w:ilvl w:val="0"/>
          <w:numId w:val="2"/>
        </w:numPr>
        <w:spacing w:after="80"/>
      </w:pPr>
      <w:r>
        <w:rPr>
          <w:rFonts w:ascii="Consolas" w:cs="Consolas" w:eastAsia="Consolas" w:hAnsi="Consolas"/>
          <w:sz w:val="20"/>
          <w:szCs w:val="20"/>
        </w:rPr>
        <w:t xml:space="preserve">/states/medical-billing-services-in-california/</w:t>
      </w:r>
      <w:r>
        <w:rPr>
          <w:rFonts w:ascii="Calibri" w:cs="Calibri" w:eastAsia="Calibri" w:hAnsi="Calibri"/>
        </w:rPr>
        <w:t xml:space="preserve"> — 301, still receives 556 internal links.</w:t>
      </w:r>
    </w:p>
    <w:p>
      <w:pPr>
        <w:pStyle w:val="ListParagraph"/>
        <w:numPr>
          <w:ilvl w:val="0"/>
          <w:numId w:val="2"/>
        </w:numPr>
        <w:spacing w:after="80"/>
      </w:pPr>
      <w:r>
        <w:rPr>
          <w:rFonts w:ascii="Consolas" w:cs="Consolas" w:eastAsia="Consolas" w:hAnsi="Consolas"/>
          <w:sz w:val="20"/>
          <w:szCs w:val="20"/>
        </w:rPr>
        <w:t xml:space="preserve">/medical-billing/companies/</w:t>
      </w:r>
      <w:r>
        <w:rPr>
          <w:rFonts w:ascii="Calibri" w:cs="Calibri" w:eastAsia="Calibri" w:hAnsi="Calibri"/>
        </w:rPr>
        <w:t xml:space="preserve"> — hub of the January publish; kill.</w:t>
      </w:r>
    </w:p>
    <w:p>
      <w:pPr>
        <w:pStyle w:val="ListParagraph"/>
        <w:numPr>
          <w:ilvl w:val="0"/>
          <w:numId w:val="2"/>
        </w:numPr>
        <w:spacing w:after="80"/>
      </w:pPr>
      <w:r>
        <w:rPr>
          <w:rFonts w:ascii="Consolas" w:cs="Consolas" w:eastAsia="Consolas" w:hAnsi="Consolas"/>
          <w:sz w:val="20"/>
          <w:szCs w:val="20"/>
        </w:rPr>
        <w:t xml:space="preserve">/medical-billing/companies/texas/</w:t>
      </w:r>
      <w:r>
        <w:rPr>
          <w:rFonts w:ascii="Calibri" w:cs="Calibri" w:eastAsia="Calibri" w:hAnsi="Calibri"/>
        </w:rPr>
        <w:t xml:space="preserve"> — state parent with 0 links to its city children.</w:t>
      </w:r>
    </w:p>
    <w:p>
      <w:pPr>
        <w:pStyle w:val="ListParagraph"/>
        <w:numPr>
          <w:ilvl w:val="0"/>
          <w:numId w:val="2"/>
        </w:numPr>
        <w:spacing w:after="80"/>
      </w:pPr>
      <w:r>
        <w:rPr>
          <w:rFonts w:ascii="Consolas" w:cs="Consolas" w:eastAsia="Consolas" w:hAnsi="Consolas"/>
          <w:sz w:val="20"/>
          <w:szCs w:val="20"/>
        </w:rPr>
        <w:t xml:space="preserve">/medical-billing/services/texas/</w:t>
      </w:r>
      <w:r>
        <w:rPr>
          <w:rFonts w:ascii="Calibri" w:cs="Calibri" w:eastAsia="Calibri" w:hAnsi="Calibri"/>
        </w:rPr>
        <w:t xml:space="preserve"> — double H1 in the state-service template.</w:t>
      </w:r>
    </w:p>
    <w:p>
      <w:pPr>
        <w:pStyle w:val="ListParagraph"/>
        <w:numPr>
          <w:ilvl w:val="0"/>
          <w:numId w:val="2"/>
        </w:numPr>
        <w:spacing w:after="80"/>
      </w:pPr>
      <w:r>
        <w:rPr>
          <w:rFonts w:ascii="Consolas" w:cs="Consolas" w:eastAsia="Consolas" w:hAnsi="Consolas"/>
          <w:sz w:val="20"/>
          <w:szCs w:val="20"/>
        </w:rPr>
        <w:t xml:space="preserve">/cardiology-billing/, /cardiology-medical-billing/, /medical-billing/cardiology/, …</w:t>
      </w:r>
      <w:r>
        <w:rPr>
          <w:rFonts w:ascii="Calibri" w:cs="Calibri" w:eastAsia="Calibri" w:hAnsi="Calibri"/>
        </w:rPr>
        <w:t xml:space="preserve"> — 9 siblings, pick one canonical.</w:t>
      </w:r>
    </w:p>
    <w:p>
      <w:pPr>
        <w:pStyle w:val="ListParagraph"/>
        <w:numPr>
          <w:ilvl w:val="0"/>
          <w:numId w:val="2"/>
        </w:numPr>
        <w:spacing w:after="80"/>
      </w:pPr>
      <w:r>
        <w:rPr>
          <w:rFonts w:ascii="Consolas" w:cs="Consolas" w:eastAsia="Consolas" w:hAnsi="Consolas"/>
          <w:sz w:val="20"/>
          <w:szCs w:val="20"/>
        </w:rPr>
        <w:t xml:space="preserve">/eclinicalworks-ehr/, /medical-billing/software/eclinicalworks/, /emr-eclinicalworks/, …</w:t>
      </w:r>
      <w:r>
        <w:rPr>
          <w:rFonts w:ascii="Calibri" w:cs="Calibri" w:eastAsia="Calibri" w:hAnsi="Calibri"/>
        </w:rPr>
        <w:t xml:space="preserve"> — 10 siblings, pick one canonical.</w:t>
      </w:r>
    </w:p>
    <w:p>
      <w:pPr>
        <w:pStyle w:val="Heading2"/>
        <w:spacing w:after="120" w:before="240"/>
      </w:pPr>
      <w:r>
        <w:rPr>
          <w:rFonts w:ascii="Calibri" w:cs="Calibri" w:eastAsia="Calibri" w:hAnsi="Calibri"/>
        </w:rPr>
        <w:t xml:space="preserve">12.2 What healthy looks like (the target state)</w:t>
      </w:r>
    </w:p>
    <w:p>
      <w:pPr>
        <w:pStyle w:val="ListParagraph"/>
        <w:numPr>
          <w:ilvl w:val="0"/>
          <w:numId w:val="2"/>
        </w:numPr>
        <w:spacing w:after="80"/>
      </w:pPr>
      <w:r>
        <w:rPr>
          <w:rFonts w:ascii="Calibri" w:cs="Calibri" w:eastAsia="Calibri" w:hAnsi="Calibri"/>
        </w:rPr>
        <w:t xml:space="preserve">Every priority specialty: exactly one canonical URL under </w:t>
      </w:r>
      <w:r>
        <w:rPr>
          <w:rFonts w:ascii="Consolas" w:cs="Consolas" w:eastAsia="Consolas" w:hAnsi="Consolas"/>
          <w:sz w:val="20"/>
          <w:szCs w:val="20"/>
        </w:rPr>
        <w:t xml:space="preserve">/medical-billing/services/&lt;spec&gt;-billing/</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Every priority state: exactly one canonical URL under </w:t>
      </w:r>
      <w:r>
        <w:rPr>
          <w:rFonts w:ascii="Consolas" w:cs="Consolas" w:eastAsia="Consolas" w:hAnsi="Consolas"/>
          <w:sz w:val="20"/>
          <w:szCs w:val="20"/>
        </w:rPr>
        <w:t xml:space="preserve">/medical-billing/services/&lt;state&gt;/</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Every priority EMR: exactly one canonical URL under </w:t>
      </w:r>
      <w:r>
        <w:rPr>
          <w:rFonts w:ascii="Consolas" w:cs="Consolas" w:eastAsia="Consolas" w:hAnsi="Consolas"/>
          <w:sz w:val="20"/>
          <w:szCs w:val="20"/>
        </w:rPr>
        <w:t xml:space="preserve">/medical-billing/software/&lt;emr&gt;/</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No /medical-billing/companies/ URLs exist.</w:t>
      </w:r>
    </w:p>
    <w:p>
      <w:pPr>
        <w:pStyle w:val="ListParagraph"/>
        <w:numPr>
          <w:ilvl w:val="0"/>
          <w:numId w:val="2"/>
        </w:numPr>
        <w:spacing w:after="80"/>
      </w:pPr>
      <w:r>
        <w:rPr>
          <w:rFonts w:ascii="Calibri" w:cs="Calibri" w:eastAsia="Calibri" w:hAnsi="Calibri"/>
        </w:rPr>
        <w:t xml:space="preserve">Every I-node is reachable from the homepage in ≤ 3 clicks via S → C → I.</w:t>
      </w:r>
    </w:p>
    <w:p>
      <w:pPr>
        <w:pStyle w:val="ListParagraph"/>
        <w:numPr>
          <w:ilvl w:val="0"/>
          <w:numId w:val="2"/>
        </w:numPr>
        <w:spacing w:after="80"/>
      </w:pPr>
      <w:r>
        <w:rPr>
          <w:rFonts w:ascii="Calibri" w:cs="Calibri" w:eastAsia="Calibri" w:hAnsi="Calibri"/>
        </w:rPr>
        <w:t xml:space="preserve">Every page has Organization + Article + FAQ + Person schema; listicles have ItemList; author is named and credentialed.</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06060"/>
        <w:sz w:val="18"/>
        <w:szCs w:val="18"/>
      </w:rPr>
      <w:t xml:space="preserve">Page </w:t>
    </w:r>
    <w:r>
      <w:rPr>
        <w:rFonts w:ascii="Calibri" w:cs="Calibri" w:eastAsia="Calibri" w:hAnsi="Calibri"/>
        <w:color w:val="606060"/>
        <w:sz w:val="18"/>
        <w:szCs w:val="18"/>
      </w:rPr>
      <w:fldChar w:fldCharType="begin"/>
      <w:instrText xml:space="preserve">PAGE</w:instrText>
      <w:fldChar w:fldCharType="separate"/>
      <w:fldChar w:fldCharType="end"/>
    </w:r>
    <w:r>
      <w:rPr>
        <w:rFonts w:ascii="Calibri" w:cs="Calibri" w:eastAsia="Calibri" w:hAnsi="Calibri"/>
        <w:color w:val="606060"/>
        <w:sz w:val="18"/>
        <w:szCs w:val="18"/>
      </w:rPr>
      <w:t xml:space="preserve"> of </w:t>
    </w:r>
    <w:r>
      <w:rPr>
        <w:rFonts w:ascii="Calibri" w:cs="Calibri" w:eastAsia="Calibri" w:hAnsi="Calibri"/>
        <w:color w:val="6060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06060"/>
        <w:sz w:val="18"/>
        <w:szCs w:val="18"/>
      </w:rPr>
      <w:t xml:space="preserve">Transcure — Koray-Framework SEO Audit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Transcure Koray-Framework SEO Audit</dc:title>
  <dc:creator>Transcure SEO Research Desk</dc:creator>
  <dc:description>Root-cause analysis of the January 2026 listicle publish and Koray-framework remediation roadmap for transcure.net.</dc:description>
  <cp:lastModifiedBy>Un-named</cp:lastModifiedBy>
  <cp:revision>1</cp:revision>
  <dcterms:created xsi:type="dcterms:W3CDTF">2026-04-27T11:31:08.238Z</dcterms:created>
  <dcterms:modified xsi:type="dcterms:W3CDTF">2026-04-27T11:31:08.251Z</dcterms:modified>
</cp:coreProperties>
</file>

<file path=docProps/custom.xml><?xml version="1.0" encoding="utf-8"?>
<Properties xmlns="http://schemas.openxmlformats.org/officeDocument/2006/custom-properties" xmlns:vt="http://schemas.openxmlformats.org/officeDocument/2006/docPropsVTypes"/>
</file>