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맑은 고딕" w:cs="맑은 고딕" w:eastAsia="맑은 고딕" w:hAnsi="맑은 고딕"/>
          <w:color w:val="595959"/>
          <w:sz w:val="20"/>
          <w:szCs w:val="20"/>
        </w:rPr>
        <w:t xml:space="preserve">제1회 AI금융빅데이터플랫폼 소비데이터 활용 분석·아이디어 공모전</w:t>
      </w:r>
    </w:p>
    <w:p>
      <w:pPr>
        <w:spacing w:after="0" w:before="60"/>
        <w:jc w:val="center"/>
      </w:pPr>
      <w:r>
        <w:rPr>
          <w:rFonts w:ascii="맑은 고딕" w:cs="맑은 고딕" w:eastAsia="맑은 고딕" w:hAnsi="맑은 고딕"/>
          <w:color w:val="595959"/>
          <w:sz w:val="20"/>
          <w:szCs w:val="20"/>
        </w:rPr>
        <w:t xml:space="preserve">결과물(자유형식) · 보고서</w:t>
      </w:r>
    </w:p>
    <w:p>
      <w:pPr>
        <w:spacing w:after="0" w:before="500"/>
        <w:jc w:val="center"/>
      </w:pPr>
      <w:r>
        <w:rPr>
          <w:rFonts w:ascii="맑은 고딕" w:cs="맑은 고딕" w:eastAsia="맑은 고딕" w:hAnsi="맑은 고딕"/>
          <w:b/>
          <w:bCs/>
          <w:color w:val="000000"/>
          <w:sz w:val="50"/>
          <w:szCs w:val="50"/>
        </w:rPr>
        <w:t xml:space="preserve">SNS보다 카드가 먼저 안다?</w:t>
      </w:r>
    </w:p>
    <w:p>
      <w:pPr>
        <w:spacing w:after="0" w:before="160"/>
        <w:jc w:val="center"/>
      </w:pPr>
      <w:r>
        <w:rPr>
          <w:rFonts w:ascii="맑은 고딕" w:cs="맑은 고딕" w:eastAsia="맑은 고딕" w:hAnsi="맑은 고딕"/>
          <w:b/>
          <w:bCs/>
          <w:color w:val="000000"/>
          <w:sz w:val="30"/>
          <w:szCs w:val="30"/>
        </w:rPr>
        <w:t xml:space="preserve">외국인 인바운드 로컬 디스커버리</w:t>
      </w:r>
    </w:p>
    <w:p>
      <w:pPr>
        <w:spacing w:after="0" w:before="280"/>
        <w:jc w:val="center"/>
      </w:pPr>
      <w:r>
        <w:rPr>
          <w:rFonts w:ascii="맑은 고딕" w:cs="맑은 고딕" w:eastAsia="맑은 고딕" w:hAnsi="맑은 고딕"/>
          <w:color w:val="595959"/>
          <w:sz w:val="21"/>
          <w:szCs w:val="21"/>
        </w:rPr>
        <w:t xml:space="preserve">BC카드 소비데이터로 ‘아직 덜 알려진’ 지방 상권을 먼저 찾고,</w:t>
      </w:r>
    </w:p>
    <w:p>
      <w:pPr>
        <w:spacing w:after="0" w:before="40"/>
        <w:jc w:val="center"/>
      </w:pPr>
      <w:r>
        <w:rPr>
          <w:rFonts w:ascii="맑은 고딕" w:cs="맑은 고딕" w:eastAsia="맑은 고딕" w:hAnsi="맑은 고딕"/>
          <w:color w:val="595959"/>
          <w:sz w:val="21"/>
          <w:szCs w:val="21"/>
        </w:rPr>
        <w:t xml:space="preserve">그 신호를 서비스로 바꾸는 제안</w:t>
      </w:r>
    </w:p>
    <w:p>
      <w:pPr>
        <w:spacing w:after="0" w:before="1400"/>
        <w:jc w:val="center"/>
      </w:pPr>
      <w:r>
        <w:rPr>
          <w:rFonts w:ascii="맑은 고딕" w:cs="맑은 고딕" w:eastAsia="맑은 고딕" w:hAnsi="맑은 고딕"/>
          <w:b/>
          <w:bCs/>
          <w:color w:val="000000"/>
          <w:sz w:val="22"/>
          <w:szCs w:val="22"/>
        </w:rPr>
        <w:t xml:space="preserve">윤서영</w:t>
      </w:r>
      <w:r>
        <w:rPr>
          <w:rFonts w:ascii="맑은 고딕" w:cs="맑은 고딕" w:eastAsia="맑은 고딕" w:hAnsi="맑은 고딕"/>
          <w:color w:val="595959"/>
          <w:sz w:val="20"/>
          <w:szCs w:val="20"/>
        </w:rPr>
        <w:t xml:space="preserve">   충북대학교 · 개인 참가</w:t>
      </w:r>
    </w:p>
    <w:p>
      <w:pPr>
        <w:spacing w:after="0" w:before="80"/>
        <w:jc w:val="center"/>
      </w:pPr>
      <w:r>
        <w:rPr>
          <w:rFonts w:ascii="맑은 고딕" w:cs="맑은 고딕" w:eastAsia="맑은 고딕" w:hAnsi="맑은 고딕"/>
          <w:color w:val="595959"/>
          <w:sz w:val="19"/>
          <w:szCs w:val="19"/>
        </w:rPr>
        <w:t xml:space="preserve">2026. 9. 22 제출</w:t>
      </w:r>
    </w:p>
    <w:p>
      <w:r>
        <w:br w:type="page"/>
      </w:r>
    </w:p>
    <w:p>
      <w:pPr>
        <w:pStyle w:val="Heading1"/>
        <w:spacing w:after="320"/>
      </w:pPr>
      <w:r>
        <w:rPr>
          <w:rFonts w:ascii="맑은 고딕" w:cs="맑은 고딕" w:eastAsia="맑은 고딕" w:hAnsi="맑은 고딕"/>
          <w:b/>
          <w:bCs/>
          <w:color w:val="000000"/>
          <w:sz w:val="30"/>
          <w:szCs w:val="30"/>
        </w:rPr>
        <w:t xml:space="preserve">목차</w:t>
      </w:r>
    </w:p>
    <w:p>
      <w:pPr>
        <w:spacing w:after="170"/>
      </w:pPr>
      <w:r>
        <w:rPr>
          <w:rFonts w:ascii="맑은 고딕" w:cs="맑은 고딕" w:eastAsia="맑은 고딕" w:hAnsi="맑은 고딕"/>
          <w:b/>
          <w:bCs/>
          <w:color w:val="000000"/>
          <w:sz w:val="22"/>
          <w:szCs w:val="22"/>
        </w:rPr>
        <w:t xml:space="preserve">I  </w:t>
      </w:r>
      <w:r>
        <w:rPr>
          <w:rFonts w:ascii="맑은 고딕" w:cs="맑은 고딕" w:eastAsia="맑은 고딕" w:hAnsi="맑은 고딕"/>
          <w:b/>
          <w:bCs/>
          <w:color w:val="000000"/>
          <w:sz w:val="22"/>
          <w:szCs w:val="22"/>
        </w:rPr>
        <w:t xml:space="preserve">개요</w:t>
      </w:r>
      <w:r>
        <w:br/>
        <w:t xml:space="preserve"/>
      </w:r>
      <w:r>
        <w:rPr>
          <w:rFonts w:ascii="맑은 고딕" w:cs="맑은 고딕" w:eastAsia="맑은 고딕" w:hAnsi="맑은 고딕"/>
          <w:color w:val="595959"/>
          <w:sz w:val="18"/>
          <w:szCs w:val="18"/>
        </w:rPr>
        <w:t xml:space="preserve">   문제 → 가설 → 검증 → 서비스 제안 → 기대효과의 흐름과 판정 결과를 한 번에 정리</w:t>
      </w:r>
    </w:p>
    <w:p>
      <w:pPr>
        <w:spacing w:after="170"/>
      </w:pPr>
      <w:r>
        <w:rPr>
          <w:rFonts w:ascii="맑은 고딕" w:cs="맑은 고딕" w:eastAsia="맑은 고딕" w:hAnsi="맑은 고딕"/>
          <w:b/>
          <w:bCs/>
          <w:color w:val="000000"/>
          <w:sz w:val="22"/>
          <w:szCs w:val="22"/>
        </w:rPr>
        <w:t xml:space="preserve">II  </w:t>
      </w:r>
      <w:r>
        <w:rPr>
          <w:rFonts w:ascii="맑은 고딕" w:cs="맑은 고딕" w:eastAsia="맑은 고딕" w:hAnsi="맑은 고딕"/>
          <w:b/>
          <w:bCs/>
          <w:color w:val="000000"/>
          <w:sz w:val="22"/>
          <w:szCs w:val="22"/>
        </w:rPr>
        <w:t xml:space="preserve">문제 인식</w:t>
      </w:r>
      <w:r>
        <w:br/>
        <w:t xml:space="preserve"/>
      </w:r>
      <w:r>
        <w:rPr>
          <w:rFonts w:ascii="맑은 고딕" w:cs="맑은 고딕" w:eastAsia="맑은 고딕" w:hAnsi="맑은 고딕"/>
          <w:color w:val="595959"/>
          <w:sz w:val="18"/>
          <w:szCs w:val="18"/>
        </w:rPr>
        <w:t xml:space="preserve">   카드업계 수수료 압박과 BC카드의 매입업무 의존 구조</w:t>
      </w:r>
    </w:p>
    <w:p>
      <w:pPr>
        <w:spacing w:after="170"/>
      </w:pPr>
      <w:r>
        <w:rPr>
          <w:rFonts w:ascii="맑은 고딕" w:cs="맑은 고딕" w:eastAsia="맑은 고딕" w:hAnsi="맑은 고딕"/>
          <w:b/>
          <w:bCs/>
          <w:color w:val="000000"/>
          <w:sz w:val="22"/>
          <w:szCs w:val="22"/>
        </w:rPr>
        <w:t xml:space="preserve">III  </w:t>
      </w:r>
      <w:r>
        <w:rPr>
          <w:rFonts w:ascii="맑은 고딕" w:cs="맑은 고딕" w:eastAsia="맑은 고딕" w:hAnsi="맑은 고딕"/>
          <w:b/>
          <w:bCs/>
          <w:color w:val="000000"/>
          <w:sz w:val="22"/>
          <w:szCs w:val="22"/>
        </w:rPr>
        <w:t xml:space="preserve">데이터와 분석 방법론</w:t>
      </w:r>
      <w:r>
        <w:br/>
        <w:t xml:space="preserve"/>
      </w:r>
      <w:r>
        <w:rPr>
          <w:rFonts w:ascii="맑은 고딕" w:cs="맑은 고딕" w:eastAsia="맑은 고딕" w:hAnsi="맑은 고딕"/>
          <w:color w:val="595959"/>
          <w:sz w:val="18"/>
          <w:szCs w:val="18"/>
        </w:rPr>
        <w:t xml:space="preserve">   제공 데이터 활용 방식, 신호 정의, 0~7단계 분석 파이프라인, 외부 데이터 원칙</w:t>
      </w:r>
    </w:p>
    <w:p>
      <w:pPr>
        <w:spacing w:after="170"/>
      </w:pPr>
      <w:r>
        <w:rPr>
          <w:rFonts w:ascii="맑은 고딕" w:cs="맑은 고딕" w:eastAsia="맑은 고딕" w:hAnsi="맑은 고딕"/>
          <w:b/>
          <w:bCs/>
          <w:color w:val="000000"/>
          <w:sz w:val="22"/>
          <w:szCs w:val="22"/>
        </w:rPr>
        <w:t xml:space="preserve">IV  </w:t>
      </w:r>
      <w:r>
        <w:rPr>
          <w:rFonts w:ascii="맑은 고딕" w:cs="맑은 고딕" w:eastAsia="맑은 고딕" w:hAnsi="맑은 고딕"/>
          <w:b/>
          <w:bCs/>
          <w:color w:val="000000"/>
          <w:sz w:val="22"/>
          <w:szCs w:val="22"/>
        </w:rPr>
        <w:t xml:space="preserve">가설 설정</w:t>
      </w:r>
      <w:r>
        <w:br/>
        <w:t xml:space="preserve"/>
      </w:r>
      <w:r>
        <w:rPr>
          <w:rFonts w:ascii="맑은 고딕" w:cs="맑은 고딕" w:eastAsia="맑은 고딕" w:hAnsi="맑은 고딕"/>
          <w:color w:val="595959"/>
          <w:sz w:val="18"/>
          <w:szCs w:val="18"/>
        </w:rPr>
        <w:t xml:space="preserve">   H1 선행성 · H2 사각지대 · H3 지속성 — 세 가설의 배경과 검증 방법 개요</w:t>
      </w:r>
    </w:p>
    <w:p>
      <w:pPr>
        <w:spacing w:after="170"/>
      </w:pPr>
      <w:r>
        <w:rPr>
          <w:rFonts w:ascii="맑은 고딕" w:cs="맑은 고딕" w:eastAsia="맑은 고딕" w:hAnsi="맑은 고딕"/>
          <w:b/>
          <w:bCs/>
          <w:color w:val="000000"/>
          <w:sz w:val="22"/>
          <w:szCs w:val="22"/>
        </w:rPr>
        <w:t xml:space="preserve">V  </w:t>
      </w:r>
      <w:r>
        <w:rPr>
          <w:rFonts w:ascii="맑은 고딕" w:cs="맑은 고딕" w:eastAsia="맑은 고딕" w:hAnsi="맑은 고딕"/>
          <w:b/>
          <w:bCs/>
          <w:color w:val="000000"/>
          <w:sz w:val="22"/>
          <w:szCs w:val="22"/>
        </w:rPr>
        <w:t xml:space="preserve">분석 결과: 신호 탐지와 원인 분류</w:t>
      </w:r>
      <w:r>
        <w:br/>
        <w:t xml:space="preserve"/>
      </w:r>
      <w:r>
        <w:rPr>
          <w:rFonts w:ascii="맑은 고딕" w:cs="맑은 고딕" w:eastAsia="맑은 고딕" w:hAnsi="맑은 고딕"/>
          <w:color w:val="595959"/>
          <w:sz w:val="18"/>
          <w:szCs w:val="18"/>
        </w:rPr>
        <w:t xml:space="preserve">   최종 후보 8곳, 지도·히트맵, 사례(청송·양양), 세 교란요인과 Track A·B 분류</w:t>
      </w:r>
    </w:p>
    <w:p>
      <w:pPr>
        <w:spacing w:after="170"/>
      </w:pPr>
      <w:r>
        <w:rPr>
          <w:rFonts w:ascii="맑은 고딕" w:cs="맑은 고딕" w:eastAsia="맑은 고딕" w:hAnsi="맑은 고딕"/>
          <w:b/>
          <w:bCs/>
          <w:color w:val="000000"/>
          <w:sz w:val="22"/>
          <w:szCs w:val="22"/>
        </w:rPr>
        <w:t xml:space="preserve">VI  </w:t>
      </w:r>
      <w:r>
        <w:rPr>
          <w:rFonts w:ascii="맑은 고딕" w:cs="맑은 고딕" w:eastAsia="맑은 고딕" w:hAnsi="맑은 고딕"/>
          <w:b/>
          <w:bCs/>
          <w:color w:val="000000"/>
          <w:sz w:val="22"/>
          <w:szCs w:val="22"/>
        </w:rPr>
        <w:t xml:space="preserve">가설 검증</w:t>
      </w:r>
      <w:r>
        <w:br/>
        <w:t xml:space="preserve"/>
      </w:r>
      <w:r>
        <w:rPr>
          <w:rFonts w:ascii="맑은 고딕" w:cs="맑은 고딕" w:eastAsia="맑은 고딕" w:hAnsi="맑은 고딕"/>
          <w:color w:val="595959"/>
          <w:sz w:val="18"/>
          <w:szCs w:val="18"/>
        </w:rPr>
        <w:t xml:space="preserve">   H1·H2·H3 각각의 검증 방법과 결과, 통계적 근거와 판정</w:t>
      </w:r>
    </w:p>
    <w:p>
      <w:pPr>
        <w:spacing w:after="170"/>
      </w:pPr>
      <w:r>
        <w:rPr>
          <w:rFonts w:ascii="맑은 고딕" w:cs="맑은 고딕" w:eastAsia="맑은 고딕" w:hAnsi="맑은 고딕"/>
          <w:b/>
          <w:bCs/>
          <w:color w:val="000000"/>
          <w:sz w:val="22"/>
          <w:szCs w:val="22"/>
        </w:rPr>
        <w:t xml:space="preserve">VII  </w:t>
      </w:r>
      <w:r>
        <w:rPr>
          <w:rFonts w:ascii="맑은 고딕" w:cs="맑은 고딕" w:eastAsia="맑은 고딕" w:hAnsi="맑은 고딕"/>
          <w:b/>
          <w:bCs/>
          <w:color w:val="000000"/>
          <w:sz w:val="22"/>
          <w:szCs w:val="22"/>
        </w:rPr>
        <w:t xml:space="preserve">서비스 아이디어 제안</w:t>
      </w:r>
      <w:r>
        <w:br/>
        <w:t xml:space="preserve"/>
      </w:r>
      <w:r>
        <w:rPr>
          <w:rFonts w:ascii="맑은 고딕" w:cs="맑은 고딕" w:eastAsia="맑은 고딕" w:hAnsi="맑은 고딕"/>
          <w:color w:val="595959"/>
          <w:sz w:val="18"/>
          <w:szCs w:val="18"/>
        </w:rPr>
        <w:t xml:space="preserve">   컨셉, 서비스 구조, 실현가능성, 기존 서비스와의 차별점</w:t>
      </w:r>
    </w:p>
    <w:p>
      <w:pPr>
        <w:spacing w:after="170"/>
      </w:pPr>
      <w:r>
        <w:rPr>
          <w:rFonts w:ascii="맑은 고딕" w:cs="맑은 고딕" w:eastAsia="맑은 고딕" w:hAnsi="맑은 고딕"/>
          <w:b/>
          <w:bCs/>
          <w:color w:val="000000"/>
          <w:sz w:val="22"/>
          <w:szCs w:val="22"/>
        </w:rPr>
        <w:t xml:space="preserve">VIII  </w:t>
      </w:r>
      <w:r>
        <w:rPr>
          <w:rFonts w:ascii="맑은 고딕" w:cs="맑은 고딕" w:eastAsia="맑은 고딕" w:hAnsi="맑은 고딕"/>
          <w:b/>
          <w:bCs/>
          <w:color w:val="000000"/>
          <w:sz w:val="22"/>
          <w:szCs w:val="22"/>
        </w:rPr>
        <w:t xml:space="preserve">기대효과</w:t>
      </w:r>
      <w:r>
        <w:br/>
        <w:t xml:space="preserve"/>
      </w:r>
      <w:r>
        <w:rPr>
          <w:rFonts w:ascii="맑은 고딕" w:cs="맑은 고딕" w:eastAsia="맑은 고딕" w:hAnsi="맑은 고딕"/>
          <w:color w:val="595959"/>
          <w:sz w:val="18"/>
          <w:szCs w:val="18"/>
        </w:rPr>
        <w:t xml:space="preserve">   후보 8곳의 소비 성장과 그 의미, 파일럿 규모라는 전제</w:t>
      </w:r>
    </w:p>
    <w:p>
      <w:pPr>
        <w:spacing w:after="170"/>
      </w:pPr>
      <w:r>
        <w:rPr>
          <w:rFonts w:ascii="맑은 고딕" w:cs="맑은 고딕" w:eastAsia="맑은 고딕" w:hAnsi="맑은 고딕"/>
          <w:b/>
          <w:bCs/>
          <w:color w:val="000000"/>
          <w:sz w:val="22"/>
          <w:szCs w:val="22"/>
        </w:rPr>
        <w:t xml:space="preserve">IX  </w:t>
      </w:r>
      <w:r>
        <w:rPr>
          <w:rFonts w:ascii="맑은 고딕" w:cs="맑은 고딕" w:eastAsia="맑은 고딕" w:hAnsi="맑은 고딕"/>
          <w:b/>
          <w:bCs/>
          <w:color w:val="000000"/>
          <w:sz w:val="22"/>
          <w:szCs w:val="22"/>
        </w:rPr>
        <w:t xml:space="preserve">한계점과 보완</w:t>
      </w:r>
      <w:r>
        <w:br/>
        <w:t xml:space="preserve"/>
      </w:r>
      <w:r>
        <w:rPr>
          <w:rFonts w:ascii="맑은 고딕" w:cs="맑은 고딕" w:eastAsia="맑은 고딕" w:hAnsi="맑은 고딕"/>
          <w:color w:val="595959"/>
          <w:sz w:val="18"/>
          <w:szCs w:val="18"/>
        </w:rPr>
        <w:t xml:space="preserve">   아홉 가지 한계와 각각의 대응 방안</w:t>
      </w:r>
    </w:p>
    <w:p>
      <w:pPr>
        <w:spacing w:after="170"/>
      </w:pPr>
      <w:r>
        <w:rPr>
          <w:rFonts w:ascii="맑은 고딕" w:cs="맑은 고딕" w:eastAsia="맑은 고딕" w:hAnsi="맑은 고딕"/>
          <w:b/>
          <w:bCs/>
          <w:color w:val="000000"/>
          <w:sz w:val="22"/>
          <w:szCs w:val="22"/>
        </w:rPr>
        <w:t xml:space="preserve">X  </w:t>
      </w:r>
      <w:r>
        <w:rPr>
          <w:rFonts w:ascii="맑은 고딕" w:cs="맑은 고딕" w:eastAsia="맑은 고딕" w:hAnsi="맑은 고딕"/>
          <w:b/>
          <w:bCs/>
          <w:color w:val="000000"/>
          <w:sz w:val="22"/>
          <w:szCs w:val="22"/>
        </w:rPr>
        <w:t xml:space="preserve">결론 및 제언</w:t>
      </w:r>
      <w:r>
        <w:br/>
        <w:t xml:space="preserve"/>
      </w:r>
      <w:r>
        <w:rPr>
          <w:rFonts w:ascii="맑은 고딕" w:cs="맑은 고딕" w:eastAsia="맑은 고딕" w:hAnsi="맑은 고딕"/>
          <w:color w:val="595959"/>
          <w:sz w:val="18"/>
          <w:szCs w:val="18"/>
        </w:rPr>
        <w:t xml:space="preserve">   핵심 기여, BC카드 데이터 개선 제안, 후속 과제</w:t>
      </w:r>
    </w:p>
    <w:p>
      <w:pPr>
        <w:spacing w:after="170"/>
      </w:pPr>
      <w:r>
        <w:rPr>
          <w:rFonts w:ascii="맑은 고딕" w:cs="맑은 고딕" w:eastAsia="맑은 고딕" w:hAnsi="맑은 고딕"/>
          <w:b/>
          <w:bCs/>
          <w:color w:val="000000"/>
          <w:sz w:val="22"/>
          <w:szCs w:val="22"/>
        </w:rPr>
        <w:t xml:space="preserve">부록  </w:t>
      </w:r>
      <w:r>
        <w:rPr>
          <w:rFonts w:ascii="맑은 고딕" w:cs="맑은 고딕" w:eastAsia="맑은 고딕" w:hAnsi="맑은 고딕"/>
          <w:b/>
          <w:bCs/>
          <w:color w:val="000000"/>
          <w:sz w:val="22"/>
          <w:szCs w:val="22"/>
        </w:rPr>
        <w:t xml:space="preserve">A ~ E</w:t>
      </w:r>
      <w:r>
        <w:br/>
        <w:t xml:space="preserve"/>
      </w:r>
      <w:r>
        <w:rPr>
          <w:rFonts w:ascii="맑은 고딕" w:cs="맑은 고딕" w:eastAsia="맑은 고딕" w:hAnsi="맑은 고딕"/>
          <w:color w:val="595959"/>
          <w:sz w:val="18"/>
          <w:szCs w:val="18"/>
        </w:rPr>
        <w:t xml:space="preserve">   첨부 자료 안내 · 재현 가이드 · 검증 계획 대 실제 · 접은 자료와 바꾼 결정 · 참고문헌</w:t>
      </w:r>
    </w:p>
    <w:p>
      <w:r>
        <w:br w:type="page"/>
      </w:r>
    </w:p>
    <w:p>
      <w:pPr>
        <w:pStyle w:val="Heading1"/>
        <w:pBdr>
          <w:bottom w:val="single" w:color="000000" w:sz="10" w:space="6"/>
        </w:pBdr>
        <w:spacing w:after="200" w:before="480"/>
      </w:pPr>
      <w:r>
        <w:rPr>
          <w:rFonts w:ascii="맑은 고딕" w:cs="맑은 고딕" w:eastAsia="맑은 고딕" w:hAnsi="맑은 고딕"/>
          <w:b/>
          <w:bCs/>
          <w:color w:val="000000"/>
          <w:sz w:val="30"/>
          <w:szCs w:val="30"/>
        </w:rPr>
        <w:t xml:space="preserve">I.  </w:t>
      </w:r>
      <w:r>
        <w:rPr>
          <w:rFonts w:ascii="맑은 고딕" w:cs="맑은 고딕" w:eastAsia="맑은 고딕" w:hAnsi="맑은 고딕"/>
          <w:b/>
          <w:bCs/>
          <w:color w:val="000000"/>
          <w:sz w:val="30"/>
          <w:szCs w:val="30"/>
        </w:rPr>
        <w:t xml:space="preserve">개요</w:t>
      </w:r>
    </w:p>
    <w:p>
      <w:pPr>
        <w:spacing w:after="160" w:line="288"/>
      </w:pPr>
      <w:r>
        <w:rPr>
          <w:rFonts w:ascii="맑은 고딕" w:cs="맑은 고딕" w:eastAsia="맑은 고딕" w:hAnsi="맑은 고딕"/>
          <w:sz w:val="21"/>
          <w:szCs w:val="21"/>
        </w:rPr>
        <w:t xml:space="preserve">카드 결제는 리뷰나 SNS 게시물과 달리 발생 즉시 데이터가 된다. 이 보고서는 BC카드가 제공한 전국 시군구·업종별 소비 집계데이터에서 외국인 카드 소비가 전국 동종업종 평균보다 빠르게 늘어나는 지역을 찾아내고, 그 신호가 실제로 방문객 증가·언론 보도와 어떤 순서로 나타나는지를 검증한 뒤, 이를 지자체·소상공인·외국인 이용자에게 알리는 서비스로 제안한다.</w:t>
      </w:r>
    </w:p>
    <w:p>
      <w:pPr>
        <w:spacing w:after="160" w:line="288"/>
      </w:pPr>
      <w:r>
        <w:rPr>
          <w:rFonts w:ascii="맑은 고딕" w:cs="맑은 고딕" w:eastAsia="맑은 고딕" w:hAnsi="맑은 고딕"/>
          <w:sz w:val="21"/>
          <w:szCs w:val="21"/>
        </w:rPr>
        <w:t xml:space="preserve">분석은 세 가지 가설을 축으로 진행했다. 카드 신호가 대중 인지보다 먼저 뜨는지(H1 선행성), 신호가 뜨는 지역이 이미 유명한 관광지가 아닌지(H2 사각지대), 신호가 우연이 아니라 이후에도 유지되는지(H3 지속성)이다. 아래 표는 세 가설의 검증 결과를 요약한다.</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1467"/>
        <w:gridCol w:w="3117"/>
        <w:gridCol w:w="3667"/>
        <w:gridCol w:w="1100"/>
      </w:tblGrid>
      <w:tr>
        <w:trPr>
          <w:tblHeader/>
        </w:trPr>
        <w:tc>
          <w:tcPr>
            <w:tcW w:type="dxa" w:w="1467"/>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가설</w:t>
            </w:r>
          </w:p>
        </w:tc>
        <w:tc>
          <w:tcPr>
            <w:tcW w:type="dxa" w:w="3117"/>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핵심 질문</w:t>
            </w:r>
          </w:p>
        </w:tc>
        <w:tc>
          <w:tcPr>
            <w:tcW w:type="dxa" w:w="3667"/>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핵심 근거</w:t>
            </w:r>
          </w:p>
        </w:tc>
        <w:tc>
          <w:tcPr>
            <w:tcW w:type="dxa" w:w="1100"/>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판정</w:t>
            </w:r>
          </w:p>
        </w:tc>
      </w:tr>
      <w:tr>
        <w:tc>
          <w:tcPr>
            <w:tcW w:type="dxa" w:w="146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H1 · 선행성</w:t>
            </w:r>
          </w:p>
        </w:tc>
        <w:tc>
          <w:tcPr>
            <w:tcW w:type="dxa" w:w="311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카드 신호가 대중 인지(방문·보도)보다 먼저 뜨는가</w:t>
            </w:r>
          </w:p>
        </w:tc>
        <w:tc>
          <w:tcPr>
            <w:tcW w:type="dxa" w:w="366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정점월 비교 8곳 중 6곳은 방문자가 먼저, 옹진군만 카드가 1개월 먼저(n=1). Spearman ρ=-0.591(p=0.0004, n=32)</w:t>
            </w:r>
          </w:p>
        </w:tc>
        <w:tc>
          <w:tcPr>
            <w:tcW w:type="dxa" w:w="110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조건부 채택</w:t>
            </w:r>
          </w:p>
        </w:tc>
      </w:tr>
      <w:tr>
        <w:tc>
          <w:tcPr>
            <w:tcW w:type="dxa" w:w="146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H2 · 사각지대</w:t>
            </w:r>
          </w:p>
        </w:tc>
        <w:tc>
          <w:tcPr>
            <w:tcW w:type="dxa" w:w="311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신호가 뜨는 지역이 이미 유명한 곳이 아닌가</w:t>
            </w:r>
          </w:p>
        </w:tc>
        <w:tc>
          <w:tcPr>
            <w:tcW w:type="dxa" w:w="366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 8곳 초과성장 +17.5%p로 관광지 대비 약 19배·산업단지형 대비 약 26배, 규모를 맞춘 비후보 대비도 약 3.8배(모두 p&lt;0.001)</w:t>
            </w:r>
          </w:p>
        </w:tc>
        <w:tc>
          <w:tcPr>
            <w:tcW w:type="dxa" w:w="110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채택</w:t>
            </w:r>
          </w:p>
        </w:tc>
      </w:tr>
      <w:tr>
        <w:tc>
          <w:tcPr>
            <w:tcW w:type="dxa" w:w="146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H3 · 지속성</w:t>
            </w:r>
          </w:p>
        </w:tc>
        <w:tc>
          <w:tcPr>
            <w:tcW w:type="dxa" w:w="311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신호가 우연이 아니라 이후에도 유지되는가</w:t>
            </w:r>
          </w:p>
        </w:tc>
        <w:tc>
          <w:tcPr>
            <w:tcW w:type="dxa" w:w="366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 20개는 4→6월 20/20 지속(사후 확인). 전국 재검증에서 성장률 지속은 실패, 올라간 수준의 지속만 확인</w:t>
            </w:r>
          </w:p>
        </w:tc>
        <w:tc>
          <w:tcPr>
            <w:tcW w:type="dxa" w:w="110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조건부 채택</w:t>
            </w:r>
          </w:p>
        </w:tc>
      </w:tr>
    </w:tbl>
    <w:p>
      <w:pPr>
        <w:spacing w:after="60"/>
      </w:pPr>
    </w:p>
    <w:p>
      <w:pPr>
        <w:spacing w:after="160" w:line="288"/>
      </w:pPr>
      <w:r>
        <w:rPr>
          <w:rFonts w:ascii="맑은 고딕" w:cs="맑은 고딕" w:eastAsia="맑은 고딕" w:hAnsi="맑은 고딕"/>
          <w:sz w:val="21"/>
          <w:szCs w:val="21"/>
        </w:rPr>
        <w:t xml:space="preserve">이 결과를 바탕으로 카드 신호를 ‘주시 목록’으로 관리하고, 신호가 뜬 원인(관광 유입인지 계절근로자 유입인지)을 확인한 뒤 지자체·소상공인과 외국인 이용자에게 알리는 서비스 ‘외국인 인바운드 로컬 디스커버리’를 제안한다. 후보 8곳의 외국인 카드 소비는 6개월 만에 평균 58.2%(전국 평균 3.28%) 늘었으나, 이는 성장률이 높은 지역을 골라낸 결과이므로 매출 예측이 아니라 ‘이미 일어난 변화의 근거’로만 제시한다.</w:t>
      </w:r>
    </w:p>
    <w:p>
      <w:pPr>
        <w:pStyle w:val="Heading1"/>
        <w:pBdr>
          <w:bottom w:val="single" w:color="000000" w:sz="10" w:space="6"/>
        </w:pBdr>
        <w:spacing w:after="200" w:before="480"/>
      </w:pPr>
      <w:r>
        <w:rPr>
          <w:rFonts w:ascii="맑은 고딕" w:cs="맑은 고딕" w:eastAsia="맑은 고딕" w:hAnsi="맑은 고딕"/>
          <w:b/>
          <w:bCs/>
          <w:color w:val="000000"/>
          <w:sz w:val="30"/>
          <w:szCs w:val="30"/>
        </w:rPr>
        <w:t xml:space="preserve">II.  </w:t>
      </w:r>
      <w:r>
        <w:rPr>
          <w:rFonts w:ascii="맑은 고딕" w:cs="맑은 고딕" w:eastAsia="맑은 고딕" w:hAnsi="맑은 고딕"/>
          <w:b/>
          <w:bCs/>
          <w:color w:val="000000"/>
          <w:sz w:val="30"/>
          <w:szCs w:val="30"/>
        </w:rPr>
        <w:t xml:space="preserve">문제 인식</w:t>
      </w:r>
    </w:p>
    <w:p>
      <w:pPr>
        <w:pStyle w:val="Heading2"/>
        <w:spacing w:after="140" w:before="320"/>
      </w:pPr>
      <w:r>
        <w:rPr>
          <w:rFonts w:ascii="맑은 고딕" w:cs="맑은 고딕" w:eastAsia="맑은 고딕" w:hAnsi="맑은 고딕"/>
          <w:b/>
          <w:bCs/>
          <w:color w:val="000000"/>
          <w:sz w:val="25"/>
          <w:szCs w:val="25"/>
        </w:rPr>
        <w:t xml:space="preserve">카드 결제에서 나오는 수익 기반이 구조적으로 얇아지고 있다</w:t>
      </w:r>
    </w:p>
    <w:p>
      <w:pPr>
        <w:spacing w:after="160" w:line="288"/>
      </w:pPr>
      <w:r>
        <w:rPr>
          <w:rFonts w:ascii="맑은 고딕" w:cs="맑은 고딕" w:eastAsia="맑은 고딕" w:hAnsi="맑은 고딕"/>
          <w:sz w:val="21"/>
          <w:szCs w:val="21"/>
        </w:rPr>
        <w:t xml:space="preserve">정부의 가맹점 수수료 규제로 연매출 3억 원 이하 영세 가맹점의 우대 수수료율은 신용카드 0.4%·체크카드 0.15%까지 낮아졌다. 삼성페이·애플페이 같은 결제 플랫폼이 카드사에 수수료를 요구하면서 카드결제가 만드는 수익이 한 번 더 나뉘고, 카카오페이·토스페이 등 선불충전금 결제로의 이탈도 카드결제 자체의 수익 기반을 압박한다.</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2805"/>
        <w:gridCol w:w="1870"/>
        <w:gridCol w:w="4675"/>
      </w:tblGrid>
      <w:tr>
        <w:trPr>
          <w:tblHeader/>
        </w:trPr>
        <w:tc>
          <w:tcPr>
            <w:tcW w:type="dxa" w:w="2805"/>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지표</w:t>
            </w:r>
          </w:p>
        </w:tc>
        <w:tc>
          <w:tcPr>
            <w:tcW w:type="dxa" w:w="1870"/>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수치</w:t>
            </w:r>
          </w:p>
        </w:tc>
        <w:tc>
          <w:tcPr>
            <w:tcW w:type="dxa" w:w="4675"/>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설명</w:t>
            </w:r>
          </w:p>
        </w:tc>
      </w:tr>
      <w:tr>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가맹점수수료 수익 감소</w:t>
            </w:r>
          </w:p>
        </w:tc>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−4,427억 원</w:t>
            </w:r>
          </w:p>
        </w:tc>
        <w:tc>
          <w:tcPr>
            <w:tcW w:type="dxa" w:w="467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8개 전업 카드사, 2025년(신용·체크카드 이용액은 +3.5%(42조 원) 늘었는데도)</w:t>
            </w:r>
          </w:p>
        </w:tc>
      </w:tr>
      <w:tr>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카드업계 평균 수수료율</w:t>
            </w:r>
          </w:p>
        </w:tc>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2.08%</w:t>
            </w:r>
          </w:p>
        </w:tc>
        <w:tc>
          <w:tcPr>
            <w:tcW w:type="dxa" w:w="467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2025년 실적. 일반가맹점 상한 4.5% → 3.6%, 2024년 재산정 이후 2% 선</w:t>
            </w:r>
          </w:p>
        </w:tc>
      </w:tr>
      <w:tr>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우대 수수료율 적용 가맹점 비중</w:t>
            </w:r>
          </w:p>
        </w:tc>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95.7%</w:t>
            </w:r>
          </w:p>
        </w:tc>
        <w:tc>
          <w:tcPr>
            <w:tcW w:type="dxa" w:w="467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전체 323.5만 곳 중 309.4만 곳 (2026년 하반기)</w:t>
            </w:r>
          </w:p>
        </w:tc>
      </w:tr>
    </w:tbl>
    <w:p>
      <w:pPr>
        <w:spacing w:after="60"/>
      </w:pPr>
    </w:p>
    <w:p>
      <w:pPr>
        <w:pStyle w:val="Heading2"/>
        <w:spacing w:after="140" w:before="320"/>
      </w:pPr>
      <w:r>
        <w:rPr>
          <w:rFonts w:ascii="맑은 고딕" w:cs="맑은 고딕" w:eastAsia="맑은 고딕" w:hAnsi="맑은 고딕"/>
          <w:b/>
          <w:bCs/>
          <w:color w:val="000000"/>
          <w:sz w:val="25"/>
          <w:szCs w:val="25"/>
        </w:rPr>
        <w:t xml:space="preserve">BC카드는 영업수익의 약 80%가 매입업무 — 이 압박에 더 직접 노출돼 있다</w:t>
      </w:r>
    </w:p>
    <w:p>
      <w:pPr>
        <w:spacing w:after="160" w:line="288"/>
      </w:pPr>
      <w:r>
        <w:rPr>
          <w:rFonts w:ascii="맑은 고딕" w:cs="맑은 고딕" w:eastAsia="맑은 고딕" w:hAnsi="맑은 고딕"/>
          <w:sz w:val="21"/>
          <w:szCs w:val="21"/>
        </w:rPr>
        <w:t xml:space="preserve">매입업무란 회원사(은행 등) 카드의 가맹점 결제를 대신 처리·정산해 주고 받는 대행 수익이다. 결제 물량과 수수료 구조에 연동돼, 수수료 인하와 회원사 이탈의 영향을 받기 쉽다. BC카드의 매입업무 의존도는 낮아지는 추세이지만 여전히 높다.</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4675"/>
        <w:gridCol w:w="4675"/>
      </w:tblGrid>
      <w:tr>
        <w:trPr>
          <w:tblHeader/>
        </w:trPr>
        <w:tc>
          <w:tcPr>
            <w:tcW w:type="dxa" w:w="4675"/>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시점</w:t>
            </w:r>
          </w:p>
        </w:tc>
        <w:tc>
          <w:tcPr>
            <w:tcW w:type="dxa" w:w="4675"/>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매입업무 수익 비중</w:t>
            </w:r>
          </w:p>
        </w:tc>
      </w:tr>
      <w:tr>
        <w:tc>
          <w:tcPr>
            <w:tcW w:type="dxa" w:w="467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2021년 말</w:t>
            </w:r>
          </w:p>
        </w:tc>
        <w:tc>
          <w:tcPr>
            <w:tcW w:type="dxa" w:w="467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88.1%</w:t>
            </w:r>
          </w:p>
        </w:tc>
      </w:tr>
      <w:tr>
        <w:tc>
          <w:tcPr>
            <w:tcW w:type="dxa" w:w="467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2024년</w:t>
            </w:r>
          </w:p>
        </w:tc>
        <w:tc>
          <w:tcPr>
            <w:tcW w:type="dxa" w:w="467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79.7%</w:t>
            </w:r>
          </w:p>
        </w:tc>
      </w:tr>
      <w:tr>
        <w:tc>
          <w:tcPr>
            <w:tcW w:type="dxa" w:w="467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2025년 상반기</w:t>
            </w:r>
          </w:p>
        </w:tc>
        <w:tc>
          <w:tcPr>
            <w:tcW w:type="dxa" w:w="467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77.6%</w:t>
            </w:r>
          </w:p>
        </w:tc>
      </w:tr>
    </w:tbl>
    <w:p>
      <w:pPr>
        <w:spacing w:after="60"/>
      </w:pPr>
    </w:p>
    <w:p>
      <w:pPr>
        <w:spacing w:after="160" w:line="288"/>
      </w:pPr>
      <w:r>
        <w:rPr>
          <w:rFonts w:ascii="맑은 고딕" w:cs="맑은 고딕" w:eastAsia="맑은 고딕" w:hAnsi="맑은 고딕"/>
          <w:sz w:val="21"/>
          <w:szCs w:val="21"/>
        </w:rPr>
        <w:t xml:space="preserve">회원사 이탈도 이어졌다 — 2022년 전북은행·SC제일은행, 2023년 코나아이·우리카드(우리카드는 매입업무 수익의 약 40%를 차지했다는 보도가 있다). 결국 필요한 것은 결제 수수료 밖의 부가가치, 즉 이미 가진 결제 데이터를 서비스로 바꾸는 일이다.</w:t>
      </w:r>
    </w:p>
    <w:p>
      <w:pPr>
        <w:pBdr>
          <w:left w:val="single" w:color="595959" w:sz="10" w:space="8"/>
        </w:pBdr>
        <w:spacing w:after="240" w:before="80"/>
        <w:ind w:left="120"/>
      </w:pPr>
      <w:r>
        <w:rPr>
          <w:rFonts w:ascii="맑은 고딕" w:cs="맑은 고딕" w:eastAsia="맑은 고딕" w:hAnsi="맑은 고딕"/>
          <w:i/>
          <w:iCs/>
          <w:color w:val="404040"/>
          <w:sz w:val="19"/>
          <w:szCs w:val="19"/>
        </w:rPr>
        <w:t xml:space="preserve">※ 매입업무 비중은 출처마다 산정 기준이 달라(시사저널e 2024년 79.7%, CEOSCORE Daily 2024년 80.10%) 이 보고서에서는 ‘약 80%’로 표기했다. 출처는 부록 E 참고.</w:t>
      </w:r>
    </w:p>
    <w:p>
      <w:pPr>
        <w:pStyle w:val="Heading1"/>
        <w:pBdr>
          <w:bottom w:val="single" w:color="000000" w:sz="10" w:space="6"/>
        </w:pBdr>
        <w:spacing w:after="200" w:before="480"/>
      </w:pPr>
      <w:r>
        <w:rPr>
          <w:rFonts w:ascii="맑은 고딕" w:cs="맑은 고딕" w:eastAsia="맑은 고딕" w:hAnsi="맑은 고딕"/>
          <w:b/>
          <w:bCs/>
          <w:color w:val="000000"/>
          <w:sz w:val="30"/>
          <w:szCs w:val="30"/>
        </w:rPr>
        <w:t xml:space="preserve">III.  </w:t>
      </w:r>
      <w:r>
        <w:rPr>
          <w:rFonts w:ascii="맑은 고딕" w:cs="맑은 고딕" w:eastAsia="맑은 고딕" w:hAnsi="맑은 고딕"/>
          <w:b/>
          <w:bCs/>
          <w:color w:val="000000"/>
          <w:sz w:val="30"/>
          <w:szCs w:val="30"/>
        </w:rPr>
        <w:t xml:space="preserve">데이터와 분석 방법론</w:t>
      </w:r>
    </w:p>
    <w:p>
      <w:pPr>
        <w:pStyle w:val="Heading2"/>
        <w:spacing w:after="140" w:before="320"/>
      </w:pPr>
      <w:r>
        <w:rPr>
          <w:rFonts w:ascii="맑은 고딕" w:cs="맑은 고딕" w:eastAsia="맑은 고딕" w:hAnsi="맑은 고딕"/>
          <w:b/>
          <w:bCs/>
          <w:color w:val="000000"/>
          <w:sz w:val="25"/>
          <w:szCs w:val="25"/>
        </w:rPr>
        <w:t xml:space="preserve">III-1. 제공 데이터 개요와 활용 방식</w:t>
      </w:r>
    </w:p>
    <w:p>
      <w:pPr>
        <w:spacing w:after="160" w:line="288"/>
      </w:pPr>
      <w:r>
        <w:rPr>
          <w:rFonts w:ascii="맑은 고딕" w:cs="맑은 고딕" w:eastAsia="맑은 고딕" w:hAnsi="맑은 고딕"/>
          <w:sz w:val="21"/>
          <w:szCs w:val="21"/>
        </w:rPr>
        <w:t xml:space="preserve">BC카드가 제공한 데이터는 2026년 1~6월(월 단위 집계) 전국 시군구·업종별 소비 집계데이터다. 총 242,574행, 255개 시군구(명칭 기준 233개 — 동명 시군구를 시도로 구분하면 255곳), 11개 업종(대형할인점·편의점·슈퍼마켓·일반한식·갈비전문점·한정식·일식회집·중국음식·서양음식·스낵·제과점)으로 구성된다. 컬럼별 역할과 이번 분석에서의 활용 방식은 아래와 같다.</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1496"/>
        <w:gridCol w:w="2805"/>
        <w:gridCol w:w="5049"/>
      </w:tblGrid>
      <w:tr>
        <w:trPr>
          <w:tblHeader/>
        </w:trPr>
        <w:tc>
          <w:tcPr>
            <w:tcW w:type="dxa" w:w="1496"/>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컬럼명</w:t>
            </w:r>
          </w:p>
        </w:tc>
        <w:tc>
          <w:tcPr>
            <w:tcW w:type="dxa" w:w="2805"/>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설명</w:t>
            </w:r>
          </w:p>
        </w:tc>
        <w:tc>
          <w:tcPr>
            <w:tcW w:type="dxa" w:w="5049"/>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이번 분석에서의 활용</w:t>
            </w:r>
          </w:p>
        </w:tc>
      </w:tr>
      <w:tr>
        <w:tc>
          <w:tcPr>
            <w:tcW w:type="dxa" w:w="149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STRD_YYMM</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기준년월 (202601~202606)</w:t>
            </w:r>
          </w:p>
        </w:tc>
        <w:tc>
          <w:tcPr>
            <w:tcW w:type="dxa" w:w="504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월별 추이·성장률 계산의 시간축</w:t>
            </w:r>
          </w:p>
        </w:tc>
      </w:tr>
      <w:tr>
        <w:tc>
          <w:tcPr>
            <w:tcW w:type="dxa" w:w="149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SIDO_NM · CCG_NM</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광역시도·시군구 명칭</w:t>
            </w:r>
          </w:p>
        </w:tc>
        <w:tc>
          <w:tcPr>
            <w:tcW w:type="dxa" w:w="504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신호 탐지의 지역 단위 (동명 시군구는 시도로 구분)</w:t>
            </w:r>
          </w:p>
        </w:tc>
      </w:tr>
      <w:tr>
        <w:tc>
          <w:tcPr>
            <w:tcW w:type="dxa" w:w="149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GENDER_CD</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1남 · 2여 · 3외국인 · X법인</w:t>
            </w:r>
          </w:p>
        </w:tc>
        <w:tc>
          <w:tcPr>
            <w:tcW w:type="dxa" w:w="504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GENDER_CD=3(외국인)만 필터링해 분석 대상으로 삼음</w:t>
            </w:r>
          </w:p>
        </w:tc>
      </w:tr>
      <w:tr>
        <w:tc>
          <w:tcPr>
            <w:tcW w:type="dxa" w:w="149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AGE_CD</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1~6(연령대) · X(법인·외국인)</w:t>
            </w:r>
          </w:p>
        </w:tc>
        <w:tc>
          <w:tcPr>
            <w:tcW w:type="dxa" w:w="504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이번 분석에서는 세분하지 않음 — 외국인 세그먼트 내 연령대 차이는 다루지 않았다 (한계점 IX 참고)</w:t>
            </w:r>
          </w:p>
        </w:tc>
      </w:tr>
      <w:tr>
        <w:tc>
          <w:tcPr>
            <w:tcW w:type="dxa" w:w="149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TPBUZ_NO · TPBUZ_NM</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업종 코드·명 (BC카드 자체 분류)</w:t>
            </w:r>
          </w:p>
        </w:tc>
        <w:tc>
          <w:tcPr>
            <w:tcW w:type="dxa" w:w="504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업종별 전국 평균과의 비교 기준</w:t>
            </w:r>
          </w:p>
        </w:tc>
      </w:tr>
      <w:tr>
        <w:tc>
          <w:tcPr>
            <w:tcW w:type="dxa" w:w="149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AMT</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이용 금액 합계(원)</w:t>
            </w:r>
          </w:p>
        </w:tc>
        <w:tc>
          <w:tcPr>
            <w:tcW w:type="dxa" w:w="504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기대효과(성장률) 계산</w:t>
            </w:r>
          </w:p>
        </w:tc>
      </w:tr>
      <w:tr>
        <w:tc>
          <w:tcPr>
            <w:tcW w:type="dxa" w:w="149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CNT</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이용 건수 합계(건)</w:t>
            </w:r>
          </w:p>
        </w:tc>
        <w:tc>
          <w:tcPr>
            <w:tcW w:type="dxa" w:w="504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신호 탐지 스코어링의 기준 지표(계절근로자 다수 소액 결제보다 방문객 수 변화에 가깝다고 판단)</w:t>
            </w:r>
          </w:p>
        </w:tc>
      </w:tr>
    </w:tbl>
    <w:p>
      <w:pPr>
        <w:spacing w:after="60"/>
      </w:pPr>
    </w:p>
    <w:p>
      <w:pPr>
        <w:pStyle w:val="Heading2"/>
        <w:spacing w:after="140" w:before="320"/>
      </w:pPr>
      <w:r>
        <w:rPr>
          <w:rFonts w:ascii="맑은 고딕" w:cs="맑은 고딕" w:eastAsia="맑은 고딕" w:hAnsi="맑은 고딕"/>
          <w:b/>
          <w:bCs/>
          <w:color w:val="000000"/>
          <w:sz w:val="25"/>
          <w:szCs w:val="25"/>
        </w:rPr>
        <w:t xml:space="preserve">III-2. 신호 정의 — 상대 초과성장률</w:t>
      </w:r>
    </w:p>
    <w:p>
      <w:pPr>
        <w:spacing w:after="160" w:line="288"/>
      </w:pPr>
      <w:r>
        <w:rPr>
          <w:rFonts w:ascii="맑은 고딕" w:cs="맑은 고딕" w:eastAsia="맑은 고딕" w:hAnsi="맑은 고딕"/>
          <w:sz w:val="21"/>
          <w:szCs w:val="21"/>
        </w:rPr>
        <w:t xml:space="preserve">단순 증가율은 계절성에 오염된다. 예를 들어 스키장 상권은 겨울마다 소비가 급증하는데, 이는 외국인 유입 신호가 아니라 계절적 현상이다. 이를 피하기 위해 ‘같은 업종의 전국 평균 증가율 대비 상대적으로 얼마나 더 늘었는가’로 신호를 정의했다.</w:t>
      </w:r>
    </w:p>
    <w:p>
      <w:pPr>
        <w:spacing w:after="200" w:before="60"/>
        <w:ind w:left="260"/>
      </w:pPr>
      <w:r>
        <w:rPr>
          <w:rFonts w:ascii="맑은 고딕" w:cs="맑은 고딕" w:eastAsia="맑은 고딕" w:hAnsi="맑은 고딕"/>
          <w:b/>
          <w:bCs/>
          <w:i/>
          <w:iCs/>
          <w:sz w:val="20"/>
          <w:szCs w:val="20"/>
        </w:rPr>
        <w:t xml:space="preserve">신호(상대 초과성장률) = 지역×업종의 전월 대비 증가율(MoM) − 같은 업종의 전국 평균 전월 대비 증가율(MoM), 최근 2개월 평균 · 이용 건수(CNT) 기준</w:t>
      </w:r>
    </w:p>
    <w:p>
      <w:pPr>
        <w:spacing w:after="160" w:line="288"/>
      </w:pPr>
      <w:r>
        <w:rPr>
          <w:rFonts w:ascii="맑은 고딕" w:cs="맑은 고딕" w:eastAsia="맑은 고딕" w:hAnsi="맑은 고딕"/>
          <w:sz w:val="21"/>
          <w:szCs w:val="21"/>
        </w:rPr>
        <w:t xml:space="preserve">전국 동종업종의 증가율을 빼는 방식으로 계절 요인을 1차로 통제했다. 소규모 지역×업종 셀은 노이즈가 크므로 최소건수 필터(6개월 누적 200건 이상, 최근월 30건 이상)를 적용해 2,199개 조합을 걸렀고, 여기서 최소건수 필터를 통과한 2,111개 조합을 육안으로 검수했다.</w:t>
      </w:r>
    </w:p>
    <w:p>
      <w:pPr>
        <w:pStyle w:val="Heading2"/>
        <w:spacing w:after="140" w:before="320"/>
      </w:pPr>
      <w:r>
        <w:rPr>
          <w:rFonts w:ascii="맑은 고딕" w:cs="맑은 고딕" w:eastAsia="맑은 고딕" w:hAnsi="맑은 고딕"/>
          <w:b/>
          <w:bCs/>
          <w:color w:val="000000"/>
          <w:sz w:val="25"/>
          <w:szCs w:val="25"/>
        </w:rPr>
        <w:t xml:space="preserve">III-3. 왜 머신러닝이 아닌가</w:t>
      </w:r>
    </w:p>
    <w:p>
      <w:pPr>
        <w:spacing w:after="160" w:line="288"/>
      </w:pPr>
      <w:r>
        <w:rPr>
          <w:rFonts w:ascii="맑은 고딕" w:cs="맑은 고딕" w:eastAsia="맑은 고딕" w:hAnsi="맑은 고딕"/>
          <w:sz w:val="21"/>
          <w:szCs w:val="21"/>
        </w:rPr>
        <w:t xml:space="preserve">6개월치 데이터에 수작업으로 확인한 양호/제외 라벨은 30~40개뿐이라 지도학습은 과적합 위험이 크다. 대신 설명 가능한 ‘상대 초과성장 스코어링 + 가설검정’ 방식을 택해, 어떤 지역이 왜 후보가 되었는지를 매 단계 설명할 수 있게 했다.</w:t>
      </w:r>
    </w:p>
    <w:p>
      <w:pPr>
        <w:pStyle w:val="Heading2"/>
        <w:spacing w:after="140" w:before="320"/>
      </w:pPr>
      <w:r>
        <w:rPr>
          <w:rFonts w:ascii="맑은 고딕" w:cs="맑은 고딕" w:eastAsia="맑은 고딕" w:hAnsi="맑은 고딕"/>
          <w:b/>
          <w:bCs/>
          <w:color w:val="000000"/>
          <w:sz w:val="25"/>
          <w:szCs w:val="25"/>
        </w:rPr>
        <w:t xml:space="preserve">III-4. 분석 파이프라인 (0~7단계)</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2057"/>
        <w:gridCol w:w="7293"/>
      </w:tblGrid>
      <w:tr>
        <w:trPr>
          <w:tblHeader/>
        </w:trPr>
        <w:tc>
          <w:tcPr>
            <w:tcW w:type="dxa" w:w="2057"/>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단계</w:t>
            </w:r>
          </w:p>
        </w:tc>
        <w:tc>
          <w:tcPr>
            <w:tcW w:type="dxa" w:w="7293"/>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내용</w:t>
            </w:r>
          </w:p>
        </w:tc>
      </w:tr>
      <w:tr>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0. 데이터 이해</w:t>
            </w:r>
          </w:p>
        </w:tc>
        <w:tc>
          <w:tcPr>
            <w:tcW w:type="dxa" w:w="729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스키마·결측 확인, 코드 정의 오차 발견(외국인 연령대·동명 시군구)</w:t>
            </w:r>
          </w:p>
        </w:tc>
      </w:tr>
      <w:tr>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 전처리</w:t>
            </w:r>
          </w:p>
        </w:tc>
        <w:tc>
          <w:tcPr>
            <w:tcW w:type="dxa" w:w="729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업종명 정규화, 외국인 세그먼트 추출, 최소건수 필터(누적≥200 &amp; 최근월≥30)</w:t>
            </w:r>
          </w:p>
        </w:tc>
      </w:tr>
      <w:tr>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 EDA</w:t>
            </w:r>
          </w:p>
        </w:tc>
        <w:tc>
          <w:tcPr>
            <w:tcW w:type="dxa" w:w="729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월별 추이, 시도×업종 히트맵, 유명 관광지 baseline 대량소비 발견</w:t>
            </w:r>
          </w:p>
        </w:tc>
      </w:tr>
      <w:tr>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3. 신호 탐지</w:t>
            </w:r>
          </w:p>
        </w:tc>
        <w:tc>
          <w:tcPr>
            <w:tcW w:type="dxa" w:w="729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상대 초과성장률 스코어링 → 육안 검수 → 후보 8곳</w:t>
            </w:r>
          </w:p>
        </w:tc>
      </w:tr>
      <w:tr>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4. 가설검증 통계</w:t>
            </w:r>
          </w:p>
        </w:tc>
        <w:tc>
          <w:tcPr>
            <w:tcW w:type="dxa" w:w="729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H1 선행성 · H2 사각지대 · H3 지속성(시차상관 · 산점도 · 사후 확인 · 전국 재검증)</w:t>
            </w:r>
          </w:p>
        </w:tc>
      </w:tr>
      <w:tr>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5. 외부데이터 결합</w:t>
            </w:r>
          </w:p>
        </w:tc>
        <w:tc>
          <w:tcPr>
            <w:tcW w:type="dxa" w:w="729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한국관광 데이터랩 방문자수로 교차검증, 지역 언론 보도로 계절근로자·축제 변수 확인</w:t>
            </w:r>
          </w:p>
        </w:tc>
      </w:tr>
      <w:tr>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6. 결과 종합</w:t>
            </w:r>
          </w:p>
        </w:tc>
        <w:tc>
          <w:tcPr>
            <w:tcW w:type="dxa" w:w="729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후보의 원인 유형 분류(관광·이주노동), 한계점 정리, 서비스 제안</w:t>
            </w:r>
          </w:p>
        </w:tc>
      </w:tr>
      <w:tr>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7. 산출물</w:t>
            </w:r>
          </w:p>
        </w:tc>
        <w:tc>
          <w:tcPr>
            <w:tcW w:type="dxa" w:w="729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아이디어 요약서 · 분석 코드(노트북) · 보고서</w:t>
            </w:r>
          </w:p>
        </w:tc>
      </w:tr>
    </w:tbl>
    <w:p>
      <w:pPr>
        <w:spacing w:after="60"/>
      </w:pPr>
    </w:p>
    <w:p>
      <w:pPr>
        <w:pStyle w:val="Heading2"/>
        <w:spacing w:after="140" w:before="320"/>
      </w:pPr>
      <w:r>
        <w:rPr>
          <w:rFonts w:ascii="맑은 고딕" w:cs="맑은 고딕" w:eastAsia="맑은 고딕" w:hAnsi="맑은 고딕"/>
          <w:b/>
          <w:bCs/>
          <w:color w:val="000000"/>
          <w:sz w:val="25"/>
          <w:szCs w:val="25"/>
        </w:rPr>
        <w:t xml:space="preserve">III-5. 외부 데이터와 독립원천 원칙</w:t>
      </w:r>
    </w:p>
    <w:p>
      <w:pPr>
        <w:spacing w:after="160" w:line="288"/>
      </w:pPr>
      <w:r>
        <w:rPr>
          <w:rFonts w:ascii="맑은 고딕" w:cs="맑은 고딕" w:eastAsia="맑은 고딕" w:hAnsi="맑은 고딕"/>
          <w:sz w:val="21"/>
          <w:szCs w:val="21"/>
        </w:rPr>
        <w:t xml:space="preserve">카드 신호를 카드 신호로 검증하면 순환논리가 된다. 그래서 외부 데이터는 카드와 독립된 원천만 사용한다는 원칙을 세웠다. 구체적으로는 (1) 한국관광공사 한국관광 데이터랩(TourAPI)의 기초지자체 지역방문자수 — 이동통신 데이터 기반이라 BC카드 결제와 독립된 원천이며, H1 검증에 사용했다. (2) 지역 언론 보도 — 계절근로자 입국 시점, 지역 축제 개최 시점을 확인해 신호의 원인을 분류하는 데 사용했다. (3) 시장·협약 관련 보도 — 서비스 제안의 실현가능성 근거로 사용했다. 반대로 카드사 자체 발표 소비 통계(예: 특정 카드사의 카드 사용 통계 코너)는 카드 신호와 순환 참조가 생길 수 있어 쓰지 않았다.</w:t>
      </w:r>
    </w:p>
    <w:p>
      <w:pPr>
        <w:pBdr>
          <w:left w:val="single" w:color="595959" w:sz="10" w:space="8"/>
        </w:pBdr>
        <w:spacing w:after="240" w:before="80"/>
        <w:ind w:left="120"/>
      </w:pPr>
      <w:r>
        <w:rPr>
          <w:rFonts w:ascii="맑은 고딕" w:cs="맑은 고딕" w:eastAsia="맑은 고딕" w:hAnsi="맑은 고딕"/>
          <w:i/>
          <w:iCs/>
          <w:color w:val="404040"/>
          <w:sz w:val="19"/>
          <w:szCs w:val="19"/>
        </w:rPr>
        <w:t xml:space="preserve">※ 구글트렌드·유튜브·빅카인즈처럼 시도했지만 자료 확보에 실패했거나 이번 일정에 포함하지 못한 외부 데이터가 있다. 시도 내용과 접은 이유는 부록 D에 정리했다.</w:t>
      </w:r>
    </w:p>
    <w:p>
      <w:pPr>
        <w:pStyle w:val="Heading1"/>
        <w:pBdr>
          <w:bottom w:val="single" w:color="000000" w:sz="10" w:space="6"/>
        </w:pBdr>
        <w:spacing w:after="200" w:before="480"/>
      </w:pPr>
      <w:r>
        <w:rPr>
          <w:rFonts w:ascii="맑은 고딕" w:cs="맑은 고딕" w:eastAsia="맑은 고딕" w:hAnsi="맑은 고딕"/>
          <w:b/>
          <w:bCs/>
          <w:color w:val="000000"/>
          <w:sz w:val="30"/>
          <w:szCs w:val="30"/>
        </w:rPr>
        <w:t xml:space="preserve">IV.  </w:t>
      </w:r>
      <w:r>
        <w:rPr>
          <w:rFonts w:ascii="맑은 고딕" w:cs="맑은 고딕" w:eastAsia="맑은 고딕" w:hAnsi="맑은 고딕"/>
          <w:b/>
          <w:bCs/>
          <w:color w:val="000000"/>
          <w:sz w:val="30"/>
          <w:szCs w:val="30"/>
        </w:rPr>
        <w:t xml:space="preserve">가설 설정</w:t>
      </w:r>
    </w:p>
    <w:p>
      <w:pPr>
        <w:spacing w:after="160" w:line="288"/>
      </w:pPr>
      <w:r>
        <w:rPr>
          <w:rFonts w:ascii="맑은 고딕" w:cs="맑은 고딕" w:eastAsia="맑은 고딕" w:hAnsi="맑은 고딕"/>
          <w:sz w:val="21"/>
          <w:szCs w:val="21"/>
        </w:rPr>
        <w:t xml:space="preserve">카드 결제는 방문과 동시에 발생하지만, 리뷰·SNS 게시물·뉴스 보도는 방문 이후 누군가 후기를 남겨야 생기는 후행 지표다. 이 정보 공백 구간(카드 신호만 켜져 있는 시간)을 활용할 수 있는지 확인하기 위해 세 가설을 세웠다.</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1683"/>
        <w:gridCol w:w="3740"/>
        <w:gridCol w:w="3927"/>
      </w:tblGrid>
      <w:tr>
        <w:trPr>
          <w:tblHeader/>
        </w:trPr>
        <w:tc>
          <w:tcPr>
            <w:tcW w:type="dxa" w:w="1683"/>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가설</w:t>
            </w:r>
          </w:p>
        </w:tc>
        <w:tc>
          <w:tcPr>
            <w:tcW w:type="dxa" w:w="3740"/>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내용</w:t>
            </w:r>
          </w:p>
        </w:tc>
        <w:tc>
          <w:tcPr>
            <w:tcW w:type="dxa" w:w="3927"/>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검증 방법 개요</w:t>
            </w:r>
          </w:p>
        </w:tc>
      </w:tr>
      <w:tr>
        <w:tc>
          <w:tcPr>
            <w:tcW w:type="dxa" w:w="168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H1 · 선행성</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카드 신호는 후기·SNS·언론 같은 대중 인지보다 먼저 뜬다</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카드와 독립된 외부 지표(방문자수)와의 시차상관 분석. 카드 자체는 방문과 동시에 발생하므로 방문 자체보다 앞설 수는 없다는 점을 전제로 한다</w:t>
            </w:r>
          </w:p>
        </w:tc>
      </w:tr>
      <w:tr>
        <w:tc>
          <w:tcPr>
            <w:tcW w:type="dxa" w:w="168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H2 · 사각지대</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신호가 뜨는 지역은 기존의 유명 관광지·산업단지가 아니다</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소비 규모(baseline) × 초과성장률 산점도로 유명 관광지·산업단지형과 비교, 규모를 맞춘 비후보군과도 비교</w:t>
            </w:r>
          </w:p>
        </w:tc>
      </w:tr>
      <w:tr>
        <w:tc>
          <w:tcPr>
            <w:tcW w:type="dxa" w:w="168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H3 · 지속성</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신호는 우연한 변동이 아니라 이후에도 유지된다</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 선정 이후 시점의 실측치 확인, 순환 선택 문제를 피하기 위한 전국 규모 재검증</w:t>
            </w:r>
          </w:p>
        </w:tc>
      </w:tr>
    </w:tbl>
    <w:p>
      <w:pPr>
        <w:spacing w:after="60"/>
      </w:pPr>
    </w:p>
    <w:p>
      <w:pPr>
        <w:spacing w:after="160" w:line="288"/>
      </w:pPr>
      <w:r>
        <w:rPr>
          <w:rFonts w:ascii="맑은 고딕" w:cs="맑은 고딕" w:eastAsia="맑은 고딕" w:hAnsi="맑은 고딕"/>
          <w:sz w:val="21"/>
          <w:szCs w:val="21"/>
        </w:rPr>
        <w:t xml:space="preserve">세 가설은 서로 독립적이지 않다. H2가 성립해야(신호가 뜨는 곳이 사각지대여야) 그 신호를 먼저 포착하는 서비스의 가치가 생기고, H1이 성립해야(카드가 먼저 떠야) 정보 공백 기간 동안 알림이 의미를 가지며, H3이 성립해야(신호가 지속돼야) 알림이 헛수고가 되지 않는다. 세 가설의 검증 방법과 결과는 VI장에서 자세히 다룬다.</w:t>
      </w:r>
    </w:p>
    <w:p>
      <w:pPr>
        <w:pStyle w:val="Heading1"/>
        <w:pBdr>
          <w:bottom w:val="single" w:color="000000" w:sz="10" w:space="6"/>
        </w:pBdr>
        <w:spacing w:after="200" w:before="480"/>
      </w:pPr>
      <w:r>
        <w:rPr>
          <w:rFonts w:ascii="맑은 고딕" w:cs="맑은 고딕" w:eastAsia="맑은 고딕" w:hAnsi="맑은 고딕"/>
          <w:b/>
          <w:bCs/>
          <w:color w:val="000000"/>
          <w:sz w:val="30"/>
          <w:szCs w:val="30"/>
        </w:rPr>
        <w:t xml:space="preserve">V.  </w:t>
      </w:r>
      <w:r>
        <w:rPr>
          <w:rFonts w:ascii="맑은 고딕" w:cs="맑은 고딕" w:eastAsia="맑은 고딕" w:hAnsi="맑은 고딕"/>
          <w:b/>
          <w:bCs/>
          <w:color w:val="000000"/>
          <w:sz w:val="30"/>
          <w:szCs w:val="30"/>
        </w:rPr>
        <w:t xml:space="preserve">분석 결과: 신호 탐지와 원인 분류</w:t>
      </w:r>
    </w:p>
    <w:p>
      <w:pPr>
        <w:pStyle w:val="Heading2"/>
        <w:spacing w:after="140" w:before="320"/>
      </w:pPr>
      <w:r>
        <w:rPr>
          <w:rFonts w:ascii="맑은 고딕" w:cs="맑은 고딕" w:eastAsia="맑은 고딕" w:hAnsi="맑은 고딕"/>
          <w:b/>
          <w:bCs/>
          <w:color w:val="000000"/>
          <w:sz w:val="25"/>
          <w:szCs w:val="25"/>
        </w:rPr>
        <w:t xml:space="preserve">V-1. 신호 탐지 결과 — 최종 후보 8곳</w:t>
      </w:r>
    </w:p>
    <w:p>
      <w:pPr>
        <w:spacing w:after="160" w:line="288"/>
      </w:pPr>
      <w:r>
        <w:rPr>
          <w:rFonts w:ascii="맑은 고딕" w:cs="맑은 고딕" w:eastAsia="맑은 고딕" w:hAnsi="맑은 고딕"/>
          <w:sz w:val="21"/>
          <w:szCs w:val="21"/>
        </w:rPr>
        <w:t xml:space="preserve">상대 초과성장률로 스코어링해 최소건수 필터를 통과한 2,111개 조합을 육안으로 검수한 결과, 아래 8개 시군구가 최종 후보로 남았다. 저베이스 반등(예: 소규모 셀 하나의 우연한 급증)과 지역축제로 인한 일시적 증가는 검수 과정에서 걸러냈다(상세 시행착오는 부록 D).</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1309"/>
        <w:gridCol w:w="1870"/>
        <w:gridCol w:w="2431"/>
        <w:gridCol w:w="2057"/>
        <w:gridCol w:w="1683"/>
      </w:tblGrid>
      <w:tr>
        <w:trPr>
          <w:tblHeader/>
        </w:trPr>
        <w:tc>
          <w:tcPr>
            <w:tcW w:type="dxa" w:w="1309"/>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시군구</w:t>
            </w:r>
          </w:p>
        </w:tc>
        <w:tc>
          <w:tcPr>
            <w:tcW w:type="dxa" w:w="1870"/>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광역시도</w:t>
            </w:r>
          </w:p>
        </w:tc>
        <w:tc>
          <w:tcPr>
            <w:tcW w:type="dxa" w:w="2431"/>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6개월 누적 건수(외국인)</w:t>
            </w:r>
          </w:p>
        </w:tc>
        <w:tc>
          <w:tcPr>
            <w:tcW w:type="dxa" w:w="2057"/>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상대 초과성장률(5~6월 평균)</w:t>
            </w:r>
          </w:p>
        </w:tc>
        <w:tc>
          <w:tcPr>
            <w:tcW w:type="dxa" w:w="1683"/>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분류</w:t>
            </w:r>
          </w:p>
        </w:tc>
      </w:tr>
      <w:tr>
        <w:tc>
          <w:tcPr>
            <w:tcW w:type="dxa" w:w="130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옹진군</w:t>
            </w:r>
          </w:p>
        </w:tc>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인천광역시</w:t>
            </w:r>
          </w:p>
        </w:tc>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12,016건</w:t>
            </w:r>
          </w:p>
        </w:tc>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+12.0%p</w:t>
            </w:r>
          </w:p>
        </w:tc>
        <w:tc>
          <w:tcPr>
            <w:tcW w:type="dxa" w:w="168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Track A · 관광 유입형</w:t>
            </w:r>
          </w:p>
        </w:tc>
      </w:tr>
      <w:tr>
        <w:tc>
          <w:tcPr>
            <w:tcW w:type="dxa" w:w="130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양양군</w:t>
            </w:r>
          </w:p>
        </w:tc>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강원특별자치도</w:t>
            </w:r>
          </w:p>
        </w:tc>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32,082건</w:t>
            </w:r>
          </w:p>
        </w:tc>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+15.8%p</w:t>
            </w:r>
          </w:p>
        </w:tc>
        <w:tc>
          <w:tcPr>
            <w:tcW w:type="dxa" w:w="168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Track A · 관광 유입형</w:t>
            </w:r>
          </w:p>
        </w:tc>
      </w:tr>
      <w:tr>
        <w:tc>
          <w:tcPr>
            <w:tcW w:type="dxa" w:w="130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영월군</w:t>
            </w:r>
          </w:p>
        </w:tc>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강원특별자치도</w:t>
            </w:r>
          </w:p>
        </w:tc>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28,215건</w:t>
            </w:r>
          </w:p>
        </w:tc>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+11.0%p</w:t>
            </w:r>
          </w:p>
        </w:tc>
        <w:tc>
          <w:tcPr>
            <w:tcW w:type="dxa" w:w="168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A · 혼합 가능</w:t>
            </w:r>
          </w:p>
        </w:tc>
      </w:tr>
      <w:tr>
        <w:tc>
          <w:tcPr>
            <w:tcW w:type="dxa" w:w="130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의성군</w:t>
            </w:r>
          </w:p>
        </w:tc>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경상북도</w:t>
            </w:r>
          </w:p>
        </w:tc>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23,542건</w:t>
            </w:r>
          </w:p>
        </w:tc>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+15.5%p</w:t>
            </w:r>
          </w:p>
        </w:tc>
        <w:tc>
          <w:tcPr>
            <w:tcW w:type="dxa" w:w="168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A · 혼합 가능</w:t>
            </w:r>
          </w:p>
        </w:tc>
      </w:tr>
      <w:tr>
        <w:tc>
          <w:tcPr>
            <w:tcW w:type="dxa" w:w="130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청송군</w:t>
            </w:r>
          </w:p>
        </w:tc>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경상북도</w:t>
            </w:r>
          </w:p>
        </w:tc>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10,735건</w:t>
            </w:r>
          </w:p>
        </w:tc>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+30.5%p</w:t>
            </w:r>
          </w:p>
        </w:tc>
        <w:tc>
          <w:tcPr>
            <w:tcW w:type="dxa" w:w="168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Track B · 이주노동 유입형</w:t>
            </w:r>
          </w:p>
        </w:tc>
      </w:tr>
      <w:tr>
        <w:tc>
          <w:tcPr>
            <w:tcW w:type="dxa" w:w="130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봉화군</w:t>
            </w:r>
          </w:p>
        </w:tc>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경상북도</w:t>
            </w:r>
          </w:p>
        </w:tc>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12,676건</w:t>
            </w:r>
          </w:p>
        </w:tc>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+16.3%p</w:t>
            </w:r>
          </w:p>
        </w:tc>
        <w:tc>
          <w:tcPr>
            <w:tcW w:type="dxa" w:w="168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Track B · 이주노동 유입형</w:t>
            </w:r>
          </w:p>
        </w:tc>
      </w:tr>
      <w:tr>
        <w:tc>
          <w:tcPr>
            <w:tcW w:type="dxa" w:w="130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영양군</w:t>
            </w:r>
          </w:p>
        </w:tc>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경상북도</w:t>
            </w:r>
          </w:p>
        </w:tc>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6,304건</w:t>
            </w:r>
          </w:p>
        </w:tc>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+22.9%p</w:t>
            </w:r>
          </w:p>
        </w:tc>
        <w:tc>
          <w:tcPr>
            <w:tcW w:type="dxa" w:w="168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Track B · 이주노동 유입형</w:t>
            </w:r>
          </w:p>
        </w:tc>
      </w:tr>
      <w:tr>
        <w:tc>
          <w:tcPr>
            <w:tcW w:type="dxa" w:w="130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고성군(강원)</w:t>
            </w:r>
          </w:p>
        </w:tc>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강원특별자치도</w:t>
            </w:r>
          </w:p>
        </w:tc>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67,590건</w:t>
            </w:r>
          </w:p>
        </w:tc>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+15.7%p</w:t>
            </w:r>
          </w:p>
        </w:tc>
        <w:tc>
          <w:tcPr>
            <w:tcW w:type="dxa" w:w="168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Track B · 이주노동 유입형</w:t>
            </w:r>
          </w:p>
        </w:tc>
      </w:tr>
    </w:tbl>
    <w:p>
      <w:pPr>
        <w:spacing w:after="60"/>
      </w:pPr>
    </w:p>
    <w:p>
      <w:pPr>
        <w:spacing w:after="160" w:line="288"/>
      </w:pPr>
      <w:r>
        <w:rPr>
          <w:rFonts w:ascii="맑은 고딕" w:cs="맑은 고딕" w:eastAsia="맑은 고딕" w:hAnsi="맑은 고딕"/>
          <w:sz w:val="21"/>
          <w:szCs w:val="21"/>
        </w:rPr>
        <w:t xml:space="preserve">8곳의 baseline(6개월 누적 건수) 평균은 24,145건, 초과성장률 평균은 저베이스 반등 4개 셀(무주 스낵·곡성 서양음식·봉화 제과점·양양 일식회집)을 제외하면 +17.45%p(제외 전 +21.0%p)다. Track 분류의 기준은 V-5에서 설명한다.</w:t>
      </w:r>
    </w:p>
    <w:p>
      <w:pPr>
        <w:pStyle w:val="Heading2"/>
        <w:spacing w:after="140" w:before="320"/>
      </w:pPr>
      <w:r>
        <w:rPr>
          <w:rFonts w:ascii="맑은 고딕" w:cs="맑은 고딕" w:eastAsia="맑은 고딕" w:hAnsi="맑은 고딕"/>
          <w:b/>
          <w:bCs/>
          <w:color w:val="000000"/>
          <w:sz w:val="25"/>
          <w:szCs w:val="25"/>
        </w:rPr>
        <w:t xml:space="preserve">V-2. 지도로 본 신호 분포</w:t>
      </w:r>
    </w:p>
    <w:p>
      <w:pPr>
        <w:spacing w:after="160" w:line="288"/>
      </w:pPr>
      <w:r>
        <w:rPr>
          <w:rFonts w:ascii="맑은 고딕" w:cs="맑은 고딕" w:eastAsia="맑은 고딕" w:hAnsi="맑은 고딕"/>
          <w:sz w:val="21"/>
          <w:szCs w:val="21"/>
        </w:rPr>
        <w:t xml:space="preserve">후보 8곳은 강원~경북 산간 축(고성·양양·영월·봉화·영양·청송·의성)과 인천 옹진군이라는 두 갈래로 나타난다. 대조군인 보령시는 이미 유명한 관광지로 별도 표시했다.</w:t>
      </w:r>
    </w:p>
    <w:p>
      <w:pPr>
        <w:spacing w:after="60" w:before="120"/>
        <w:jc w:val="center"/>
      </w:pPr>
      <w:r>
        <w:drawing>
          <wp:inline distT="0" distB="0" distL="0" distR="0">
            <wp:extent cx="4000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857625"/>
                    </a:xfrm>
                    <a:prstGeom prst="rect">
                      <a:avLst/>
                    </a:prstGeom>
                  </pic:spPr>
                </pic:pic>
              </a:graphicData>
            </a:graphic>
          </wp:inline>
        </w:drawing>
      </w:r>
    </w:p>
    <w:p>
      <w:pPr>
        <w:spacing w:after="260"/>
        <w:jc w:val="center"/>
      </w:pPr>
      <w:r>
        <w:rPr>
          <w:rFonts w:ascii="맑은 고딕" w:cs="맑은 고딕" w:eastAsia="맑은 고딕" w:hAnsi="맑은 고딕"/>
          <w:i/>
          <w:iCs/>
          <w:color w:val="595959"/>
          <w:sz w:val="18"/>
          <w:szCs w:val="18"/>
        </w:rPr>
        <w:t xml:space="preserve">그림 1. 후보 8곳의 지역 평균 상대 초과성장률 (전국 동종업종 대비 · 5~6월 평균). 지도는 통계청 2018년 행정구역 경계 기준이며 최신 개편과 일부 다를 수 있다.</w:t>
      </w:r>
    </w:p>
    <w:p>
      <w:pPr>
        <w:pStyle w:val="Heading2"/>
        <w:spacing w:after="140" w:before="320"/>
      </w:pPr>
      <w:r>
        <w:rPr>
          <w:rFonts w:ascii="맑은 고딕" w:cs="맑은 고딕" w:eastAsia="맑은 고딕" w:hAnsi="맑은 고딕"/>
          <w:b/>
          <w:bCs/>
          <w:color w:val="000000"/>
          <w:sz w:val="25"/>
          <w:szCs w:val="25"/>
        </w:rPr>
        <w:t xml:space="preserve">V-3. 업종별 세부 패턴</w:t>
      </w:r>
    </w:p>
    <w:p>
      <w:pPr>
        <w:spacing w:after="160" w:line="288"/>
      </w:pPr>
      <w:r>
        <w:rPr>
          <w:rFonts w:ascii="맑은 고딕" w:cs="맑은 고딕" w:eastAsia="맑은 고딕" w:hAnsi="맑은 고딕"/>
          <w:sz w:val="21"/>
          <w:szCs w:val="21"/>
        </w:rPr>
        <w:t xml:space="preserve">후보 지역들이 어떤 업종에서 신호를 냈는지 보면, 원인 분류에 참고가 된다. 예를 들어 청송군은 편의점·슈퍼마켓·중국음식에서 동시에 크게 늘었는데, 이는 관광 소비보다 체류형 소비(식료품·간편식)에 가까운 패턴이다.</w:t>
      </w:r>
    </w:p>
    <w:p>
      <w:pPr>
        <w:spacing w:after="60" w:before="120"/>
        <w:jc w:val="center"/>
      </w:pPr>
      <w:r>
        <w:drawing>
          <wp:inline distT="0" distB="0" distL="0" distR="0">
            <wp:extent cx="5334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86150"/>
                    </a:xfrm>
                    <a:prstGeom prst="rect">
                      <a:avLst/>
                    </a:prstGeom>
                  </pic:spPr>
                </pic:pic>
              </a:graphicData>
            </a:graphic>
          </wp:inline>
        </w:drawing>
      </w:r>
    </w:p>
    <w:p>
      <w:pPr>
        <w:spacing w:after="260"/>
        <w:jc w:val="center"/>
      </w:pPr>
      <w:r>
        <w:rPr>
          <w:rFonts w:ascii="맑은 고딕" w:cs="맑은 고딕" w:eastAsia="맑은 고딕" w:hAnsi="맑은 고딕"/>
          <w:i/>
          <w:iCs/>
          <w:color w:val="595959"/>
          <w:sz w:val="18"/>
          <w:szCs w:val="18"/>
        </w:rPr>
        <w:t xml:space="preserve">그림 2. 후보 8곳(및 보령시)의 업종별 상대 초과성장률(%p, 5~6월 평균). †는 육안 검수로 제외한 저베이스 반등.</w:t>
      </w:r>
    </w:p>
    <w:p>
      <w:pPr>
        <w:pStyle w:val="Heading2"/>
        <w:spacing w:after="140" w:before="320"/>
      </w:pPr>
      <w:r>
        <w:rPr>
          <w:rFonts w:ascii="맑은 고딕" w:cs="맑은 고딕" w:eastAsia="맑은 고딕" w:hAnsi="맑은 고딕"/>
          <w:b/>
          <w:bCs/>
          <w:color w:val="000000"/>
          <w:sz w:val="25"/>
          <w:szCs w:val="25"/>
        </w:rPr>
        <w:t xml:space="preserve">V-4. 사례: 청송군과 양양군</w:t>
      </w:r>
    </w:p>
    <w:p>
      <w:pPr>
        <w:spacing w:after="160" w:line="288"/>
      </w:pPr>
      <w:r>
        <w:rPr>
          <w:rFonts w:ascii="맑은 고딕" w:cs="맑은 고딕" w:eastAsia="맑은 고딕" w:hAnsi="맑은 고딕"/>
          <w:sz w:val="21"/>
          <w:szCs w:val="21"/>
        </w:rPr>
        <w:t xml:space="preserve">청송군은 편의점(+45%p)·슈퍼마켓(+27%p)·중국음식(+44%p)에서 동시에 신호가 났다. 처음에는 ‘가장 강력한 신호’로 보았지만, GENDER_CD=3(외국인)이 관광객과 계절근로자를 구분하지 못한다는 BC카드 데이터의 구조적 한계를 드러낸 대표 사례로 재정의했다 — 실제로 4월 27일부터 계절근로자 451명이 입국했다는 지역 언론 보도가 있다.</w:t>
      </w:r>
    </w:p>
    <w:p>
      <w:pPr>
        <w:spacing w:after="160" w:line="288"/>
      </w:pPr>
      <w:r>
        <w:rPr>
          <w:rFonts w:ascii="맑은 고딕" w:cs="맑은 고딕" w:eastAsia="맑은 고딕" w:hAnsi="맑은 고딕"/>
          <w:sz w:val="21"/>
          <w:szCs w:val="21"/>
        </w:rPr>
        <w:t xml:space="preserve">양양군은 편의점·서양음식·중국음식·스낵 등 6개 업종에서 동시에 신호가 났고, 계절근로자 입국이 확인되지 않아 Track A(관광 유입형)로 분류했다. 다만 일식회집 한 업종의 +150%p는 표본이 작아 육안 검수로 저베이스 반등으로 판단해 제외했다.</w:t>
      </w:r>
    </w:p>
    <w:p>
      <w:pPr>
        <w:pStyle w:val="Heading2"/>
        <w:spacing w:after="140" w:before="320"/>
      </w:pPr>
      <w:r>
        <w:rPr>
          <w:rFonts w:ascii="맑은 고딕" w:cs="맑은 고딕" w:eastAsia="맑은 고딕" w:hAnsi="맑은 고딕"/>
          <w:b/>
          <w:bCs/>
          <w:color w:val="000000"/>
          <w:sz w:val="25"/>
          <w:szCs w:val="25"/>
        </w:rPr>
        <w:t xml:space="preserve">V-5. 신호의 원인 분류 — 세 가지 교란 요인과 Track 분류</w:t>
      </w:r>
    </w:p>
    <w:p>
      <w:pPr>
        <w:spacing w:after="160" w:line="288"/>
      </w:pPr>
      <w:r>
        <w:rPr>
          <w:rFonts w:ascii="맑은 고딕" w:cs="맑은 고딕" w:eastAsia="맑은 고딕" w:hAnsi="맑은 고딕"/>
          <w:sz w:val="21"/>
          <w:szCs w:val="21"/>
        </w:rPr>
        <w:t xml:space="preserve">신호를 그대로 받아들이기 전에, 신호를 부풀릴 수 있는 세 가지 요인을 먼저 가려냈다.</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1870"/>
        <w:gridCol w:w="3927"/>
        <w:gridCol w:w="3553"/>
      </w:tblGrid>
      <w:tr>
        <w:trPr>
          <w:tblHeader/>
        </w:trPr>
        <w:tc>
          <w:tcPr>
            <w:tcW w:type="dxa" w:w="1870"/>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교란 요인</w:t>
            </w:r>
          </w:p>
        </w:tc>
        <w:tc>
          <w:tcPr>
            <w:tcW w:type="dxa" w:w="3927"/>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문제</w:t>
            </w:r>
          </w:p>
        </w:tc>
        <w:tc>
          <w:tcPr>
            <w:tcW w:type="dxa" w:w="3553"/>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처리</w:t>
            </w:r>
          </w:p>
        </w:tc>
      </w:tr>
      <w:tr>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① 계절 요인</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업종 공통의 계절 흐름(예: 3월 전국 스키장 상권 +16.6%)이 증가율을 부풀린다</w:t>
            </w:r>
          </w:p>
        </w:tc>
        <w:tc>
          <w:tcPr>
            <w:tcW w:type="dxa" w:w="355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전국 같은 업종의 증가율을 뺀 ‘상대 초과성장률’로 정의</w:t>
            </w:r>
          </w:p>
        </w:tc>
      </w:tr>
      <w:tr>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② 지역 축제</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곡성·포천·음성 등의 축제가 특정 월 소비를 일시적으로 끌어올린다</w:t>
            </w:r>
          </w:p>
        </w:tc>
        <w:tc>
          <w:tcPr>
            <w:tcW w:type="dxa" w:w="355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축제월을 뺀 구간으로 재계산해 신호가 남는지 확인, 보령시는 대조군으로 분리</w:t>
            </w:r>
          </w:p>
        </w:tc>
      </w:tr>
      <w:tr>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③ 계절근로자</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관광객이 아니라 입국한 계절근로자의 소비가 신호를 만들 수 있다. GENDER_CD=3은 이 둘을 가르지 못한다</w:t>
            </w:r>
          </w:p>
        </w:tc>
        <w:tc>
          <w:tcPr>
            <w:tcW w:type="dxa" w:w="3553"/>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지역 언론의 계절근로자 입국 보도 시점과 소비 급증 시점을 대조해 원인을 분류</w:t>
            </w:r>
          </w:p>
        </w:tc>
      </w:tr>
    </w:tbl>
    <w:p>
      <w:pPr>
        <w:spacing w:after="60"/>
      </w:pPr>
    </w:p>
    <w:p>
      <w:pPr>
        <w:spacing w:after="160" w:line="288"/>
      </w:pPr>
      <w:r>
        <w:rPr>
          <w:rFonts w:ascii="맑은 고딕" w:cs="맑은 고딕" w:eastAsia="맑은 고딕" w:hAnsi="맑은 고딕"/>
          <w:sz w:val="21"/>
          <w:szCs w:val="21"/>
        </w:rPr>
        <w:t xml:space="preserve">세 번째 요인(계절근로자)의 확인 결과를 바탕으로 후보 8곳을 Track A(관광 유입형)와 Track B(이주노동 유입형)로 나눴다. 이 분류는 통계적 검정이 아니라 뉴스 근거에 따른 정성적 판단이며, 이후 히트맵(V-3)·H1 검증(VI-1)·서비스 설계(VII)·기대효과(VIII)에서 같은 표기를 사용한다.</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2244"/>
        <w:gridCol w:w="2431"/>
        <w:gridCol w:w="2805"/>
        <w:gridCol w:w="1870"/>
      </w:tblGrid>
      <w:tr>
        <w:trPr>
          <w:tblHeader/>
        </w:trPr>
        <w:tc>
          <w:tcPr>
            <w:tcW w:type="dxa" w:w="2244"/>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구분</w:t>
            </w:r>
          </w:p>
        </w:tc>
        <w:tc>
          <w:tcPr>
            <w:tcW w:type="dxa" w:w="2431"/>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기준</w:t>
            </w:r>
          </w:p>
        </w:tc>
        <w:tc>
          <w:tcPr>
            <w:tcW w:type="dxa" w:w="2805"/>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해당 지역</w:t>
            </w:r>
          </w:p>
        </w:tc>
        <w:tc>
          <w:tcPr>
            <w:tcW w:type="dxa" w:w="1870"/>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서비스 방향</w:t>
            </w:r>
          </w:p>
        </w:tc>
      </w:tr>
      <w:tr>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Track A · 관광 유입형 (메인)</w:t>
            </w:r>
          </w:p>
        </w:tc>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계절근로자 입국 등 다른 원인이 확인되지 않았다</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옹진·양양 (확인된 반증 없음) + 영월·의성 (혼합 가능, 각주)</w:t>
            </w:r>
          </w:p>
        </w:tc>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조기 알림 → 얼리버드 큐레이션 → 첫 결제 리워드</w:t>
            </w:r>
          </w:p>
        </w:tc>
      </w:tr>
      <w:tr>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Track B · 이주노동 유입형 (확장, 아이디어 수준)</w:t>
            </w:r>
          </w:p>
        </w:tc>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계절근로자 입국이 보도로 확인되고 시점이 소비 급증과 겹친다</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청송(451명) · 영양(247명, 누적 792명) · 봉화(200명) · 고성(109명)</w:t>
            </w:r>
          </w:p>
        </w:tc>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다국어 결제 안내·생활정보(지자체·BC카드 협업)</w:t>
            </w:r>
          </w:p>
        </w:tc>
      </w:tr>
      <w:tr>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대조군</w:t>
            </w:r>
          </w:p>
        </w:tc>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축제 보도 뒤 소비가 늘었다</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보령시(4/24 축제 사전 보도 → 5월 카드 급증)</w:t>
            </w:r>
          </w:p>
        </w:tc>
        <w:tc>
          <w:tcPr>
            <w:tcW w:type="dxa" w:w="187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후보가 아닌 비교용</w:t>
            </w:r>
          </w:p>
        </w:tc>
      </w:tr>
    </w:tbl>
    <w:p>
      <w:pPr>
        <w:spacing w:after="60"/>
      </w:pPr>
    </w:p>
    <w:p>
      <w:pPr>
        <w:pBdr>
          <w:left w:val="single" w:color="595959" w:sz="10" w:space="8"/>
        </w:pBdr>
        <w:spacing w:after="240" w:before="80"/>
        <w:ind w:left="120"/>
      </w:pPr>
      <w:r>
        <w:rPr>
          <w:rFonts w:ascii="맑은 고딕" w:cs="맑은 고딕" w:eastAsia="맑은 고딕" w:hAnsi="맑은 고딕"/>
          <w:i/>
          <w:iCs/>
          <w:color w:val="404040"/>
          <w:sz w:val="19"/>
          <w:szCs w:val="19"/>
        </w:rPr>
        <w:t xml:space="preserve">※ 트랙은 뉴스 근거에 따른 정성적 판단이지 통계 검정이 아니다. 이후 히트맵(V-3)·H1 검증(VI-1)·서비스 설계(VII)·기대효과(VIII)에서 같은 표기를 쓴다.</w:t>
      </w:r>
    </w:p>
    <w:p>
      <w:pPr>
        <w:pStyle w:val="Heading1"/>
        <w:pBdr>
          <w:bottom w:val="single" w:color="000000" w:sz="10" w:space="6"/>
        </w:pBdr>
        <w:spacing w:after="200" w:before="480"/>
      </w:pPr>
      <w:r>
        <w:rPr>
          <w:rFonts w:ascii="맑은 고딕" w:cs="맑은 고딕" w:eastAsia="맑은 고딕" w:hAnsi="맑은 고딕"/>
          <w:b/>
          <w:bCs/>
          <w:color w:val="000000"/>
          <w:sz w:val="30"/>
          <w:szCs w:val="30"/>
        </w:rPr>
        <w:t xml:space="preserve">VI.  </w:t>
      </w:r>
      <w:r>
        <w:rPr>
          <w:rFonts w:ascii="맑은 고딕" w:cs="맑은 고딕" w:eastAsia="맑은 고딕" w:hAnsi="맑은 고딕"/>
          <w:b/>
          <w:bCs/>
          <w:color w:val="000000"/>
          <w:sz w:val="30"/>
          <w:szCs w:val="30"/>
        </w:rPr>
        <w:t xml:space="preserve">가설 검증</w:t>
      </w:r>
    </w:p>
    <w:p>
      <w:pPr>
        <w:pStyle w:val="Heading2"/>
        <w:spacing w:after="140" w:before="320"/>
      </w:pPr>
      <w:r>
        <w:rPr>
          <w:rFonts w:ascii="맑은 고딕" w:cs="맑은 고딕" w:eastAsia="맑은 고딕" w:hAnsi="맑은 고딕"/>
          <w:b/>
          <w:bCs/>
          <w:color w:val="000000"/>
          <w:sz w:val="25"/>
          <w:szCs w:val="25"/>
        </w:rPr>
        <w:t xml:space="preserve">VI-1. H1 · 선행성 — 카드 신호는 대중 인지보다 먼저 뜨는가</w:t>
      </w:r>
    </w:p>
    <w:p>
      <w:pPr>
        <w:spacing w:after="160" w:line="288"/>
      </w:pPr>
      <w:r>
        <w:rPr>
          <w:rFonts w:ascii="맑은 고딕" w:cs="맑은 고딕" w:eastAsia="맑은 고딕" w:hAnsi="맑은 고딕"/>
          <w:sz w:val="21"/>
          <w:szCs w:val="21"/>
        </w:rPr>
        <w:t xml:space="preserve">카드 자체 통계로는 이 질문을 검증할 수 없으므로(순환논리), 카드와 독립된 원천인 한국관광 데이터랩(TourAPI)의 기초지자체 외국인 방문자수로 교차검증했다. 8개 후보지의 월별 ‘카드 초과성장률 정점월’과 ‘외국인 방문자수 증가율 정점월’을 비교했다.</w:t>
      </w:r>
    </w:p>
    <w:p>
      <w:pPr>
        <w:spacing w:after="60" w:before="120"/>
        <w:jc w:val="center"/>
      </w:pPr>
      <w:r>
        <w:drawing>
          <wp:inline distT="0" distB="0" distL="0" distR="0">
            <wp:extent cx="5334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38525"/>
                    </a:xfrm>
                    <a:prstGeom prst="rect">
                      <a:avLst/>
                    </a:prstGeom>
                  </pic:spPr>
                </pic:pic>
              </a:graphicData>
            </a:graphic>
          </wp:inline>
        </w:drawing>
      </w:r>
    </w:p>
    <w:p>
      <w:pPr>
        <w:spacing w:after="260"/>
        <w:jc w:val="center"/>
      </w:pPr>
      <w:r>
        <w:rPr>
          <w:rFonts w:ascii="맑은 고딕" w:cs="맑은 고딕" w:eastAsia="맑은 고딕" w:hAnsi="맑은 고딕"/>
          <w:i/>
          <w:iCs/>
          <w:color w:val="595959"/>
          <w:sz w:val="18"/>
          <w:szCs w:val="18"/>
        </w:rPr>
        <w:t xml:space="preserve">그림 3. 8개 후보지의 카드 초과성장 정점월과 외국인 방문자수 증가 정점월 비교.</w:t>
      </w:r>
    </w:p>
    <w:p>
      <w:pPr>
        <w:spacing w:after="160" w:line="288"/>
      </w:pPr>
      <w:r>
        <w:rPr>
          <w:rFonts w:ascii="맑은 고딕" w:cs="맑은 고딕" w:eastAsia="맑은 고딕" w:hAnsi="맑은 고딕"/>
          <w:sz w:val="21"/>
          <w:szCs w:val="21"/>
        </w:rPr>
        <w:t xml:space="preserve">결과: 8곳 중 6곳(청송·봉화·의성·양양·영양·고성)은 방문자 증가가 카드보다 먼저 정점을 찍었고, 영월군은 같은 달, 인천 옹진군만 카드 정점(3월)이 방문자 정점(4월)보다 1개월 먼저 나타났다(n=1 사례 관찰).</w:t>
      </w:r>
    </w:p>
    <w:p>
      <w:pPr>
        <w:spacing w:after="200" w:before="60"/>
      </w:pPr>
      <w:r>
        <w:rPr>
          <w:rFonts w:ascii="맑은 고딕" w:cs="맑은 고딕" w:eastAsia="맑은 고딕" w:hAnsi="맑은 고딕"/>
          <w:sz w:val="21"/>
          <w:szCs w:val="21"/>
        </w:rPr>
        <w:t xml:space="preserve">시차상관 분석(n=32, 8개 지역 × 4개월)에서도 같은 방향의 결과가 나왔다: </w:t>
      </w:r>
      <w:r>
        <w:rPr>
          <w:rFonts w:ascii="맑은 고딕" w:cs="맑은 고딕" w:eastAsia="맑은 고딕" w:hAnsi="맑은 고딕"/>
          <w:b/>
          <w:bCs/>
          <w:sz w:val="21"/>
          <w:szCs w:val="21"/>
        </w:rPr>
        <w:t xml:space="preserve">Spearman ρ = −0.591 (p = 0.0004)</w:t>
      </w:r>
      <w:r>
        <w:rPr>
          <w:rFonts w:ascii="맑은 고딕" w:cs="맑은 고딕" w:eastAsia="맑은 고딕" w:hAnsi="맑은 고딕"/>
          <w:sz w:val="21"/>
          <w:szCs w:val="21"/>
        </w:rPr>
        <w:t xml:space="preserve">, 지역평균 제거 후 ρ = −0.474 (p = 0.0061), 최소건수 필터 미적용 시 ρ = −0.555 (p = 0.001).</w:t>
      </w:r>
    </w:p>
    <w:p>
      <w:pPr>
        <w:pBdr>
          <w:left w:val="single" w:color="595959" w:sz="10" w:space="8"/>
        </w:pBdr>
        <w:spacing w:after="240" w:before="80"/>
        <w:ind w:left="120"/>
      </w:pPr>
      <w:r>
        <w:rPr>
          <w:rFonts w:ascii="맑은 고딕" w:cs="맑은 고딕" w:eastAsia="맑은 고딕" w:hAnsi="맑은 고딕"/>
          <w:i/>
          <w:iCs/>
          <w:color w:val="404040"/>
          <w:sz w:val="19"/>
          <w:szCs w:val="19"/>
        </w:rPr>
        <w:t xml:space="preserve">※ 음(−)의 상관은 ‘카드가 늘면 방문자가 준다’는 뜻이 아니라, 두 지표 모두 급등 후 감소하는 곡선인데 방문자 정점이 카드 정점보다 통상 한 달 먼저 온다는 뜻이다. 즉 ‘카드가 방문자를 예측한다’가 아니라 ‘방문자 증가가 카드 초과성장보다 대체로 먼저 정점을 찍는다’로 읽어야 한다. 결제는 방문과 동시에 일어나므로 카드 신호가 방문 자체보다 앞설 수는 없다.</w:t>
      </w:r>
    </w:p>
    <w:p>
      <w:pPr>
        <w:pStyle w:val="Heading3"/>
        <w:spacing w:after="100" w:before="200"/>
      </w:pPr>
      <w:r>
        <w:rPr>
          <w:rFonts w:ascii="맑은 고딕" w:cs="맑은 고딕" w:eastAsia="맑은 고딕" w:hAnsi="맑은 고딕"/>
          <w:b/>
          <w:bCs/>
          <w:color w:val="000000"/>
          <w:sz w:val="22"/>
          <w:szCs w:val="22"/>
        </w:rPr>
        <w:t xml:space="preserve">사례: 옹진군(카드가 먼저) vs 보령시(대중 인지가 먼저)</w:t>
      </w:r>
    </w:p>
    <w:p>
      <w:pPr>
        <w:spacing w:after="160" w:line="288"/>
      </w:pPr>
      <w:r>
        <w:rPr>
          <w:rFonts w:ascii="맑은 고딕" w:cs="맑은 고딕" w:eastAsia="맑은 고딕" w:hAnsi="맑은 고딕"/>
          <w:sz w:val="21"/>
          <w:szCs w:val="21"/>
        </w:rPr>
        <w:t xml:space="preserve">옹진군은 8곳 중 유일하게 카드 정점이 방문자 정점보다 먼저였다. 반대로 대조군인 보령시는 이미 유명한 관광지로, 4월 24일 모터페스티벌 사전 보도 이후 5월에 외국인 카드 이용이 늘었다 — 버즈가 카드보다 먼저인 사례다.</w:t>
      </w:r>
    </w:p>
    <w:tbl>
      <w:tblPr>
        <w:tblW w:type="dxa" w:w="9350"/>
        <w:tblBorders>
          <w:top w:val="none" w:sz="0"/>
          <w:left w:val="none" w:sz="0"/>
          <w:bottom w:val="none" w:sz="0"/>
          <w:right w:val="none" w:sz="0"/>
          <w:insideH w:val="none" w:sz="0"/>
          <w:insideV w:val="none" w:sz="0"/>
        </w:tblBorders>
      </w:tblPr>
      <w:tblGrid>
        <w:gridCol w:w="4675"/>
        <w:gridCol w:w="4675"/>
      </w:tblGrid>
      <w:tr>
        <w:tc>
          <w:tcPr>
            <w:tcW w:type="dxa" w:w="4675"/>
            <w:tcBorders>
              <w:top w:val="none"/>
              <w:left w:val="none"/>
              <w:bottom w:val="none"/>
              <w:right w:val="none"/>
            </w:tcBorders>
            <w:tcMar>
              <w:top w:type="dxa" w:w="90"/>
              <w:left w:type="dxa" w:w="110"/>
              <w:bottom w:type="dxa" w:w="90"/>
              <w:right w:type="dxa" w:w="110"/>
            </w:tcMar>
            <w:vAlign w:val="center"/>
          </w:tcPr>
          <w:p>
            <w:pPr>
              <w:spacing w:after="60"/>
              <w:jc w:val="center"/>
            </w:pPr>
            <w:r>
              <w:drawing>
                <wp:inline distT="0" distB="0" distL="0" distR="0">
                  <wp:extent cx="2476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1762125"/>
                          </a:xfrm>
                          <a:prstGeom prst="rect">
                            <a:avLst/>
                          </a:prstGeom>
                        </pic:spPr>
                      </pic:pic>
                    </a:graphicData>
                  </a:graphic>
                </wp:inline>
              </w:drawing>
            </w:r>
          </w:p>
          <w:p>
            <w:pPr>
              <w:spacing w:after="260"/>
              <w:jc w:val="center"/>
            </w:pPr>
            <w:r>
              <w:rPr>
                <w:rFonts w:ascii="맑은 고딕" w:cs="맑은 고딕" w:eastAsia="맑은 고딕" w:hAnsi="맑은 고딕"/>
                <w:i/>
                <w:iCs/>
                <w:color w:val="595959"/>
                <w:sz w:val="18"/>
                <w:szCs w:val="18"/>
              </w:rPr>
              <w:t xml:space="preserve">그림 4-1. 옹진군 — 카드 정점(3월, +30.0%p)이 방문자 정점(4월, +64.6%)보다 먼저.</w:t>
            </w:r>
          </w:p>
        </w:tc>
        <w:tc>
          <w:tcPr>
            <w:tcW w:type="dxa" w:w="4675"/>
            <w:tcBorders>
              <w:top w:val="none"/>
              <w:left w:val="none"/>
              <w:bottom w:val="none"/>
              <w:right w:val="none"/>
            </w:tcBorders>
            <w:tcMar>
              <w:top w:type="dxa" w:w="90"/>
              <w:left w:type="dxa" w:w="110"/>
              <w:bottom w:type="dxa" w:w="90"/>
              <w:right w:type="dxa" w:w="110"/>
            </w:tcMar>
            <w:vAlign w:val="center"/>
          </w:tcPr>
          <w:p>
            <w:pPr>
              <w:spacing w:after="60"/>
              <w:jc w:val="center"/>
            </w:pPr>
            <w:r>
              <w:drawing>
                <wp:inline distT="0" distB="0" distL="0" distR="0">
                  <wp:extent cx="2476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1714500"/>
                          </a:xfrm>
                          <a:prstGeom prst="rect">
                            <a:avLst/>
                          </a:prstGeom>
                        </pic:spPr>
                      </pic:pic>
                    </a:graphicData>
                  </a:graphic>
                </wp:inline>
              </w:drawing>
            </w:r>
          </w:p>
          <w:p>
            <w:pPr>
              <w:spacing w:after="260"/>
              <w:jc w:val="center"/>
            </w:pPr>
            <w:r>
              <w:rPr>
                <w:rFonts w:ascii="맑은 고딕" w:cs="맑은 고딕" w:eastAsia="맑은 고딕" w:hAnsi="맑은 고딕"/>
                <w:i/>
                <w:iCs/>
                <w:color w:val="595959"/>
                <w:sz w:val="18"/>
                <w:szCs w:val="18"/>
              </w:rPr>
              <w:t xml:space="preserve">그림 4-2. 보령시(대조군) — 4/24 사전 보도 뒤 5월에 외국인 카드 이용 급증.</w:t>
            </w:r>
          </w:p>
        </w:tc>
      </w:tr>
    </w:tbl>
    <w:p>
      <w:pPr>
        <w:spacing w:after="160" w:line="288"/>
      </w:pPr>
      <w:r>
        <w:rPr>
          <w:rFonts w:ascii="맑은 고딕" w:cs="맑은 고딕" w:eastAsia="맑은 고딕" w:hAnsi="맑은 고딕"/>
          <w:sz w:val="21"/>
          <w:szCs w:val="21"/>
        </w:rPr>
        <w:t xml:space="preserve">다만 옹진군의 ‘확인된 반증 없음’은 계절근로 배제를 확인했다는 뜻은 아니다. 2026년 6월 기준 외국인 어선원 657명(E-9-4)이 상주하고 있어, 관광 유입만으로 이 신호를 설명한다고 단정할 수는 없다.</w:t>
      </w:r>
    </w:p>
    <w:p>
      <w:pPr>
        <w:pBdr>
          <w:left w:val="single" w:color="000000" w:sz="8" w:space="8"/>
        </w:pBdr>
        <w:spacing w:after="260" w:before="120"/>
        <w:ind w:left="120"/>
        <w:jc w:val="left"/>
      </w:pPr>
      <w:r>
        <w:rPr>
          <w:rFonts w:ascii="맑은 고딕" w:cs="맑은 고딕" w:eastAsia="맑은 고딕" w:hAnsi="맑은 고딕"/>
          <w:b/>
          <w:bCs/>
          <w:sz w:val="20"/>
          <w:szCs w:val="20"/>
        </w:rPr>
        <w:t xml:space="preserve">판정:  </w:t>
      </w:r>
      <w:r>
        <w:rPr>
          <w:rFonts w:ascii="맑은 고딕" w:cs="맑은 고딕" w:eastAsia="맑은 고딕" w:hAnsi="맑은 고딕"/>
          <w:b/>
          <w:bCs/>
          <w:color w:val="000000"/>
          <w:sz w:val="20"/>
          <w:szCs w:val="20"/>
        </w:rPr>
        <w:t xml:space="preserve">조건부 채택 — 카드가 대중 인지보다 먼저인 사례는 옹진군 1곳(n=1)뿐이고, 시차상관(n=32)은 ‘방문자 정점이 대체로 먼저’라는 반대 방향의 근거를 함께 보여준다. 카드가 SNS·뉴스 언급량보다 먼저인지는 직접 검증하지 못했다.</w:t>
      </w:r>
    </w:p>
    <w:p>
      <w:pPr>
        <w:pStyle w:val="Heading2"/>
        <w:spacing w:after="140" w:before="320"/>
      </w:pPr>
      <w:r>
        <w:rPr>
          <w:rFonts w:ascii="맑은 고딕" w:cs="맑은 고딕" w:eastAsia="맑은 고딕" w:hAnsi="맑은 고딕"/>
          <w:b/>
          <w:bCs/>
          <w:color w:val="000000"/>
          <w:sz w:val="25"/>
          <w:szCs w:val="25"/>
        </w:rPr>
        <w:t xml:space="preserve">VI-2. H2 · 사각지대 — 신호가 뜨는 지역은 기존의 유명 관광지가 아닌가</w:t>
      </w:r>
    </w:p>
    <w:p>
      <w:pPr>
        <w:spacing w:after="160" w:line="288"/>
      </w:pPr>
      <w:r>
        <w:rPr>
          <w:rFonts w:ascii="맑은 고딕" w:cs="맑은 고딕" w:eastAsia="맑은 고딕" w:hAnsi="맑은 고딕"/>
          <w:sz w:val="21"/>
          <w:szCs w:val="21"/>
        </w:rPr>
        <w:t xml:space="preserve">소비 규모(baseline, 6개월 누적 이용 건수)와 초과성장률을 두 축으로 놓고, 후보 8곳을 실제 유명 관광지 10곳·산업단지형 대량소비지 10곳·전국 나머지 226곳과 함께 그렸다.</w:t>
      </w:r>
    </w:p>
    <w:p>
      <w:pPr>
        <w:spacing w:after="60" w:before="120"/>
        <w:jc w:val="center"/>
      </w:pPr>
      <w:r>
        <w:drawing>
          <wp:inline distT="0" distB="0" distL="0" distR="0">
            <wp:extent cx="5334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962400"/>
                    </a:xfrm>
                    <a:prstGeom prst="rect">
                      <a:avLst/>
                    </a:prstGeom>
                  </pic:spPr>
                </pic:pic>
              </a:graphicData>
            </a:graphic>
          </wp:inline>
        </w:drawing>
      </w:r>
    </w:p>
    <w:p>
      <w:pPr>
        <w:spacing w:after="260"/>
        <w:jc w:val="center"/>
      </w:pPr>
      <w:r>
        <w:rPr>
          <w:rFonts w:ascii="맑은 고딕" w:cs="맑은 고딕" w:eastAsia="맑은 고딕" w:hAnsi="맑은 고딕"/>
          <w:i/>
          <w:iCs/>
          <w:color w:val="595959"/>
          <w:sz w:val="18"/>
          <w:szCs w:val="18"/>
        </w:rPr>
        <w:t xml:space="preserve">그림 5. 소비 규모(baseline) × 상대 초과성장률 산점도 — 후보 8곳은 ‘규모는 작지만 빠르게 크는’ 좌상단에 몰려 있다.</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2805"/>
        <w:gridCol w:w="2244"/>
        <w:gridCol w:w="2805"/>
        <w:gridCol w:w="1496"/>
      </w:tblGrid>
      <w:tr>
        <w:trPr>
          <w:tblHeader/>
        </w:trPr>
        <w:tc>
          <w:tcPr>
            <w:tcW w:type="dxa" w:w="2805"/>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그룹</w:t>
            </w:r>
          </w:p>
        </w:tc>
        <w:tc>
          <w:tcPr>
            <w:tcW w:type="dxa" w:w="2244"/>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규모(baseline)</w:t>
            </w:r>
          </w:p>
        </w:tc>
        <w:tc>
          <w:tcPr>
            <w:tcW w:type="dxa" w:w="2805"/>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평균 초과성장률</w:t>
            </w:r>
          </w:p>
        </w:tc>
        <w:tc>
          <w:tcPr>
            <w:tcW w:type="dxa" w:w="1496"/>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후보 대비</w:t>
            </w:r>
          </w:p>
        </w:tc>
      </w:tr>
      <w:tr>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 8곳</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평균 24,145건</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+17.5%p (저베이스 반등 4셀 제외, 제외 전 +21.0%p)</w:t>
            </w:r>
          </w:p>
        </w:tc>
        <w:tc>
          <w:tcPr>
            <w:tcW w:type="dxa" w:w="149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기준</w:t>
            </w:r>
          </w:p>
        </w:tc>
      </w:tr>
      <w:tr>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실제 유명 관광지 10곳</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평균 약 115만 건</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+0.92%p</w:t>
            </w:r>
          </w:p>
        </w:tc>
        <w:tc>
          <w:tcPr>
            <w:tcW w:type="dxa" w:w="149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후보가 약 19배</w:t>
            </w:r>
          </w:p>
        </w:tc>
      </w:tr>
      <w:tr>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산업단지형 대량소비 10곳</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평균 약 128만 건</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+0.67%p</w:t>
            </w:r>
          </w:p>
        </w:tc>
        <w:tc>
          <w:tcPr>
            <w:tcW w:type="dxa" w:w="149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후보가 약 26배</w:t>
            </w:r>
          </w:p>
        </w:tc>
      </w:tr>
      <w:tr>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규모를 맞춘 비후보 63곳 (baseline 7만 건 미만)</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평균 약 24,145건과 유사</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+4.58%p</w:t>
            </w:r>
          </w:p>
        </w:tc>
        <w:tc>
          <w:tcPr>
            <w:tcW w:type="dxa" w:w="149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후보가 약 3.8배</w:t>
            </w:r>
          </w:p>
        </w:tc>
      </w:tr>
    </w:tbl>
    <w:p>
      <w:pPr>
        <w:spacing w:after="60"/>
      </w:pPr>
    </w:p>
    <w:p>
      <w:pPr>
        <w:spacing w:after="160" w:line="288"/>
      </w:pPr>
      <w:r>
        <w:rPr>
          <w:rFonts w:ascii="맑은 고딕" w:cs="맑은 고딕" w:eastAsia="맑은 고딕" w:hAnsi="맑은 고딕"/>
          <w:sz w:val="21"/>
          <w:szCs w:val="21"/>
        </w:rPr>
        <w:t xml:space="preserve">두 비교 모두 통계적으로 유의했다(관광지·산업단지형 대비 Mann-Whitney p = 2.3×10⁻⁵, 규모를 맞춘 비후보 대비 p = 1.5×10⁻⁵). 다만 후보는 애초에 초과성장이 큰 지역을 골라낸 것이므로 선정 효과가 섞여 있고, 비교 대상인 비후보 63곳은 개별적으로 검수하지 않았다.</w:t>
      </w:r>
    </w:p>
    <w:p>
      <w:pPr>
        <w:pBdr>
          <w:left w:val="single" w:color="000000" w:sz="16" w:space="8"/>
        </w:pBdr>
        <w:spacing w:after="260" w:before="120"/>
        <w:ind w:left="120"/>
        <w:jc w:val="left"/>
      </w:pPr>
      <w:r>
        <w:rPr>
          <w:rFonts w:ascii="맑은 고딕" w:cs="맑은 고딕" w:eastAsia="맑은 고딕" w:hAnsi="맑은 고딕"/>
          <w:b/>
          <w:bCs/>
          <w:sz w:val="20"/>
          <w:szCs w:val="20"/>
        </w:rPr>
        <w:t xml:space="preserve">판정:  </w:t>
      </w:r>
      <w:r>
        <w:rPr>
          <w:rFonts w:ascii="맑은 고딕" w:cs="맑은 고딕" w:eastAsia="맑은 고딕" w:hAnsi="맑은 고딕"/>
          <w:b/>
          <w:bCs/>
          <w:color w:val="000000"/>
          <w:sz w:val="20"/>
          <w:szCs w:val="20"/>
        </w:rPr>
        <w:t xml:space="preserve">채택 — 후보 8곳은 규모가 비슷한 지역들보다도, 이미 유명한 곳들보다도 뚜렷하게 높은 초과성장을 보였다.</w:t>
      </w:r>
    </w:p>
    <w:p>
      <w:pPr>
        <w:pStyle w:val="Heading2"/>
        <w:spacing w:after="140" w:before="320"/>
      </w:pPr>
      <w:r>
        <w:rPr>
          <w:rFonts w:ascii="맑은 고딕" w:cs="맑은 고딕" w:eastAsia="맑은 고딕" w:hAnsi="맑은 고딕"/>
          <w:b/>
          <w:bCs/>
          <w:color w:val="000000"/>
          <w:sz w:val="25"/>
          <w:szCs w:val="25"/>
        </w:rPr>
        <w:t xml:space="preserve">VI-3. H3 · 지속성 — 신호는 우연이 아니라 이후에도 유지되는가</w:t>
      </w:r>
    </w:p>
    <w:p>
      <w:pPr>
        <w:spacing w:after="160" w:line="288"/>
      </w:pPr>
      <w:r>
        <w:rPr>
          <w:rFonts w:ascii="맑은 고딕" w:cs="맑은 고딕" w:eastAsia="맑은 고딕" w:hAnsi="맑은 고딕"/>
          <w:sz w:val="21"/>
          <w:szCs w:val="21"/>
        </w:rPr>
        <w:t xml:space="preserve">1~4월 신호를 기준으로 뽑았다면 이상적인 홀드아웃 검증이 되지만, 실제로는 후보 20개 항목(8개 시군구의 신호가 뜬 업종 조합)을 6개월 전체 데이터로 선정했다는 사실을 뒤늦게 발견했다. 이 경우 4→6월 지속 여부 확인은 홀드아웃이 아니라 사후 확인이며, 순환 선택의 소지가 있다.</w:t>
      </w:r>
    </w:p>
    <w:p>
      <w:pPr>
        <w:spacing w:after="160" w:line="288"/>
      </w:pPr>
      <w:r>
        <w:rPr>
          <w:rFonts w:ascii="맑은 고딕" w:cs="맑은 고딕" w:eastAsia="맑은 고딕" w:hAnsi="맑은 고딕"/>
          <w:sz w:val="21"/>
          <w:szCs w:val="21"/>
        </w:rPr>
        <w:t xml:space="preserve">실제로 후보 20개 항목은 4→6월에도 20/20(100%) 그대로 초과성장을 유지했다. 그러나 이 결과만으로는 신호의 지속성을 증명할 수 없다고 보고, 전국 2,111개 조합 전체를 대상으로 재검증했다.</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2431"/>
        <w:gridCol w:w="3927"/>
        <w:gridCol w:w="2992"/>
      </w:tblGrid>
      <w:tr>
        <w:trPr>
          <w:tblHeader/>
        </w:trPr>
        <w:tc>
          <w:tcPr>
            <w:tcW w:type="dxa" w:w="2431"/>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재검증 항목</w:t>
            </w:r>
          </w:p>
        </w:tc>
        <w:tc>
          <w:tcPr>
            <w:tcW w:type="dxa" w:w="3927"/>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결과</w:t>
            </w:r>
          </w:p>
        </w:tc>
        <w:tc>
          <w:tcPr>
            <w:tcW w:type="dxa" w:w="2992"/>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비교 기준</w:t>
            </w:r>
          </w:p>
        </w:tc>
      </w:tr>
      <w:tr>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성장률 자체의 지속</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1~4월 +10%p 이상이었던 275개 조합 중 36.7%만 4→6월에도 양(+)의 성장</w:t>
            </w:r>
          </w:p>
        </w:tc>
        <w:tc>
          <w:tcPr>
            <w:tcW w:type="dxa" w:w="299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전체 조합의 54.4%가 양(+)의 성장 — 후보군이 오히려 낮음</w:t>
            </w:r>
          </w:p>
        </w:tc>
      </w:tr>
      <w:tr>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올라간 ‘수준’의 지속</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3~4월 상대 수준이 전국 평균의 1.3배 이상이었던 106개 조합은 5~6월에도 100% 1배를 초과</w:t>
            </w:r>
          </w:p>
        </w:tc>
        <w:tc>
          <w:tcPr>
            <w:tcW w:type="dxa" w:w="299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월 순서를 무작위로 섞은 기준선 평균 83.5%, 상위 5% 경계 91.5%보다 뚜렷이 높음</w:t>
            </w:r>
          </w:p>
        </w:tc>
      </w:tr>
    </w:tbl>
    <w:p>
      <w:pPr>
        <w:spacing w:after="60"/>
      </w:pPr>
    </w:p>
    <w:p>
      <w:pPr>
        <w:spacing w:after="160" w:line="288"/>
      </w:pPr>
      <w:r>
        <w:rPr>
          <w:rFonts w:ascii="맑은 고딕" w:cs="맑은 고딕" w:eastAsia="맑은 고딕" w:hAnsi="맑은 고딕"/>
          <w:sz w:val="21"/>
          <w:szCs w:val="21"/>
        </w:rPr>
        <w:t xml:space="preserve">즉 ‘초과성장이 계속 이어진다’고는 말할 수 없지만, ‘한 번 올라간 소비 수준이 쉽게 원래대로 돌아가지 않는다’는 경향은 전국 규모 재검증에서도 확인됐다. 서비스 설계(VII장)의 ‘주시 목록’ 기준은 성장률이 아니라 이 수준 상승 기준을 근거로 삼았다.</w:t>
      </w:r>
    </w:p>
    <w:p>
      <w:pPr>
        <w:pBdr>
          <w:left w:val="single" w:color="000000" w:sz="8" w:space="8"/>
        </w:pBdr>
        <w:spacing w:after="260" w:before="120"/>
        <w:ind w:left="120"/>
        <w:jc w:val="left"/>
      </w:pPr>
      <w:r>
        <w:rPr>
          <w:rFonts w:ascii="맑은 고딕" w:cs="맑은 고딕" w:eastAsia="맑은 고딕" w:hAnsi="맑은 고딕"/>
          <w:b/>
          <w:bCs/>
          <w:sz w:val="20"/>
          <w:szCs w:val="20"/>
        </w:rPr>
        <w:t xml:space="preserve">판정:  </w:t>
      </w:r>
      <w:r>
        <w:rPr>
          <w:rFonts w:ascii="맑은 고딕" w:cs="맑은 고딕" w:eastAsia="맑은 고딕" w:hAnsi="맑은 고딕"/>
          <w:b/>
          <w:bCs/>
          <w:color w:val="000000"/>
          <w:sz w:val="20"/>
          <w:szCs w:val="20"/>
        </w:rPr>
        <w:t xml:space="preserve">조건부 채택 — 후보 20개의 20/20 지속은 순환 선택이 섞인 사후 확인이다. 전국 재검증에서 성장률 자체의 지속은 확인되지 않았고, 올라간 수준의 지속만 통계적으로 뒷받침된다.</w:t>
      </w:r>
    </w:p>
    <w:p>
      <w:pPr>
        <w:pStyle w:val="Heading1"/>
        <w:pBdr>
          <w:bottom w:val="single" w:color="000000" w:sz="10" w:space="6"/>
        </w:pBdr>
        <w:spacing w:after="200" w:before="480"/>
      </w:pPr>
      <w:r>
        <w:rPr>
          <w:rFonts w:ascii="맑은 고딕" w:cs="맑은 고딕" w:eastAsia="맑은 고딕" w:hAnsi="맑은 고딕"/>
          <w:b/>
          <w:bCs/>
          <w:color w:val="000000"/>
          <w:sz w:val="30"/>
          <w:szCs w:val="30"/>
        </w:rPr>
        <w:t xml:space="preserve">VII.  </w:t>
      </w:r>
      <w:r>
        <w:rPr>
          <w:rFonts w:ascii="맑은 고딕" w:cs="맑은 고딕" w:eastAsia="맑은 고딕" w:hAnsi="맑은 고딕"/>
          <w:b/>
          <w:bCs/>
          <w:color w:val="000000"/>
          <w:sz w:val="30"/>
          <w:szCs w:val="30"/>
        </w:rPr>
        <w:t xml:space="preserve">서비스 아이디어 제안</w:t>
      </w:r>
    </w:p>
    <w:p>
      <w:pPr>
        <w:pStyle w:val="Heading2"/>
        <w:spacing w:after="140" w:before="320"/>
      </w:pPr>
      <w:r>
        <w:rPr>
          <w:rFonts w:ascii="맑은 고딕" w:cs="맑은 고딕" w:eastAsia="맑은 고딕" w:hAnsi="맑은 고딕"/>
          <w:b/>
          <w:bCs/>
          <w:color w:val="000000"/>
          <w:sz w:val="25"/>
          <w:szCs w:val="25"/>
        </w:rPr>
        <w:t xml:space="preserve">VII-1. 컨셉 — 외국인 인바운드 로컬 디스커버리</w:t>
      </w:r>
    </w:p>
    <w:p>
      <w:pPr>
        <w:spacing w:after="160" w:line="288"/>
      </w:pPr>
      <w:r>
        <w:rPr>
          <w:rFonts w:ascii="맑은 고딕" w:cs="맑은 고딕" w:eastAsia="맑은 고딕" w:hAnsi="맑은 고딕"/>
          <w:sz w:val="21"/>
          <w:szCs w:val="21"/>
        </w:rPr>
        <w:t xml:space="preserve">리뷰·SNS가 생기기 전, 외국인 관광객의 카드 소비가 급증하는 ‘아직 안 알려진 지방 상권’을 카드 데이터로 먼저 포착해 지자체·소상공인·외국인 이용자에게 알리는 서비스다. 핵심은 새 카드 상품이 아니라, 이미 존재하는 결제 인프라 위에 얹는 서비스·정보 레이어라는 점이다.</w:t>
      </w:r>
    </w:p>
    <w:p>
      <w:pPr>
        <w:pStyle w:val="Heading2"/>
        <w:spacing w:after="140" w:before="320"/>
      </w:pPr>
      <w:r>
        <w:rPr>
          <w:rFonts w:ascii="맑은 고딕" w:cs="맑은 고딕" w:eastAsia="맑은 고딕" w:hAnsi="맑은 고딕"/>
          <w:b/>
          <w:bCs/>
          <w:color w:val="000000"/>
          <w:sz w:val="25"/>
          <w:szCs w:val="25"/>
        </w:rPr>
        <w:t xml:space="preserve">VII-2. 서비스 구조 — 포착 → 전달 → 행동</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1122"/>
        <w:gridCol w:w="5797"/>
        <w:gridCol w:w="2431"/>
      </w:tblGrid>
      <w:tr>
        <w:trPr>
          <w:tblHeader/>
        </w:trPr>
        <w:tc>
          <w:tcPr>
            <w:tcW w:type="dxa" w:w="1122"/>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단계</w:t>
            </w:r>
          </w:p>
        </w:tc>
        <w:tc>
          <w:tcPr>
            <w:tcW w:type="dxa" w:w="5797"/>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내용</w:t>
            </w:r>
          </w:p>
        </w:tc>
        <w:tc>
          <w:tcPr>
            <w:tcW w:type="dxa" w:w="2431"/>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대상</w:t>
            </w:r>
          </w:p>
        </w:tc>
      </w:tr>
      <w:tr>
        <w:tc>
          <w:tcPr>
            <w:tcW w:type="dxa" w:w="112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① 포착</w:t>
            </w:r>
          </w:p>
        </w:tc>
        <w:tc>
          <w:tcPr>
            <w:tcW w:type="dxa" w:w="579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외국인 카드 소비를 시군구×업종×월로 집계하고, 전국 동종업종 대비 상대 수준·초과성장률로 점수화. 방문자 통계·뉴스로 원인 태그(관광·계절근로·미확인)를 붙여 ‘주시 목록’으로 관리</w:t>
            </w:r>
          </w:p>
        </w:tc>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BC카드 내부 · 월 단위 리포트</w:t>
            </w:r>
          </w:p>
        </w:tc>
      </w:tr>
      <w:tr>
        <w:tc>
          <w:tcPr>
            <w:tcW w:type="dxa" w:w="112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② 전달</w:t>
            </w:r>
          </w:p>
        </w:tc>
        <w:tc>
          <w:tcPr>
            <w:tcW w:type="dxa" w:w="579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지자체·소상공인에게는 다국어 메뉴판·안내문 준비를 앞당기도록 조기 알림. 외국인 이용자에게는 아직 리뷰가 쌓이지 않은 스팟을 먼저 소개(‘로컬 얼리버드’ 큐레이션)</w:t>
            </w:r>
          </w:p>
        </w:tc>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지자체 · 소상공인 · 외국인 이용자</w:t>
            </w:r>
          </w:p>
        </w:tc>
      </w:tr>
      <w:tr>
        <w:tc>
          <w:tcPr>
            <w:tcW w:type="dxa" w:w="112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③ 행동</w:t>
            </w:r>
          </w:p>
        </w:tc>
        <w:tc>
          <w:tcPr>
            <w:tcW w:type="dxa" w:w="579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얼리버드 스팟에서 첫 결제 시 포인트·할인과 배지 제공. 신규 카드 발급 없이, 기존 결제 인프라 위에서 동작</w:t>
            </w:r>
          </w:p>
        </w:tc>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협약 인프라 위 · 2027년 출시 목표</w:t>
            </w:r>
          </w:p>
        </w:tc>
      </w:tr>
    </w:tbl>
    <w:p>
      <w:pPr>
        <w:spacing w:after="60"/>
      </w:pPr>
    </w:p>
    <w:p>
      <w:pPr>
        <w:spacing w:after="160" w:line="288"/>
      </w:pPr>
      <w:r>
        <w:rPr>
          <w:rFonts w:ascii="맑은 고딕" w:cs="맑은 고딕" w:eastAsia="맑은 고딕" w:hAnsi="맑은 고딕"/>
          <w:sz w:val="21"/>
          <w:szCs w:val="21"/>
        </w:rPr>
        <w:t xml:space="preserve">‘주시 목록’에 올리는 기준은 세 가지다: (1) 최소 건수 — 6개월 누적 200건 이상·최근월 30건 이상으로 소규모 셀의 노이즈를 거른다. (2) 수준 상승 — 전국 동종업종 대비 상대 수준이 1~2월의 1.3배 이상인 조합은 전국 재검증(VI-3)에서 5~6월에도 모두 기준을 유지했다. (3) 폭넓은 확산 — 여러 업종·여러 달에서 함께 오를수록 우선한다(설계 원칙이며 별도 통계 검증은 하지 못했다).</w:t>
      </w:r>
    </w:p>
    <w:p>
      <w:pPr>
        <w:spacing w:after="160" w:line="288"/>
      </w:pPr>
      <w:r>
        <w:rPr>
          <w:rFonts w:ascii="맑은 고딕" w:cs="맑은 고딕" w:eastAsia="맑은 고딕" w:hAnsi="맑은 고딕"/>
          <w:sz w:val="21"/>
          <w:szCs w:val="21"/>
        </w:rPr>
        <w:t xml:space="preserve">Track A(관광 유입형)는 구체적인 서비스 설계의 대상이고, Track B(이주노동 유입형)는 다국어 결제 안내·생활정보 제공 같은 아이디어 수준의 확장으로만 제시한다.</w:t>
      </w:r>
    </w:p>
    <w:p>
      <w:pPr>
        <w:pStyle w:val="Heading2"/>
        <w:spacing w:after="140" w:before="320"/>
      </w:pPr>
      <w:r>
        <w:rPr>
          <w:rFonts w:ascii="맑은 고딕" w:cs="맑은 고딕" w:eastAsia="맑은 고딕" w:hAnsi="맑은 고딕"/>
          <w:b/>
          <w:bCs/>
          <w:color w:val="000000"/>
          <w:sz w:val="25"/>
          <w:szCs w:val="25"/>
        </w:rPr>
        <w:t xml:space="preserve">VII-3. 실현가능성 — 기존 협약 인프라 위에서</w:t>
      </w:r>
    </w:p>
    <w:p>
      <w:pPr>
        <w:spacing w:after="160" w:line="288"/>
      </w:pPr>
      <w:r>
        <w:rPr>
          <w:rFonts w:ascii="맑은 고딕" w:cs="맑은 고딕" w:eastAsia="맑은 고딕" w:hAnsi="맑은 고딕"/>
          <w:sz w:val="21"/>
          <w:szCs w:val="21"/>
        </w:rPr>
        <w:t xml:space="preserve">BC카드는 2026년 8월 24일 네이버페이·유니온페이와 방한 외국인 결제 편의 확대를 위한 업무협약을 체결했다(8월 25~26일 보도). 크로스보더 QR 결제 활성화 협력도 이어갈 예정이며, 서비스 출시 목표는 2027년이다. 본 제안은 이 협약이 여는 결제 인프라 위에 얹어 정보 공백을 메우는 데이터 서비스를 제안한다. QR 리워드 단계는 협약 사업의 출시 일정에 좌우된다는 점을 밝혀 둔다.</w:t>
      </w:r>
    </w:p>
    <w:p>
      <w:pPr>
        <w:pStyle w:val="Heading2"/>
        <w:spacing w:after="140" w:before="320"/>
      </w:pPr>
      <w:r>
        <w:rPr>
          <w:rFonts w:ascii="맑은 고딕" w:cs="맑은 고딕" w:eastAsia="맑은 고딕" w:hAnsi="맑은 고딕"/>
          <w:b/>
          <w:bCs/>
          <w:color w:val="000000"/>
          <w:sz w:val="25"/>
          <w:szCs w:val="25"/>
        </w:rPr>
        <w:t xml:space="preserve">VII-4. 차별점 — 이미 있는 것과 무엇이 다른가</w:t>
      </w:r>
    </w:p>
    <w:p>
      <w:pPr>
        <w:spacing w:after="160" w:line="288"/>
      </w:pPr>
      <w:r>
        <w:rPr>
          <w:rFonts w:ascii="맑은 고딕" w:cs="맑은 고딕" w:eastAsia="맑은 고딕" w:hAnsi="맑은 고딕"/>
          <w:sz w:val="21"/>
          <w:szCs w:val="21"/>
        </w:rPr>
        <w:t xml:space="preserve">이 제안이 처음 겨루어야 할 것은 경쟁 서비스가 아니라 ‘정보가 이미 있는 순서’ 그 자체다. 방문 → 결제(카드 신호, 즉시) → 후기 작성 → 검색·SNS 노출(후행 신호, 후기가 쌓인 뒤) 순으로 정보가 생기는데, 카드 결제는 리뷰 여부와 무관하게 발생 즉시 데이터가 된다. 다만 결제는 방문과 동시에 일어나므로 카드가 방문 자체보다 앞설 수는 없고, 검증에서도 8곳 중 6곳은 방문자가 먼저였다(VI-1).</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2244"/>
        <w:gridCol w:w="3740"/>
        <w:gridCol w:w="3366"/>
      </w:tblGrid>
      <w:tr>
        <w:trPr>
          <w:tblHeader/>
        </w:trPr>
        <w:tc>
          <w:tcPr>
            <w:tcW w:type="dxa" w:w="2244"/>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비교 대상</w:t>
            </w:r>
          </w:p>
        </w:tc>
        <w:tc>
          <w:tcPr>
            <w:tcW w:type="dxa" w:w="3740"/>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성격</w:t>
            </w:r>
          </w:p>
        </w:tc>
        <w:tc>
          <w:tcPr>
            <w:tcW w:type="dxa" w:w="3366"/>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이 제안과의 차이</w:t>
            </w:r>
          </w:p>
        </w:tc>
      </w:tr>
      <w:tr>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리뷰·SNS 기반 여행 정보</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방문 → 후기 → 검색·SNS 순으로 생기는 후행 정보</w:t>
            </w:r>
          </w:p>
        </w:tc>
        <w:tc>
          <w:tcPr>
            <w:tcW w:type="dxa" w:w="336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소규모 지방은 후기·검색량이 희박한 경우가 많다(부록 D)</w:t>
            </w:r>
          </w:p>
        </w:tc>
      </w:tr>
      <w:tr>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외국인 전용 결제 카드(WOWPASS)</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결제·환전이 본업인, 이미 자리 잡은 결제 수단(가입자 약 300만, 키오스크 397대, 2025년 매출 253억 원)</w:t>
            </w:r>
          </w:p>
        </w:tc>
        <w:tc>
          <w:tcPr>
            <w:tcW w:type="dxa" w:w="336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새 카드를 발급해 정면으로 경쟁하지 않고, 결제 데이터를 서비스로 바꾸는 자리를 노린다</w:t>
            </w:r>
          </w:p>
        </w:tc>
      </w:tr>
      <w:tr>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BC카드 자체 · 상권지수</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집객력·성장성 등 5개 지표로 상권을 사후 진단하는 서비스가 이미 있다(창업자·지자체 대상, 5등급 · 2023년 기준 보도)</w:t>
            </w:r>
          </w:p>
        </w:tc>
        <w:tc>
          <w:tcPr>
            <w:tcW w:type="dxa" w:w="336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외국인 세그먼트나 급증 원인(관광·이주노동) 분류는 다루지 않는다. 본 제안은 이미 형성된 상권의 사후 진단이 아니라, 리뷰·SNS가 쌓이기 전 신호를 원인까지 분류해 사전에 알린다</w:t>
            </w:r>
          </w:p>
        </w:tc>
      </w:tr>
      <w:tr>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본 제안 · 로컬 디스커버리</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리뷰가 없어도 결제는 즉시 데이터가 된다</w:t>
            </w:r>
          </w:p>
        </w:tc>
        <w:tc>
          <w:tcPr>
            <w:tcW w:type="dxa" w:w="336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신규 카드 없이, 신호가 뜬 원인(관광·이주노동)까지 분류해 지자체 알림·외국인 큐레이션·첫 결제 리워드로 잇는다</w:t>
            </w:r>
          </w:p>
        </w:tc>
      </w:tr>
    </w:tbl>
    <w:p>
      <w:pPr>
        <w:spacing w:after="60"/>
      </w:pPr>
    </w:p>
    <w:p>
      <w:pPr>
        <w:spacing w:after="160" w:line="288"/>
      </w:pPr>
      <w:r>
        <w:rPr>
          <w:rFonts w:ascii="맑은 고딕" w:cs="맑은 고딕" w:eastAsia="맑은 고딕" w:hAnsi="맑은 고딕"/>
          <w:sz w:val="21"/>
          <w:szCs w:val="21"/>
        </w:rPr>
        <w:t xml:space="preserve">요약하면 이 제안의 독창성은 단일 아이디어가 아니라 세 가지가 겹치는 지점에 있다: (1) 카드 신호를 리뷰·SNS보다 구조적으로 먼저 쓸 수 있다는 프레이밍, (2) 신호가 뜬 원인을 관광 유입과 이주노동 유입으로 갈라 서로 다른 서비스로 잇는다는 점, (3) 이 과정에서 드러난 데이터의 한계(GENDER_CD=3이 관광객과 체류 노동자를 구분하지 못한다는 점)를 BC카드에 대한 데이터 개선 제안으로 연결한다는 점이다(X장).</w:t>
      </w:r>
    </w:p>
    <w:p>
      <w:pPr>
        <w:pStyle w:val="Heading1"/>
        <w:pBdr>
          <w:bottom w:val="single" w:color="000000" w:sz="10" w:space="6"/>
        </w:pBdr>
        <w:spacing w:after="200" w:before="480"/>
      </w:pPr>
      <w:r>
        <w:rPr>
          <w:rFonts w:ascii="맑은 고딕" w:cs="맑은 고딕" w:eastAsia="맑은 고딕" w:hAnsi="맑은 고딕"/>
          <w:b/>
          <w:bCs/>
          <w:color w:val="000000"/>
          <w:sz w:val="30"/>
          <w:szCs w:val="30"/>
        </w:rPr>
        <w:t xml:space="preserve">VIII.  </w:t>
      </w:r>
      <w:r>
        <w:rPr>
          <w:rFonts w:ascii="맑은 고딕" w:cs="맑은 고딕" w:eastAsia="맑은 고딕" w:hAnsi="맑은 고딕"/>
          <w:b/>
          <w:bCs/>
          <w:color w:val="000000"/>
          <w:sz w:val="30"/>
          <w:szCs w:val="30"/>
        </w:rPr>
        <w:t xml:space="preserve">기대효과</w:t>
      </w:r>
    </w:p>
    <w:p>
      <w:pPr>
        <w:spacing w:after="160" w:line="288"/>
      </w:pPr>
      <w:r>
        <w:rPr>
          <w:rFonts w:ascii="맑은 고딕" w:cs="맑은 고딕" w:eastAsia="맑은 고딕" w:hAnsi="맑은 고딕"/>
          <w:sz w:val="21"/>
          <w:szCs w:val="21"/>
        </w:rPr>
        <w:t xml:space="preserve">후보 8곳의 외국인 카드 소비액(AMT)은 1월 4.14억 원에서 6월 6.55억 원으로 6개월 만에 +58.2% 늘었다(같은 기간 전국 외국인 소비 평균은 +3.28%). 6개월 누적 30.3억 원은 전국 외국인 카드 소비액의 0.24%에 해당한다.</w:t>
      </w:r>
    </w:p>
    <w:p>
      <w:pPr>
        <w:spacing w:after="60" w:before="12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86100"/>
                    </a:xfrm>
                    <a:prstGeom prst="rect">
                      <a:avLst/>
                    </a:prstGeom>
                  </pic:spPr>
                </pic:pic>
              </a:graphicData>
            </a:graphic>
          </wp:inline>
        </w:drawing>
      </w:r>
    </w:p>
    <w:p>
      <w:pPr>
        <w:spacing w:after="260"/>
        <w:jc w:val="center"/>
      </w:pPr>
      <w:r>
        <w:rPr>
          <w:rFonts w:ascii="맑은 고딕" w:cs="맑은 고딕" w:eastAsia="맑은 고딕" w:hAnsi="맑은 고딕"/>
          <w:i/>
          <w:iCs/>
          <w:color w:val="595959"/>
          <w:sz w:val="18"/>
          <w:szCs w:val="18"/>
        </w:rPr>
        <w:t xml:space="preserve">그림 6. 후보 8곳의 1→6월 외국인 카드 소비액(AMT) 성장률. Track B(계절근로자 확인 지역)가 Track A(관광)보다 더 크게 늘었다.</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3740"/>
        <w:gridCol w:w="2244"/>
        <w:gridCol w:w="3366"/>
      </w:tblGrid>
      <w:tr>
        <w:trPr>
          <w:tblHeader/>
        </w:trPr>
        <w:tc>
          <w:tcPr>
            <w:tcW w:type="dxa" w:w="3740"/>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구분</w:t>
            </w:r>
          </w:p>
        </w:tc>
        <w:tc>
          <w:tcPr>
            <w:tcW w:type="dxa" w:w="2244"/>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1→6월 성장률</w:t>
            </w:r>
          </w:p>
        </w:tc>
        <w:tc>
          <w:tcPr>
            <w:tcW w:type="dxa" w:w="3366"/>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해석</w:t>
            </w:r>
          </w:p>
        </w:tc>
      </w:tr>
      <w:tr>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Track A · 관광 2곳(옹진·양양)</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+40.1%</w:t>
            </w:r>
          </w:p>
        </w:tc>
        <w:tc>
          <w:tcPr>
            <w:tcW w:type="dxa" w:w="336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관광 유입만으로는 이 정도 성장은 아니라는 시사</w:t>
            </w:r>
          </w:p>
        </w:tc>
      </w:tr>
      <w:tr>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Track B · 계절근로자 확인 4곳(청송·영양·봉화·고성)</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+67.5%</w:t>
            </w:r>
          </w:p>
        </w:tc>
        <w:tc>
          <w:tcPr>
            <w:tcW w:type="dxa" w:w="336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계절근로자 소비가 섞였을 가능성이 더 크다는 근거</w:t>
            </w:r>
          </w:p>
        </w:tc>
      </w:tr>
      <w:tr>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 8곳 합산</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+58.2%</w:t>
            </w:r>
          </w:p>
        </w:tc>
        <w:tc>
          <w:tcPr>
            <w:tcW w:type="dxa" w:w="336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전국 평균 대비 약 18배</w:t>
            </w:r>
          </w:p>
        </w:tc>
      </w:tr>
    </w:tbl>
    <w:p>
      <w:pPr>
        <w:spacing w:after="60"/>
      </w:pPr>
    </w:p>
    <w:p>
      <w:pPr>
        <w:pStyle w:val="Heading2"/>
        <w:spacing w:after="140" w:before="320"/>
      </w:pPr>
      <w:r>
        <w:rPr>
          <w:rFonts w:ascii="맑은 고딕" w:cs="맑은 고딕" w:eastAsia="맑은 고딕" w:hAnsi="맑은 고딕"/>
          <w:b/>
          <w:bCs/>
          <w:color w:val="000000"/>
          <w:sz w:val="25"/>
          <w:szCs w:val="25"/>
        </w:rPr>
        <w:t xml:space="preserve">이해관계자별 기대효과</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2431"/>
        <w:gridCol w:w="6919"/>
      </w:tblGrid>
      <w:tr>
        <w:trPr>
          <w:tblHeader/>
        </w:trPr>
        <w:tc>
          <w:tcPr>
            <w:tcW w:type="dxa" w:w="2431"/>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이해관계자</w:t>
            </w:r>
          </w:p>
        </w:tc>
        <w:tc>
          <w:tcPr>
            <w:tcW w:type="dxa" w:w="6919"/>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기대효과</w:t>
            </w:r>
          </w:p>
        </w:tc>
      </w:tr>
      <w:tr>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지자체 · 소상공인</w:t>
            </w:r>
          </w:p>
        </w:tc>
        <w:tc>
          <w:tcPr>
            <w:tcW w:type="dxa" w:w="691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신호가 뜬 지역은 다국어 메뉴판·안내문을 먼저 준비할 시간을 번다 — 옹진군은 카드 정점이 방문자 정점보다 1개월 앞섰다(1곳 사례)</w:t>
            </w:r>
          </w:p>
        </w:tc>
      </w:tr>
      <w:tr>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외국인 이용자</w:t>
            </w:r>
          </w:p>
        </w:tc>
        <w:tc>
          <w:tcPr>
            <w:tcW w:type="dxa" w:w="691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리뷰가 쌓이기 전의 로컬 스팟을 먼저 발견하고, 첫 결제에 포인트·배지를 받는다</w:t>
            </w:r>
          </w:p>
        </w:tc>
      </w:tr>
      <w:tr>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BC카드</w:t>
            </w:r>
          </w:p>
        </w:tc>
        <w:tc>
          <w:tcPr>
            <w:tcW w:type="dxa" w:w="691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결제 수수료 밖의 부가가치 — 이용 유도와 결제 데이터 자산의 고도화, 체류자격 필드로 데이터 품질 개선</w:t>
            </w:r>
          </w:p>
        </w:tc>
      </w:tr>
    </w:tbl>
    <w:p>
      <w:pPr>
        <w:spacing w:after="60"/>
      </w:pPr>
    </w:p>
    <w:p>
      <w:pPr>
        <w:pBdr>
          <w:left w:val="single" w:color="595959" w:sz="10" w:space="8"/>
        </w:pBdr>
        <w:spacing w:after="240" w:before="80"/>
        <w:ind w:left="120"/>
      </w:pPr>
      <w:r>
        <w:rPr>
          <w:rFonts w:ascii="맑은 고딕" w:cs="맑은 고딕" w:eastAsia="맑은 고딕" w:hAnsi="맑은 고딕"/>
          <w:i/>
          <w:iCs/>
          <w:color w:val="404040"/>
          <w:sz w:val="19"/>
          <w:szCs w:val="19"/>
        </w:rPr>
        <w:t xml:space="preserve">※ 이 수치는 매출 예측이 아니다. 성장률이 높은 지역을 골랐으므로 선정 효과가 있고, 계절근로자 소비가 섞일 수 있으며, BC카드 이용실적 기준이라 실제 매출·전체 시장과 다르다. 이 8곳은 최소건수 필터를 통과한 2,111개 조합 중 육안 검수를 거친 파일럿 규모이며, 서비스의 ‘주시 목록’을 넓히면 대상 지역과 효과의 규모는 지금과 달라진다.</w:t>
      </w:r>
    </w:p>
    <w:p>
      <w:pPr>
        <w:pStyle w:val="Heading1"/>
        <w:pBdr>
          <w:bottom w:val="single" w:color="000000" w:sz="10" w:space="6"/>
        </w:pBdr>
        <w:spacing w:after="200" w:before="480"/>
      </w:pPr>
      <w:r>
        <w:rPr>
          <w:rFonts w:ascii="맑은 고딕" w:cs="맑은 고딕" w:eastAsia="맑은 고딕" w:hAnsi="맑은 고딕"/>
          <w:b/>
          <w:bCs/>
          <w:color w:val="000000"/>
          <w:sz w:val="30"/>
          <w:szCs w:val="30"/>
        </w:rPr>
        <w:t xml:space="preserve">IX.  </w:t>
      </w:r>
      <w:r>
        <w:rPr>
          <w:rFonts w:ascii="맑은 고딕" w:cs="맑은 고딕" w:eastAsia="맑은 고딕" w:hAnsi="맑은 고딕"/>
          <w:b/>
          <w:bCs/>
          <w:color w:val="000000"/>
          <w:sz w:val="30"/>
          <w:szCs w:val="30"/>
        </w:rPr>
        <w:t xml:space="preserve">한계점과 보완</w:t>
      </w:r>
    </w:p>
    <w:p>
      <w:pPr>
        <w:spacing w:after="160" w:line="288"/>
      </w:pPr>
      <w:r>
        <w:rPr>
          <w:rFonts w:ascii="맑은 고딕" w:cs="맑은 고딕" w:eastAsia="맑은 고딕" w:hAnsi="맑은 고딕"/>
          <w:sz w:val="21"/>
          <w:szCs w:val="21"/>
        </w:rPr>
        <w:t xml:space="preserve">한계는 숨기지 않고, 무엇이 흔들리는지와 각각의 대응 방안을 함께 적는다.</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2805"/>
        <w:gridCol w:w="3179"/>
        <w:gridCol w:w="3366"/>
      </w:tblGrid>
      <w:tr>
        <w:trPr>
          <w:tblHeader/>
        </w:trPr>
        <w:tc>
          <w:tcPr>
            <w:tcW w:type="dxa" w:w="2805"/>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한계</w:t>
            </w:r>
          </w:p>
        </w:tc>
        <w:tc>
          <w:tcPr>
            <w:tcW w:type="dxa" w:w="3179"/>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영향</w:t>
            </w:r>
          </w:p>
        </w:tc>
        <w:tc>
          <w:tcPr>
            <w:tcW w:type="dxa" w:w="3366"/>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보완 · 대응</w:t>
            </w:r>
          </w:p>
        </w:tc>
      </w:tr>
      <w:tr>
        <w:tc>
          <w:tcPr>
            <w:tcW w:type="dxa" w:w="2805"/>
            <w:shd w:fill="E8E8E8"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GENDER_CD=3이 관광객과 체류 노동자를 구분하지 못한다</w:t>
            </w:r>
          </w:p>
        </w:tc>
        <w:tc>
          <w:tcPr>
            <w:tcW w:type="dxa" w:w="3179"/>
            <w:shd w:fill="E8E8E8"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 8곳 중 4곳(청송·영양·봉화·고성)이 계절근로자 입국과 겹쳤다</w:t>
            </w:r>
          </w:p>
        </w:tc>
        <w:tc>
          <w:tcPr>
            <w:tcW w:type="dxa" w:w="3366"/>
            <w:shd w:fill="E8E8E8"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뉴스로 개별 확인해 트랙을 나눴고, 체류자격 세분화 필드를 BC카드에 제안한다</w:t>
            </w:r>
          </w:p>
        </w:tc>
      </w:tr>
      <w:tr>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대중 인지(검색·뉴스)와의 직접 비교와 가맹점 노출도(리뷰 수) 측정을 하지 못했다</w:t>
            </w:r>
          </w:p>
        </w:tc>
        <w:tc>
          <w:tcPr>
            <w:tcW w:type="dxa" w:w="317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H1·H2의 근거가 간접적이다(방문자수·소비 규모를 대리 지표로 사용)</w:t>
            </w:r>
          </w:p>
        </w:tc>
        <w:tc>
          <w:tcPr>
            <w:tcW w:type="dxa" w:w="336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뉴스 언급량(빅카인즈 등)과 지도 리뷰 수 수집을 후속 과제로 남긴다</w:t>
            </w:r>
          </w:p>
        </w:tc>
      </w:tr>
      <w:tr>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선행성 근거가 얇다 — 카드가 먼저인 곳은 옹진군 1곳(n=1), 시차상관은 n=32이고 독립이 아니다</w:t>
            </w:r>
          </w:p>
        </w:tc>
        <w:tc>
          <w:tcPr>
            <w:tcW w:type="dxa" w:w="317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‘카드가 먼저 안다’고 일반화할 수 없고, p=0.0004는 실제보다 좋게 나왔을 수 있다</w:t>
            </w:r>
          </w:p>
        </w:tc>
        <w:tc>
          <w:tcPr>
            <w:tcW w:type="dxa" w:w="336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사례 관찰로만 제시하고 지역 평균 제거로 강건성을 확인했다. 패널 회귀·장기 재검증은 후속 과제</w:t>
            </w:r>
          </w:p>
        </w:tc>
      </w:tr>
      <w:tr>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H3는 사후 확인이며, 성장률의 지속은 확인되지 않았다</w:t>
            </w:r>
          </w:p>
        </w:tc>
        <w:tc>
          <w:tcPr>
            <w:tcW w:type="dxa" w:w="317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‘초과성장이 이어진다’고는 말할 수 없고, 올라간 ‘수준’만 이어졌다</w:t>
            </w:r>
          </w:p>
        </w:tc>
        <w:tc>
          <w:tcPr>
            <w:tcW w:type="dxa" w:w="336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수준 상승·다업종 확산 기준의 주시 목록으로 설계했고, 재검증 결과를 그대로 공개한다</w:t>
            </w:r>
          </w:p>
        </w:tc>
      </w:tr>
      <w:tr>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후보를 신호가 높은 곳으로 골랐고, 트랙(A·B) 분류도 정성적 판단이다</w:t>
            </w:r>
          </w:p>
        </w:tc>
        <w:tc>
          <w:tcPr>
            <w:tcW w:type="dxa" w:w="317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H2 격차와 +58.2%에 선정 효과가 섞이고, 경계 사례는 달리 분류될 수 있다</w:t>
            </w:r>
          </w:p>
        </w:tc>
        <w:tc>
          <w:tcPr>
            <w:tcW w:type="dxa" w:w="336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규모를 맞춘 대조군(약 3.8배)으로 비교하고, 기대효과는 예측이 아닌 근거로만 제시한다</w:t>
            </w:r>
          </w:p>
        </w:tc>
      </w:tr>
      <w:tr>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6개월치 데이터, 업종 11개(외식·소매), 연령대(AGE_CD)는 세분하지 않았다</w:t>
            </w:r>
          </w:p>
        </w:tc>
        <w:tc>
          <w:tcPr>
            <w:tcW w:type="dxa" w:w="317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계절성·장기 추세를 가르기 어렵고, 숙박·체험 소비·연령별 차이는 보이지 않는다</w:t>
            </w:r>
          </w:p>
        </w:tc>
        <w:tc>
          <w:tcPr>
            <w:tcW w:type="dxa" w:w="336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전국 동종업종 대비 상대값으로 보정했다. 12개월 이상·업종·연령대 확대 시 재검증한다</w:t>
            </w:r>
          </w:p>
        </w:tc>
      </w:tr>
      <w:tr>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소규모 지역×업종 셀의 노이즈, 육안 검수의 재현성</w:t>
            </w:r>
          </w:p>
        </w:tc>
        <w:tc>
          <w:tcPr>
            <w:tcW w:type="dxa" w:w="317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저베이스 반등·지역축제가 신호처럼 보인다(무주 스낵·양양 일식회집·보령)</w:t>
            </w:r>
          </w:p>
        </w:tc>
        <w:tc>
          <w:tcPr>
            <w:tcW w:type="dxa" w:w="336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최소건수 필터 + 육안 검수 + 축제월 제외 재계산. 검수 과정은 기록으로 남겼다</w:t>
            </w:r>
          </w:p>
        </w:tc>
      </w:tr>
      <w:tr>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BC카드 이용실적 기준이고, 후보 8곳은 전국의 0.24%</w:t>
            </w:r>
          </w:p>
        </w:tc>
        <w:tc>
          <w:tcPr>
            <w:tcW w:type="dxa" w:w="317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실제 매출·전체 시장과 다르고, 후보의 성장을 일반화하기 어렵다</w:t>
            </w:r>
          </w:p>
        </w:tc>
        <w:tc>
          <w:tcPr>
            <w:tcW w:type="dxa" w:w="336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기대효과를 매출 예측이 아닌 ‘이미 일어난 변화의 근거’로만 제시한다</w:t>
            </w:r>
          </w:p>
        </w:tc>
      </w:tr>
      <w:tr>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분석 데이터가 시군구×업종 집계라 가맹점 단위 서비스는 불가하다</w:t>
            </w:r>
          </w:p>
        </w:tc>
        <w:tc>
          <w:tcPr>
            <w:tcW w:type="dxa" w:w="317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‘로컬 얼리버드 스팟’ 큐레이션에는 가맹점 정보가 추가로 필요하다</w:t>
            </w:r>
          </w:p>
        </w:tc>
        <w:tc>
          <w:tcPr>
            <w:tcW w:type="dxa" w:w="336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서비스 단계에서 BC카드 내부 가맹점 데이터와 노출 동의·제휴 절차를 거친다</w:t>
            </w:r>
          </w:p>
        </w:tc>
      </w:tr>
    </w:tbl>
    <w:p>
      <w:pPr>
        <w:pStyle w:val="Heading1"/>
        <w:pBdr>
          <w:bottom w:val="single" w:color="000000" w:sz="10" w:space="6"/>
        </w:pBdr>
        <w:spacing w:after="200" w:before="480"/>
      </w:pPr>
      <w:r>
        <w:rPr>
          <w:rFonts w:ascii="맑은 고딕" w:cs="맑은 고딕" w:eastAsia="맑은 고딕" w:hAnsi="맑은 고딕"/>
          <w:b/>
          <w:bCs/>
          <w:color w:val="000000"/>
          <w:sz w:val="30"/>
          <w:szCs w:val="30"/>
        </w:rPr>
        <w:t xml:space="preserve">X.  </w:t>
      </w:r>
      <w:r>
        <w:rPr>
          <w:rFonts w:ascii="맑은 고딕" w:cs="맑은 고딕" w:eastAsia="맑은 고딕" w:hAnsi="맑은 고딕"/>
          <w:b/>
          <w:bCs/>
          <w:color w:val="000000"/>
          <w:sz w:val="30"/>
          <w:szCs w:val="30"/>
        </w:rPr>
        <w:t xml:space="preserve">결론 및 제언</w:t>
      </w:r>
    </w:p>
    <w:p>
      <w:pPr>
        <w:pStyle w:val="Heading2"/>
        <w:spacing w:after="140" w:before="320"/>
      </w:pPr>
      <w:r>
        <w:rPr>
          <w:rFonts w:ascii="맑은 고딕" w:cs="맑은 고딕" w:eastAsia="맑은 고딕" w:hAnsi="맑은 고딕"/>
          <w:b/>
          <w:bCs/>
          <w:color w:val="000000"/>
          <w:sz w:val="25"/>
          <w:szCs w:val="25"/>
        </w:rPr>
        <w:t xml:space="preserve">핵심 기여</w:t>
      </w:r>
    </w:p>
    <w:p>
      <w:pPr>
        <w:spacing w:after="160" w:line="288"/>
      </w:pPr>
      <w:r>
        <w:rPr>
          <w:rFonts w:ascii="맑은 고딕" w:cs="맑은 고딕" w:eastAsia="맑은 고딕" w:hAnsi="맑은 고딕"/>
          <w:sz w:val="21"/>
          <w:szCs w:val="21"/>
        </w:rPr>
        <w:t xml:space="preserve">이 보고서는 세 가지를 시도했다. 첫째, 카드 소비 데이터에서 계절성을 통제한 ‘상대 초과성장률’로 신호를 정의하고, 2,111개 조합을 검수해 8개 후보 지역을 찾았다. 둘째, 이 신호를 카드와 독립된 외부 데이터(방문자수, 지역 언론 보도)로 세 방향에서 검증했다 — 선행성은 조건부로, 사각지대는 명확히, 지속성은 조건부로 확인됐다. 셋째, 검증 과정에서 발견한 데이터의 구조적 한계(관광객과 계절근로자를 구분하지 못하는 문제)를 폐기하지 않고, 오히려 서비스를 관광 유입형과 이주노동 유입형 두 갈래로 나누는 설계 근거로 삼았다.</w:t>
      </w:r>
    </w:p>
    <w:p>
      <w:pPr>
        <w:pStyle w:val="Heading2"/>
        <w:spacing w:after="140" w:before="320"/>
      </w:pPr>
      <w:r>
        <w:rPr>
          <w:rFonts w:ascii="맑은 고딕" w:cs="맑은 고딕" w:eastAsia="맑은 고딕" w:hAnsi="맑은 고딕"/>
          <w:b/>
          <w:bCs/>
          <w:color w:val="000000"/>
          <w:sz w:val="25"/>
          <w:szCs w:val="25"/>
        </w:rPr>
        <w:t xml:space="preserve">BC카드에 대한 데이터 개선 제안</w:t>
      </w:r>
    </w:p>
    <w:p>
      <w:pPr>
        <w:spacing w:after="160" w:line="288"/>
      </w:pPr>
      <w:r>
        <w:rPr>
          <w:rFonts w:ascii="맑은 고딕" w:cs="맑은 고딕" w:eastAsia="맑은 고딕" w:hAnsi="맑은 고딕"/>
          <w:sz w:val="21"/>
          <w:szCs w:val="21"/>
        </w:rPr>
        <w:t xml:space="preserve">GENDER_CD=3(외국인) 세그먼트에 체류자격 또는 체류기간 관련 필드가 추가된다면, 관광객과 장기 체류 노동자를 구분해 신호의 원인을 훨씬 더 정확하게 분류할 수 있다. 이는 이 제안뿐 아니라 외국인 소비를 다루는 다른 분석에도 폭넓게 도움이 될 것으로 판단한다.</w:t>
      </w:r>
    </w:p>
    <w:p>
      <w:pPr>
        <w:pStyle w:val="Heading2"/>
        <w:spacing w:after="140" w:before="320"/>
      </w:pPr>
      <w:r>
        <w:rPr>
          <w:rFonts w:ascii="맑은 고딕" w:cs="맑은 고딕" w:eastAsia="맑은 고딕" w:hAnsi="맑은 고딕"/>
          <w:b/>
          <w:bCs/>
          <w:color w:val="000000"/>
          <w:sz w:val="25"/>
          <w:szCs w:val="25"/>
        </w:rPr>
        <w:t xml:space="preserve">후속 과제</w:t>
      </w:r>
    </w:p>
    <w:p>
      <w:pPr>
        <w:spacing w:after="160" w:line="288"/>
      </w:pPr>
      <w:r>
        <w:rPr>
          <w:rFonts w:ascii="맑은 고딕" w:cs="맑은 고딕" w:eastAsia="맑은 고딕" w:hAnsi="맑은 고딕"/>
          <w:sz w:val="21"/>
          <w:szCs w:val="21"/>
        </w:rPr>
        <w:t xml:space="preserve">다음 과제들은 이번 분석 일정 안에 수행하지 못했고, 후속 검증이 필요하다: (1) 대중 인지(검색량·뉴스 언급량)와의 직접 비교, (2) 가맹점 단위 노출도(지도 리뷰 수) 측정, (3) 12개월 이상 장기 데이터로 계절성과 추세를 분리한 재검증, (4) 패널 회귀 등으로 선행성 근거를 보강하는 작업, (5) 연령대(AGE_CD)를 포함한 외국인 세그먼트의 세분 분석.</w:t>
      </w:r>
    </w:p>
    <w:p>
      <w:pPr>
        <w:spacing w:after="160" w:line="288"/>
      </w:pPr>
      <w:r>
        <w:rPr>
          <w:rFonts w:ascii="맑은 고딕" w:cs="맑은 고딕" w:eastAsia="맑은 고딕" w:hAnsi="맑은 고딕"/>
          <w:sz w:val="21"/>
          <w:szCs w:val="21"/>
        </w:rPr>
        <w:t xml:space="preserve">요약하면, 이 제안의 가치는 화려한 확신이 아니라 ‘어디까지 확인했고 어디서부터는 확인하지 못했는지’를 분명히 한 데 있다고 생각한다. 그 경계 위에서, 카드 데이터가 가진 구조적 이점(발생 즉시 데이터가 된다는 점)을 활용할 수 있는 자리를 제안한다.</w:t>
      </w:r>
    </w:p>
    <w:p>
      <w:r>
        <w:br w:type="page"/>
      </w:r>
    </w:p>
    <w:p>
      <w:pPr>
        <w:pStyle w:val="Heading1"/>
        <w:pBdr>
          <w:bottom w:val="single" w:color="000000" w:sz="10" w:space="6"/>
        </w:pBdr>
        <w:spacing w:after="200" w:before="480"/>
      </w:pPr>
      <w:r>
        <w:rPr>
          <w:rFonts w:ascii="맑은 고딕" w:cs="맑은 고딕" w:eastAsia="맑은 고딕" w:hAnsi="맑은 고딕"/>
          <w:b/>
          <w:bCs/>
          <w:color w:val="000000"/>
          <w:sz w:val="30"/>
          <w:szCs w:val="30"/>
        </w:rPr>
        <w:t xml:space="preserve">부록 A.  </w:t>
      </w:r>
      <w:r>
        <w:rPr>
          <w:rFonts w:ascii="맑은 고딕" w:cs="맑은 고딕" w:eastAsia="맑은 고딕" w:hAnsi="맑은 고딕"/>
          <w:b/>
          <w:bCs/>
          <w:color w:val="000000"/>
          <w:sz w:val="30"/>
          <w:szCs w:val="30"/>
        </w:rPr>
        <w:t xml:space="preserve">첨부 자료 안내</w:t>
      </w:r>
    </w:p>
    <w:p>
      <w:pPr>
        <w:spacing w:after="160" w:line="288"/>
      </w:pPr>
      <w:r>
        <w:rPr>
          <w:rFonts w:ascii="맑은 고딕" w:cs="맑은 고딕" w:eastAsia="맑은 고딕" w:hAnsi="맑은 고딕"/>
          <w:sz w:val="21"/>
          <w:szCs w:val="21"/>
        </w:rPr>
        <w:t xml:space="preserve">본 제안의 분석 코드는 노트북 5종과 수치 재현 스크립트 1종으로 구성된다. 아래는 각 파일이 하는 일과 입력·산출물이다. TourAPI 서비스키는 제출용 파일에서 비워 두었다(입력 칸으로 표시).</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2057"/>
        <w:gridCol w:w="1309"/>
        <w:gridCol w:w="3740"/>
        <w:gridCol w:w="2244"/>
      </w:tblGrid>
      <w:tr>
        <w:trPr>
          <w:tblHeader/>
        </w:trPr>
        <w:tc>
          <w:tcPr>
            <w:tcW w:type="dxa" w:w="2057"/>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파일</w:t>
            </w:r>
          </w:p>
        </w:tc>
        <w:tc>
          <w:tcPr>
            <w:tcW w:type="dxa" w:w="1309"/>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단계</w:t>
            </w:r>
          </w:p>
        </w:tc>
        <w:tc>
          <w:tcPr>
            <w:tcW w:type="dxa" w:w="3740"/>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하는 일</w:t>
            </w:r>
          </w:p>
        </w:tc>
        <w:tc>
          <w:tcPr>
            <w:tcW w:type="dxa" w:w="2244"/>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입력 → 산출</w:t>
            </w:r>
          </w:p>
        </w:tc>
      </w:tr>
      <w:tr>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BC카드_1단계_전처리.ipynb</w:t>
            </w:r>
          </w:p>
        </w:tc>
        <w:tc>
          <w:tcPr>
            <w:tcW w:type="dxa" w:w="130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1단계·3단계(부록 셀)</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데이터 검증·업종명 정규화·외국인 세그먼트 피벗·전국 baseline·최소건수 필터·초과성장률 점수·육안 검수 제외</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ABP_CONTEST_DATA.csv → bc_preprocessed.pkl, bc_stage3_signals.pkl</w:t>
            </w:r>
          </w:p>
        </w:tc>
      </w:tr>
      <w:tr>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BC카드_2단계_EDA.ipynb</w:t>
            </w:r>
          </w:p>
        </w:tc>
        <w:tc>
          <w:tcPr>
            <w:tcW w:type="dxa" w:w="130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2단계·4단계(H2·H3)</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월별 추이·시도×업종 히트맵·유명 관광지/산업단지형 baseline·H2 산점도·H3 후보 20개 항목 확인(사후 확인)</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위 두 pkl → bc_stage2_eda.pkl</w:t>
            </w:r>
          </w:p>
        </w:tc>
      </w:tr>
      <w:tr>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BC카드_5단계_한국관광데이터랩_수집.ipynb</w:t>
            </w:r>
          </w:p>
        </w:tc>
        <w:tc>
          <w:tcPr>
            <w:tcW w:type="dxa" w:w="130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5단계(H1)</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TourAPI 기초지자체 지역방문자수(일별) 수집 → 후보 8곳의 외국인(touDivCd=3) 월별 합계</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서비스키 입력 → tour_datalab_foreign_visitors_monthly.csv</w:t>
            </w:r>
          </w:p>
        </w:tc>
      </w:tr>
      <w:tr>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BC카드_5단계_시차상관_통계검증.ipynb</w:t>
            </w:r>
          </w:p>
        </w:tc>
        <w:tc>
          <w:tcPr>
            <w:tcW w:type="dxa" w:w="130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5단계(H1)</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카드 초과성장률 ↔ 방문자 증가율 시차상관(Spearman·Pearson)·지역 평균 제거 강건성</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bc_preprocessed.pkl + 방문자 월별 CSV → ρ·p</w:t>
            </w:r>
          </w:p>
        </w:tc>
      </w:tr>
      <w:tr>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BC카드_5단계_외부데이터수집.ipynb</w:t>
            </w:r>
          </w:p>
        </w:tc>
        <w:tc>
          <w:tcPr>
            <w:tcW w:type="dxa" w:w="130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5단계(폐기 기록)</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구글트렌드(pytrends) 월별 검색 관심도 수집 시도 — 관광·이주노동 키워드 조합</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 google_trends_monthly.csv (소규모 지역은 검색량 희박으로 미사용)</w:t>
            </w:r>
          </w:p>
        </w:tc>
      </w:tr>
      <w:tr>
        <w:tc>
          <w:tcPr>
            <w:tcW w:type="dxa" w:w="205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BC카드_수치재현.py</w:t>
            </w:r>
          </w:p>
        </w:tc>
        <w:tc>
          <w:tcPr>
            <w:tcW w:type="dxa" w:w="1309"/>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4~6단계 재확인</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원본 CSV에서 H2 비교(규모 통제 포함)·AMT 효과·H1 시차상관·H3 전국 재검증까지 처음부터 다시 계산</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ABP_CONTEST_DATA.csv → 항목별 확인 리포트</w:t>
            </w:r>
          </w:p>
        </w:tc>
      </w:tr>
    </w:tbl>
    <w:p>
      <w:pPr>
        <w:spacing w:after="60"/>
      </w:pPr>
    </w:p>
    <w:p>
      <w:pPr>
        <w:pBdr>
          <w:left w:val="single" w:color="595959" w:sz="10" w:space="8"/>
        </w:pBdr>
        <w:spacing w:after="240" w:before="80"/>
        <w:ind w:left="120"/>
      </w:pPr>
      <w:r>
        <w:rPr>
          <w:rFonts w:ascii="맑은 고딕" w:cs="맑은 고딕" w:eastAsia="맑은 고딕" w:hAnsi="맑은 고딕"/>
          <w:i/>
          <w:iCs/>
          <w:color w:val="404040"/>
          <w:sz w:val="19"/>
          <w:szCs w:val="19"/>
        </w:rPr>
        <w:t xml:space="preserve">※ 노트북은 Google Colab(드라이브 폴더 기준) 실행을 전제로 작성했고, 수치 재현 스크립트는 API 키 없이 로컬 Python(pandas·numpy·scipy·matplotlib)만으로 실행된다. 시차상관 노트북은 필터를 적용하지 않으면 ρ=−0.555가 나오는데, 본 보고서의 기준값(−0.591)은 최소건수 필터 통과 조합만 합산한 값이라 USE_RELIABLE 옵션의 기본값을 여기에 맞췄다.</w:t>
      </w:r>
    </w:p>
    <w:p>
      <w:pPr>
        <w:pStyle w:val="Heading1"/>
        <w:pBdr>
          <w:bottom w:val="single" w:color="000000" w:sz="10" w:space="6"/>
        </w:pBdr>
        <w:spacing w:after="200" w:before="480"/>
      </w:pPr>
      <w:r>
        <w:rPr>
          <w:rFonts w:ascii="맑은 고딕" w:cs="맑은 고딕" w:eastAsia="맑은 고딕" w:hAnsi="맑은 고딕"/>
          <w:b/>
          <w:bCs/>
          <w:color w:val="000000"/>
          <w:sz w:val="30"/>
          <w:szCs w:val="30"/>
        </w:rPr>
        <w:t xml:space="preserve">부록 B.  </w:t>
      </w:r>
      <w:r>
        <w:rPr>
          <w:rFonts w:ascii="맑은 고딕" w:cs="맑은 고딕" w:eastAsia="맑은 고딕" w:hAnsi="맑은 고딕"/>
          <w:b/>
          <w:bCs/>
          <w:color w:val="000000"/>
          <w:sz w:val="30"/>
          <w:szCs w:val="30"/>
        </w:rPr>
        <w:t xml:space="preserve">재현 가이드</w:t>
      </w:r>
    </w:p>
    <w:p>
      <w:pPr>
        <w:pStyle w:val="Heading2"/>
        <w:spacing w:after="140" w:before="320"/>
      </w:pPr>
      <w:r>
        <w:rPr>
          <w:rFonts w:ascii="맑은 고딕" w:cs="맑은 고딕" w:eastAsia="맑은 고딕" w:hAnsi="맑은 고딕"/>
          <w:b/>
          <w:bCs/>
          <w:color w:val="000000"/>
          <w:sz w:val="25"/>
          <w:szCs w:val="25"/>
        </w:rPr>
        <w:t xml:space="preserve">실행 순서</w:t>
      </w:r>
    </w:p>
    <w:p>
      <w:pPr>
        <w:spacing w:after="160" w:line="288"/>
      </w:pPr>
      <w:r>
        <w:rPr>
          <w:rFonts w:ascii="맑은 고딕" w:cs="맑은 고딕" w:eastAsia="맑은 고딕" w:hAnsi="맑은 고딕"/>
          <w:sz w:val="21"/>
          <w:szCs w:val="21"/>
        </w:rPr>
        <w:t xml:space="preserve">① 1단계 전처리 (ABP_CONTEST_DATA.csv → bc_preprocessed.pkl·bc_stage3_signals.pkl) → ② 2단계 EDA (H2 산점도·H3 후보 20개 항목 확인 → bc_stage2_eda.pkl) → ③ 5단계 방문자 수집 (TourAPI 서비스키 입력 → tour_datalab_foreign_visitors_monthly.csv) → ④ 5단계 시차상관 (위 두 파일로 ρ·p 계산, 기본값은 필터 통과 조합 기준 ρ=−0.591) → ⑤ 수치 재현 스크립트 (CSV 한 개로 H2 강건성·규모 통제·AMT·H3 전국 재검증까지 다시 계산).</w:t>
      </w:r>
    </w:p>
    <w:p>
      <w:pPr>
        <w:pStyle w:val="Heading2"/>
        <w:spacing w:after="140" w:before="320"/>
      </w:pPr>
      <w:r>
        <w:rPr>
          <w:rFonts w:ascii="맑은 고딕" w:cs="맑은 고딕" w:eastAsia="맑은 고딕" w:hAnsi="맑은 고딕"/>
          <w:b/>
          <w:bCs/>
          <w:color w:val="000000"/>
          <w:sz w:val="25"/>
          <w:szCs w:val="25"/>
        </w:rPr>
        <w:t xml:space="preserve">주요 설정</w:t>
      </w:r>
    </w:p>
    <w:p>
      <w:pPr>
        <w:spacing w:after="160" w:line="288"/>
      </w:pPr>
      <w:r>
        <w:rPr>
          <w:rFonts w:ascii="맑은 고딕" w:cs="맑은 고딕" w:eastAsia="맑은 고딕" w:hAnsi="맑은 고딕"/>
          <w:sz w:val="21"/>
          <w:szCs w:val="21"/>
        </w:rPr>
        <w:t xml:space="preserve">최소건수 필터: 6개월 누적 200건 이상 · 최근월(6월) 30건 이상. 초과성장률: 지역×업종 MoM − 전국 동종업종 MoM, 최근 2개월 평균(건수 기준). 시차상관: 카드[m] ↔ 방문자[m+1], 8곳×4개월=32쌍. 무작위 기준선: 각 셀의 6개월 값 순서를 300회 섞음(seed 0).</w:t>
      </w:r>
    </w:p>
    <w:p>
      <w:pPr>
        <w:pStyle w:val="Heading2"/>
        <w:spacing w:after="140" w:before="320"/>
      </w:pPr>
      <w:r>
        <w:rPr>
          <w:rFonts w:ascii="맑은 고딕" w:cs="맑은 고딕" w:eastAsia="맑은 고딕" w:hAnsi="맑은 고딕"/>
          <w:b/>
          <w:bCs/>
          <w:color w:val="000000"/>
          <w:sz w:val="25"/>
          <w:szCs w:val="25"/>
        </w:rPr>
        <w:t xml:space="preserve">재현 확인 수치 (본문과 대조)</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4301"/>
        <w:gridCol w:w="2805"/>
        <w:gridCol w:w="2244"/>
      </w:tblGrid>
      <w:tr>
        <w:trPr>
          <w:tblHeader/>
        </w:trPr>
        <w:tc>
          <w:tcPr>
            <w:tcW w:type="dxa" w:w="4301"/>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항목</w:t>
            </w:r>
          </w:p>
        </w:tc>
        <w:tc>
          <w:tcPr>
            <w:tcW w:type="dxa" w:w="2805"/>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재계산 값</w:t>
            </w:r>
          </w:p>
        </w:tc>
        <w:tc>
          <w:tcPr>
            <w:tcW w:type="dxa" w:w="2244"/>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확인 위치</w:t>
            </w:r>
          </w:p>
        </w:tc>
      </w:tr>
      <w:tr>
        <w:tc>
          <w:tcPr>
            <w:tcW w:type="dxa" w:w="430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원본 행 수 · 시도+시군구 키</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242,574 · 255</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스크립트</w:t>
            </w:r>
          </w:p>
        </w:tc>
      </w:tr>
      <w:tr>
        <w:tc>
          <w:tcPr>
            <w:tcW w:type="dxa" w:w="430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필터 전 → 후 (지역×업종 조합)</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2,199 → 2,111</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1단계 · 스크립트</w:t>
            </w:r>
          </w:p>
        </w:tc>
      </w:tr>
      <w:tr>
        <w:tc>
          <w:tcPr>
            <w:tcW w:type="dxa" w:w="430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H2 후보 8곳 초과성장률, 원 산출값 (관광지 · 산업단지형)</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+21.03%p (+0.92 · +0.67)</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2단계 · 스크립트</w:t>
            </w:r>
          </w:p>
        </w:tc>
      </w:tr>
      <w:tr>
        <w:tc>
          <w:tcPr>
            <w:tcW w:type="dxa" w:w="430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H2 아티팩트 4셀 제외 (관광지 · 산업단지형 대비)</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+17.45%p (18.9배 · 26.1배)</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스크립트</w:t>
            </w:r>
          </w:p>
        </w:tc>
      </w:tr>
      <w:tr>
        <w:tc>
          <w:tcPr>
            <w:tcW w:type="dxa" w:w="430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H2 규모 통제 — 7만 건 미만 비후보 63곳 (후보 대비)</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+4.58%p (3.8배)</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스크립트</w:t>
            </w:r>
          </w:p>
        </w:tc>
      </w:tr>
      <w:tr>
        <w:tc>
          <w:tcPr>
            <w:tcW w:type="dxa" w:w="430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 8곳 AMT 1→6월 (전국)</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+58.2% (+3.3%)</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스크립트</w:t>
            </w:r>
          </w:p>
        </w:tc>
      </w:tr>
      <w:tr>
        <w:tc>
          <w:tcPr>
            <w:tcW w:type="dxa" w:w="430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H1 Spearman ρ (n=32) · 지역 평균 제거</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−0.591 · −0.474</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시차상관 · 스크립트</w:t>
            </w:r>
          </w:p>
        </w:tc>
      </w:tr>
      <w:tr>
        <w:tc>
          <w:tcPr>
            <w:tcW w:type="dxa" w:w="430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H1 필터를 적용하지 않은 경우</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−0.555 (p=0.001)</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시차상관 · 스크립트</w:t>
            </w:r>
          </w:p>
        </w:tc>
      </w:tr>
      <w:tr>
        <w:tc>
          <w:tcPr>
            <w:tcW w:type="dxa" w:w="430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H3 후보 20개 항목 (사후 확인)</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20 / 20</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2단계 · 스크립트</w:t>
            </w:r>
          </w:p>
        </w:tc>
      </w:tr>
      <w:tr>
        <w:tc>
          <w:tcPr>
            <w:tcW w:type="dxa" w:w="430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H3 전국 재검증 — 성장률 지속 (전체)</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36.7% (54.4%)</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스크립트</w:t>
            </w:r>
          </w:p>
        </w:tc>
      </w:tr>
      <w:tr>
        <w:tc>
          <w:tcPr>
            <w:tcW w:type="dxa" w:w="430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H3 전국 재검증 — 수준 지속 (무작위 기준)</w:t>
            </w:r>
          </w:p>
        </w:tc>
        <w:tc>
          <w:tcPr>
            <w:tcW w:type="dxa" w:w="2805"/>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100% (83.5%)</w:t>
            </w:r>
          </w:p>
        </w:tc>
        <w:tc>
          <w:tcPr>
            <w:tcW w:type="dxa" w:w="2244"/>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스크립트</w:t>
            </w:r>
          </w:p>
        </w:tc>
      </w:tr>
    </w:tbl>
    <w:p>
      <w:pPr>
        <w:spacing w:after="60"/>
      </w:pPr>
    </w:p>
    <w:p>
      <w:pPr>
        <w:pBdr>
          <w:left w:val="single" w:color="595959" w:sz="10" w:space="8"/>
        </w:pBdr>
        <w:spacing w:after="240" w:before="80"/>
        <w:ind w:left="120"/>
      </w:pPr>
      <w:r>
        <w:rPr>
          <w:rFonts w:ascii="맑은 고딕" w:cs="맑은 고딕" w:eastAsia="맑은 고딕" w:hAnsi="맑은 고딕"/>
          <w:i/>
          <w:iCs/>
          <w:color w:val="404040"/>
          <w:sz w:val="19"/>
          <w:szCs w:val="19"/>
        </w:rPr>
        <w:t xml:space="preserve">※ 2026.9.21에 재현 스크립트를 원본 CSV에 실행해 위 항목이 모두 일치함을 확인했다. 방문자 수는 5단계 수집 결과를 스크립트에 옮겨 적었다. 괄호는 비교 대상의 값이다. 규모 통제 대조군은 후보·보령·관광지·산업단지형을 뺀 비후보 중 6개월 누적 7만 건 미만 63곳이다.</w:t>
      </w:r>
    </w:p>
    <w:p>
      <w:pPr>
        <w:pStyle w:val="Heading1"/>
        <w:pBdr>
          <w:bottom w:val="single" w:color="000000" w:sz="10" w:space="6"/>
        </w:pBdr>
        <w:spacing w:after="200" w:before="480"/>
      </w:pPr>
      <w:r>
        <w:rPr>
          <w:rFonts w:ascii="맑은 고딕" w:cs="맑은 고딕" w:eastAsia="맑은 고딕" w:hAnsi="맑은 고딕"/>
          <w:b/>
          <w:bCs/>
          <w:color w:val="000000"/>
          <w:sz w:val="30"/>
          <w:szCs w:val="30"/>
        </w:rPr>
        <w:t xml:space="preserve">부록 C.  </w:t>
      </w:r>
      <w:r>
        <w:rPr>
          <w:rFonts w:ascii="맑은 고딕" w:cs="맑은 고딕" w:eastAsia="맑은 고딕" w:hAnsi="맑은 고딕"/>
          <w:b/>
          <w:bCs/>
          <w:color w:val="000000"/>
          <w:sz w:val="30"/>
          <w:szCs w:val="30"/>
        </w:rPr>
        <w:t xml:space="preserve">검증 계획과 실제 수행</w:t>
      </w:r>
    </w:p>
    <w:p>
      <w:pPr>
        <w:spacing w:after="160" w:line="288"/>
      </w:pPr>
      <w:r>
        <w:rPr>
          <w:rFonts w:ascii="맑은 고딕" w:cs="맑은 고딕" w:eastAsia="맑은 고딕" w:hAnsi="맑은 고딕"/>
          <w:sz w:val="21"/>
          <w:szCs w:val="21"/>
        </w:rPr>
        <w:t xml:space="preserve">본문(VI장)에는 결과적으로 수행한 검증만 실었다. 처음 계획한 구성과 실제 수행 내용의 차이를 숨기지 않고 여기 먼저 밝혀 둔다.</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1122"/>
        <w:gridCol w:w="2992"/>
        <w:gridCol w:w="3740"/>
        <w:gridCol w:w="1496"/>
      </w:tblGrid>
      <w:tr>
        <w:trPr>
          <w:tblHeader/>
        </w:trPr>
        <w:tc>
          <w:tcPr>
            <w:tcW w:type="dxa" w:w="1122"/>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가설</w:t>
            </w:r>
          </w:p>
        </w:tc>
        <w:tc>
          <w:tcPr>
            <w:tcW w:type="dxa" w:w="2992"/>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처음 계획</w:t>
            </w:r>
          </w:p>
        </w:tc>
        <w:tc>
          <w:tcPr>
            <w:tcW w:type="dxa" w:w="3740"/>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실제로 수행한 것</w:t>
            </w:r>
          </w:p>
        </w:tc>
        <w:tc>
          <w:tcPr>
            <w:tcW w:type="dxa" w:w="1496"/>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판정</w:t>
            </w:r>
          </w:p>
        </w:tc>
      </w:tr>
      <w:tr>
        <w:tc>
          <w:tcPr>
            <w:tcW w:type="dxa" w:w="112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H1 · 선행성</w:t>
            </w:r>
          </w:p>
        </w:tc>
        <w:tc>
          <w:tcPr>
            <w:tcW w:type="dxa" w:w="299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구글트렌드(검색량)·빅카인즈(뉴스 언급량)와 카드 신호의 시차상관 분석</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구글트렌드·유튜브는 폐기, 빅카인즈는 미확보 → 한국관광 데이터랩 외국인 방문자수로 교차검증. 구글트렌드는 22개 키워드 조합 중 13개가 결과 없음, 보령시는 뉴스 보도 시점으로 대조</w:t>
            </w:r>
          </w:p>
        </w:tc>
        <w:tc>
          <w:tcPr>
            <w:tcW w:type="dxa" w:w="149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조건부 채택 (대중 인지 대비 선행은 직접 검증하지 못함)</w:t>
            </w:r>
          </w:p>
        </w:tc>
      </w:tr>
      <w:tr>
        <w:tc>
          <w:tcPr>
            <w:tcW w:type="dxa" w:w="112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H2 · 사각지대</w:t>
            </w:r>
          </w:p>
        </w:tc>
        <w:tc>
          <w:tcPr>
            <w:tcW w:type="dxa" w:w="299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소비 규모×초과성장률 산점도 비교 + 구글맵 스냅샷(리뷰 수·외국어 리뷰 비중)으로 정보 노출도 직접 확인</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산점도로 유명 관광지 10곳·산업단지형 10곳과 비교(완료) — 구글맵 스냅샷은 수행하지 못해 소비 규모를 노출도의 대리 지표로 사용</w:t>
            </w:r>
          </w:p>
        </w:tc>
        <w:tc>
          <w:tcPr>
            <w:tcW w:type="dxa" w:w="149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채택 (노출도 직접 측정은 후속 과제)</w:t>
            </w:r>
          </w:p>
        </w:tc>
      </w:tr>
      <w:tr>
        <w:tc>
          <w:tcPr>
            <w:tcW w:type="dxa" w:w="112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H3 · 지속성</w:t>
            </w:r>
          </w:p>
        </w:tc>
        <w:tc>
          <w:tcPr>
            <w:tcW w:type="dxa" w:w="299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1~4월 데이터로 후보를 선정하고 5~6월 실측으로 지속 여부를 홀드아웃 검증</w:t>
            </w:r>
          </w:p>
        </w:tc>
        <w:tc>
          <w:tcPr>
            <w:tcW w:type="dxa" w:w="3740"/>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 20개 항목이 5~6월에도 20/20 유지 — 그러나 후보 선정이 6개월 전체 신호 기반이라는 순환성을 9/21 발견해 전국 2,111개 조합으로 재검증 추가</w:t>
            </w:r>
          </w:p>
        </w:tc>
        <w:tc>
          <w:tcPr>
            <w:tcW w:type="dxa" w:w="1496"/>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조건부 채택 (성장률이 아닌 수준의 지속만 확인)</w:t>
            </w:r>
          </w:p>
        </w:tc>
      </w:tr>
    </w:tbl>
    <w:p>
      <w:pPr>
        <w:spacing w:after="60"/>
      </w:pPr>
    </w:p>
    <w:p>
      <w:pPr>
        <w:pBdr>
          <w:left w:val="single" w:color="595959" w:sz="10" w:space="8"/>
        </w:pBdr>
        <w:spacing w:after="240" w:before="80"/>
        <w:ind w:left="120"/>
      </w:pPr>
      <w:r>
        <w:rPr>
          <w:rFonts w:ascii="맑은 고딕" w:cs="맑은 고딕" w:eastAsia="맑은 고딕" w:hAnsi="맑은 고딕"/>
          <w:i/>
          <w:iCs/>
          <w:color w:val="404040"/>
          <w:sz w:val="19"/>
          <w:szCs w:val="19"/>
        </w:rPr>
        <w:t xml:space="preserve">※ 구글트렌드는 9/17 시도(22개 키워드 조합 중 13개 결과 없음, 나머지 9개도 한 달 1일치 값), 유튜브는 totalResults 근사치 문제, 빅카인즈는 API 승인 절차로 미확보. 구글맵 스냅샷은 이번 일정에서 수행하지 못했다.</w:t>
      </w:r>
    </w:p>
    <w:p>
      <w:pPr>
        <w:pStyle w:val="Heading1"/>
        <w:pBdr>
          <w:bottom w:val="single" w:color="000000" w:sz="10" w:space="6"/>
        </w:pBdr>
        <w:spacing w:after="200" w:before="480"/>
      </w:pPr>
      <w:r>
        <w:rPr>
          <w:rFonts w:ascii="맑은 고딕" w:cs="맑은 고딕" w:eastAsia="맑은 고딕" w:hAnsi="맑은 고딕"/>
          <w:b/>
          <w:bCs/>
          <w:color w:val="000000"/>
          <w:sz w:val="30"/>
          <w:szCs w:val="30"/>
        </w:rPr>
        <w:t xml:space="preserve">부록 D.  </w:t>
      </w:r>
      <w:r>
        <w:rPr>
          <w:rFonts w:ascii="맑은 고딕" w:cs="맑은 고딕" w:eastAsia="맑은 고딕" w:hAnsi="맑은 고딕"/>
          <w:b/>
          <w:bCs/>
          <w:color w:val="000000"/>
          <w:sz w:val="30"/>
          <w:szCs w:val="30"/>
        </w:rPr>
        <w:t xml:space="preserve">접은 자료와 바꾼 결정</w:t>
      </w:r>
    </w:p>
    <w:p>
      <w:pPr>
        <w:spacing w:after="160" w:line="288"/>
      </w:pPr>
      <w:r>
        <w:rPr>
          <w:rFonts w:ascii="맑은 고딕" w:cs="맑은 고딕" w:eastAsia="맑은 고딕" w:hAnsi="맑은 고딕"/>
          <w:sz w:val="21"/>
          <w:szCs w:val="21"/>
        </w:rPr>
        <w:t xml:space="preserve">시도했다가 접은 자료·지표와, 본문에서 그 대신 사용한 방법을 표로 정리한다.</w:t>
      </w:r>
    </w:p>
    <w:tbl>
      <w:tblPr>
        <w:tblW w:type="dxa" w:w="9350"/>
        <w:tblBorders>
          <w:top w:val="single" w:color="8C8C8C" w:sz="4"/>
          <w:left w:val="single" w:color="8C8C8C" w:sz="4"/>
          <w:bottom w:val="single" w:color="8C8C8C" w:sz="4"/>
          <w:right w:val="single" w:color="8C8C8C" w:sz="4"/>
          <w:insideH w:val="single" w:color="8C8C8C" w:sz="4"/>
          <w:insideV w:val="single" w:color="8C8C8C" w:sz="4"/>
        </w:tblBorders>
      </w:tblPr>
      <w:tblGrid>
        <w:gridCol w:w="2431"/>
        <w:gridCol w:w="3927"/>
        <w:gridCol w:w="2992"/>
      </w:tblGrid>
      <w:tr>
        <w:trPr>
          <w:tblHeader/>
        </w:trPr>
        <w:tc>
          <w:tcPr>
            <w:tcW w:type="dxa" w:w="2431"/>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시도 · 초기 가정</w:t>
            </w:r>
          </w:p>
        </w:tc>
        <w:tc>
          <w:tcPr>
            <w:tcW w:type="dxa" w:w="3927"/>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접은 이유</w:t>
            </w:r>
          </w:p>
        </w:tc>
        <w:tc>
          <w:tcPr>
            <w:tcW w:type="dxa" w:w="2992"/>
            <w:tcBorders>
              <w:bottom w:val="single" w:color="000000" w:sz="12"/>
            </w:tcBorders>
            <w:shd w:fill="F2F2F2" w:val="clear"/>
            <w:tcMar>
              <w:top w:type="dxa" w:w="90"/>
              <w:left w:type="dxa" w:w="110"/>
              <w:bottom w:type="dxa" w:w="90"/>
              <w:right w:type="dxa" w:w="110"/>
            </w:tcMar>
            <w:vAlign w:val="center"/>
          </w:tcPr>
          <w:p>
            <w:pPr>
              <w:spacing w:after="0" w:line="264"/>
            </w:pPr>
            <w:r>
              <w:rPr>
                <w:rFonts w:ascii="맑은 고딕" w:cs="맑은 고딕" w:eastAsia="맑은 고딕" w:hAnsi="맑은 고딕"/>
                <w:b/>
                <w:bCs/>
                <w:color w:val="000000"/>
                <w:sz w:val="19"/>
                <w:szCs w:val="19"/>
              </w:rPr>
              <w:t xml:space="preserve">본문에서 쓴 것</w:t>
            </w:r>
          </w:p>
        </w:tc>
      </w:tr>
      <w:tr>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구글트렌드(pytrends) 검색 관심도</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22개 키워드 조합 중 13개는 결과가 비어 있고, 나머지 9개도 한 달에 하루치 값만 잡혀 정량 분석이 불가능했다</w:t>
            </w:r>
          </w:p>
        </w:tc>
        <w:tc>
          <w:tcPr>
            <w:tcW w:type="dxa" w:w="299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한국관광 데이터랩 방문자수 (VI-1)</w:t>
            </w:r>
          </w:p>
        </w:tc>
      </w:tr>
      <w:tr>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유튜브 Data API 영상 수</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검색된 영상 수가 청송군 6만 건대로 비현실적이었다 — totalResults는 근사치이고 검색어도 느슨하게 매칭된다</w:t>
            </w:r>
          </w:p>
        </w:tc>
        <w:tc>
          <w:tcPr>
            <w:tcW w:type="dxa" w:w="299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위와 같음</w:t>
            </w:r>
          </w:p>
        </w:tc>
      </w:tr>
      <w:tr>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빅카인즈 뉴스 언급량</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API 승인 절차가 필요해 이번 일정 안에 확보하지 못했다</w:t>
            </w:r>
          </w:p>
        </w:tc>
        <w:tc>
          <w:tcPr>
            <w:tcW w:type="dxa" w:w="299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후속 과제 (IX장 한계점)</w:t>
            </w:r>
          </w:p>
        </w:tc>
      </w:tr>
      <w:tr>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네이버 데이터랩 ‘카드 사용통계’</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BC카드 데이터에 기반한 코너라 카드 신호와 순환 참조가 생긴다</w:t>
            </w:r>
          </w:p>
        </w:tc>
        <w:tc>
          <w:tcPr>
            <w:tcW w:type="dxa" w:w="299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쓰지 않음 — 독립 원천 원칙 (III-5)</w:t>
            </w:r>
          </w:p>
        </w:tc>
      </w:tr>
      <w:tr>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구글맵 스냅샷 (리뷰 수·외국어 리뷰 비중)</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노출도를 직접 재려던 계획이었으나 이번 일정에서 수집하지 못했다</w:t>
            </w:r>
          </w:p>
        </w:tc>
        <w:tc>
          <w:tcPr>
            <w:tcW w:type="dxa" w:w="299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소비 규모를 노출도의 대리 지표로 사용 (VI-2)</w:t>
            </w:r>
          </w:p>
        </w:tc>
      </w:tr>
      <w:tr>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연령대(40세 미만 비율)로 구분</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관광지 9곳에서 31~66%로 제각각이라 관광객과 체류자를 가르는 구분력이 없었다</w:t>
            </w:r>
          </w:p>
        </w:tc>
        <w:tc>
          <w:tcPr>
            <w:tcW w:type="dxa" w:w="299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뉴스로 원인 확인 → Track 분류 (V-5)</w:t>
            </w:r>
          </w:p>
        </w:tc>
      </w:tr>
      <w:tr>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 8곳을 모두 관광 신호로 해석</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청송·영양·봉화·고성이 계절근로자 입국 시점과 겹쳤다 — 후보 재분류가 가장 큰 방향 수정이었다</w:t>
            </w:r>
          </w:p>
        </w:tc>
        <w:tc>
          <w:tcPr>
            <w:tcW w:type="dxa" w:w="299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계절근로자 변수 통제 → Track A·B (V-5)</w:t>
            </w:r>
          </w:p>
        </w:tc>
      </w:tr>
      <w:tr>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양양군 일식회집을 대표 신호로 사용</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점수 1.50으로 1위였지만 월 14~59건의 작은 표본이 출렁인 저베이스 반등이었다</w:t>
            </w:r>
          </w:p>
        </w:tc>
        <w:tc>
          <w:tcPr>
            <w:tcW w:type="dxa" w:w="299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큰 표본 업종으로 교체 (V-4)</w:t>
            </w:r>
          </w:p>
        </w:tc>
      </w:tr>
      <w:tr>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H3를 1~4월 후보 선정 → 5~6월 홀드아웃으로 검증</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후보를 6개월 전체 신호로 골랐다는 점을 뒤늦게 확인했다 (순환 선택)</w:t>
            </w:r>
          </w:p>
        </w:tc>
        <w:tc>
          <w:tcPr>
            <w:tcW w:type="dxa" w:w="299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사후 확인 + 전국 재검증 (VI-3)</w:t>
            </w:r>
          </w:p>
        </w:tc>
      </w:tr>
      <w:tr>
        <w:tc>
          <w:tcPr>
            <w:tcW w:type="dxa" w:w="2431"/>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시차상관 해석 ‘카드가 방문자를 앞선다’</w:t>
            </w:r>
          </w:p>
        </w:tc>
        <w:tc>
          <w:tcPr>
            <w:tcW w:type="dxa" w:w="3927"/>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음(−)의 상관은 방문자 정점이 카드 정점보다 먼저라서 나온 부호였다</w:t>
            </w:r>
          </w:p>
        </w:tc>
        <w:tc>
          <w:tcPr>
            <w:tcW w:type="dxa" w:w="2992"/>
            <w:shd w:fill="FFFFFF" w:val="clear"/>
            <w:tcMar>
              <w:top w:type="dxa" w:w="90"/>
              <w:left w:type="dxa" w:w="110"/>
              <w:bottom w:type="dxa" w:w="90"/>
              <w:right w:type="dxa" w:w="110"/>
            </w:tcMar>
            <w:vAlign w:val="center"/>
          </w:tcPr>
          <w:p>
            <w:pPr>
              <w:spacing w:after="0" w:line="264"/>
            </w:pPr>
            <w:r>
              <w:rPr>
                <w:rFonts w:ascii="맑은 고딕" w:cs="맑은 고딕" w:eastAsia="맑은 고딕" w:hAnsi="맑은 고딕"/>
                <w:sz w:val="19"/>
                <w:szCs w:val="19"/>
              </w:rPr>
              <w:t xml:space="preserve">‘방문자 증가 주기가 먼저’로 정정 (VI-1)</w:t>
            </w:r>
          </w:p>
        </w:tc>
      </w:tr>
    </w:tbl>
    <w:p>
      <w:pPr>
        <w:spacing w:after="60"/>
      </w:pPr>
    </w:p>
    <w:p>
      <w:pPr>
        <w:pBdr>
          <w:left w:val="single" w:color="595959" w:sz="10" w:space="8"/>
        </w:pBdr>
        <w:spacing w:after="240" w:before="80"/>
        <w:ind w:left="120"/>
      </w:pPr>
      <w:r>
        <w:rPr>
          <w:rFonts w:ascii="맑은 고딕" w:cs="맑은 고딕" w:eastAsia="맑은 고딕" w:hAnsi="맑은 고딕"/>
          <w:i/>
          <w:iCs/>
          <w:color w:val="404040"/>
          <w:sz w:val="19"/>
          <w:szCs w:val="19"/>
        </w:rPr>
        <w:t xml:space="preserve">※ 본문에 실은 것은 결과적으로 사용한 자료·변수(한국관광 데이터랩 방문자수, 계절근로자·지역 축제 변수)이며, 위 표는 그 과정에서 접거나 바꾼 결정의 기록이다.</w:t>
      </w:r>
    </w:p>
    <w:p>
      <w:pPr>
        <w:pStyle w:val="Heading1"/>
        <w:pBdr>
          <w:bottom w:val="single" w:color="000000" w:sz="10" w:space="6"/>
        </w:pBdr>
        <w:spacing w:after="200" w:before="480"/>
      </w:pPr>
      <w:r>
        <w:rPr>
          <w:rFonts w:ascii="맑은 고딕" w:cs="맑은 고딕" w:eastAsia="맑은 고딕" w:hAnsi="맑은 고딕"/>
          <w:b/>
          <w:bCs/>
          <w:color w:val="000000"/>
          <w:sz w:val="30"/>
          <w:szCs w:val="30"/>
        </w:rPr>
        <w:t xml:space="preserve">부록 E.  </w:t>
      </w:r>
      <w:r>
        <w:rPr>
          <w:rFonts w:ascii="맑은 고딕" w:cs="맑은 고딕" w:eastAsia="맑은 고딕" w:hAnsi="맑은 고딕"/>
          <w:b/>
          <w:bCs/>
          <w:color w:val="000000"/>
          <w:sz w:val="30"/>
          <w:szCs w:val="30"/>
        </w:rPr>
        <w:t xml:space="preserve">참고문헌 · 출처</w:t>
      </w:r>
    </w:p>
    <w:p>
      <w:pPr>
        <w:spacing w:after="160" w:line="288"/>
      </w:pPr>
      <w:r>
        <w:rPr>
          <w:rFonts w:ascii="맑은 고딕" w:cs="맑은 고딕" w:eastAsia="맑은 고딕" w:hAnsi="맑은 고딕"/>
          <w:sz w:val="21"/>
          <w:szCs w:val="21"/>
        </w:rPr>
        <w:t xml:space="preserve">링크는 매체명에 걸려 있다. 수치·날짜는 본문에서 확인한 범위만 옮겼고, 기사 원문의 다른 내용은 인용하지 않았다.</w:t>
      </w:r>
    </w:p>
    <w:p>
      <w:pPr>
        <w:pStyle w:val="Heading2"/>
        <w:spacing w:after="140" w:before="320"/>
      </w:pPr>
      <w:r>
        <w:rPr>
          <w:rFonts w:ascii="맑은 고딕" w:cs="맑은 고딕" w:eastAsia="맑은 고딕" w:hAnsi="맑은 고딕"/>
          <w:b/>
          <w:bCs/>
          <w:color w:val="000000"/>
          <w:sz w:val="25"/>
          <w:szCs w:val="25"/>
        </w:rPr>
        <w:t xml:space="preserve">데이터 · 지도</w:t>
      </w:r>
    </w:p>
    <w:p>
      <w:pPr>
        <w:spacing w:after="140" w:line="280"/>
      </w:pPr>
      <w:r>
        <w:rPr>
          <w:rFonts w:ascii="맑은 고딕" w:cs="맑은 고딕" w:eastAsia="맑은 고딕" w:hAnsi="맑은 고딕"/>
          <w:b/>
          <w:bCs/>
          <w:sz w:val="21"/>
          <w:szCs w:val="21"/>
        </w:rPr>
        <w:t xml:space="preserve">비씨카드  </w:t>
      </w:r>
      <w:r>
        <w:rPr>
          <w:rFonts w:ascii="맑은 고딕" w:cs="맑은 고딕" w:eastAsia="맑은 고딕" w:hAnsi="맑은 고딕"/>
          <w:color w:val="595959"/>
          <w:sz w:val="21"/>
          <w:szCs w:val="21"/>
        </w:rPr>
        <w:t xml:space="preserve">ABP_CONTEST_DATA.csv — 제1회 AI금융빅데이터플랫폼 소비데이터 활용 공모전 제공 (전국 시군구·업종별 집계, 2026.1~6월)</w:t>
      </w:r>
    </w:p>
    <w:p>
      <w:pPr>
        <w:spacing w:after="140" w:line="280"/>
      </w:pPr>
      <w:r>
        <w:rPr>
          <w:rFonts w:ascii="맑은 고딕" w:cs="맑은 고딕" w:eastAsia="맑은 고딕" w:hAnsi="맑은 고딕"/>
          <w:b/>
          <w:bCs/>
          <w:sz w:val="21"/>
          <w:szCs w:val="21"/>
        </w:rPr>
        <w:t xml:space="preserve">한국관광공사 TourAPI  </w:t>
      </w:r>
      <w:r>
        <w:rPr>
          <w:rFonts w:ascii="맑은 고딕" w:cs="맑은 고딕" w:eastAsia="맑은 고딕" w:hAnsi="맑은 고딕"/>
          <w:color w:val="595959"/>
          <w:sz w:val="21"/>
          <w:szCs w:val="21"/>
        </w:rPr>
        <w:t xml:space="preserve">관광빅데이터(DataLabService) 기초지자체 지역방문자수 — 외국인(touDivCd=3), 이동통신 데이터 기반</w:t>
      </w:r>
    </w:p>
    <w:p>
      <w:pPr>
        <w:spacing w:after="140" w:line="280"/>
      </w:pPr>
      <w:r>
        <w:rPr>
          <w:rFonts w:ascii="맑은 고딕" w:cs="맑은 고딕" w:eastAsia="맑은 고딕" w:hAnsi="맑은 고딕"/>
          <w:b/>
          <w:bCs/>
          <w:sz w:val="21"/>
          <w:szCs w:val="21"/>
        </w:rPr>
        <w:t xml:space="preserve">통계청 2018 행정구역 경계  </w:t>
      </w:r>
      <w:r>
        <w:rPr>
          <w:rFonts w:ascii="맑은 고딕" w:cs="맑은 고딕" w:eastAsia="맑은 고딕" w:hAnsi="맑은 고딕"/>
          <w:color w:val="595959"/>
          <w:sz w:val="21"/>
          <w:szCs w:val="21"/>
        </w:rPr>
        <w:t xml:space="preserve">(southkorea-maps) — 지도 시각화, 최신 개편과 일부 다를 수 있음</w:t>
      </w:r>
    </w:p>
    <w:p>
      <w:pPr>
        <w:pStyle w:val="Heading2"/>
        <w:spacing w:after="140" w:before="320"/>
      </w:pPr>
      <w:r>
        <w:rPr>
          <w:rFonts w:ascii="맑은 고딕" w:cs="맑은 고딕" w:eastAsia="맑은 고딕" w:hAnsi="맑은 고딕"/>
          <w:b/>
          <w:bCs/>
          <w:color w:val="000000"/>
          <w:sz w:val="25"/>
          <w:szCs w:val="25"/>
        </w:rPr>
        <w:t xml:space="preserve">카드업계 배경 (문제 인식)</w:t>
      </w:r>
    </w:p>
    <w:p>
      <w:pPr>
        <w:spacing w:after="140" w:line="280"/>
      </w:pPr>
      <w:hyperlink w:history="1" r:id="rId5ui3o2dsyho1ni_kku5t6">
        <w:r>
          <w:rPr>
            <w:rFonts w:ascii="맑은 고딕" w:cs="맑은 고딕" w:eastAsia="맑은 고딕" w:hAnsi="맑은 고딕"/>
            <w:b/>
            <w:bCs/>
            <w:color w:val="0563C1"/>
            <w:sz w:val="21"/>
            <w:szCs w:val="21"/>
            <w:u w:val="single"/>
          </w:rPr>
          <w:t xml:space="preserve">글로벌이코노믹</w:t>
        </w:r>
      </w:hyperlink>
      <w:r>
        <w:rPr>
          <w:rFonts w:ascii="맑은 고딕" w:cs="맑은 고딕" w:eastAsia="맑은 고딕" w:hAnsi="맑은 고딕"/>
          <w:color w:val="595959"/>
          <w:sz w:val="21"/>
          <w:szCs w:val="21"/>
        </w:rPr>
        <w:t xml:space="preserve"> 「수수료 깎고 또 깎고…카드사, 가맹점 늘어도 수익은 뒷걸음」 (2026.8)</w:t>
      </w:r>
    </w:p>
    <w:p>
      <w:pPr>
        <w:spacing w:after="140" w:line="280"/>
      </w:pPr>
      <w:hyperlink w:history="1" r:id="rIdrn8soysg1bka5ywvxq-rz">
        <w:r>
          <w:rPr>
            <w:rFonts w:ascii="맑은 고딕" w:cs="맑은 고딕" w:eastAsia="맑은 고딕" w:hAnsi="맑은 고딕"/>
            <w:b/>
            <w:bCs/>
            <w:color w:val="0563C1"/>
            <w:sz w:val="21"/>
            <w:szCs w:val="21"/>
            <w:u w:val="single"/>
          </w:rPr>
          <w:t xml:space="preserve">더체크</w:t>
        </w:r>
      </w:hyperlink>
      <w:r>
        <w:rPr>
          <w:rFonts w:ascii="맑은 고딕" w:cs="맑은 고딕" w:eastAsia="맑은 고딕" w:hAnsi="맑은 고딕"/>
          <w:color w:val="595959"/>
          <w:sz w:val="21"/>
          <w:szCs w:val="21"/>
        </w:rPr>
        <w:t xml:space="preserve"> 「2026년 카드수수료 인하 최저 0.4%, 소상공인 혜택 및 환급 정리」 (2026.4.4 작성 · 8.18 수정)</w:t>
      </w:r>
    </w:p>
    <w:p>
      <w:pPr>
        <w:spacing w:after="140" w:line="280"/>
      </w:pPr>
      <w:hyperlink w:history="1" r:id="rIdjbehnhhqs4jv1njiuzbce">
        <w:r>
          <w:rPr>
            <w:rFonts w:ascii="맑은 고딕" w:cs="맑은 고딕" w:eastAsia="맑은 고딕" w:hAnsi="맑은 고딕"/>
            <w:b/>
            <w:bCs/>
            <w:color w:val="0563C1"/>
            <w:sz w:val="21"/>
            <w:szCs w:val="21"/>
            <w:u w:val="single"/>
          </w:rPr>
          <w:t xml:space="preserve">시사저널e</w:t>
        </w:r>
      </w:hyperlink>
      <w:r>
        <w:rPr>
          <w:rFonts w:ascii="맑은 고딕" w:cs="맑은 고딕" w:eastAsia="맑은 고딕" w:hAnsi="맑은 고딕"/>
          <w:color w:val="595959"/>
          <w:sz w:val="21"/>
          <w:szCs w:val="21"/>
        </w:rPr>
        <w:t xml:space="preserve"> 「BC카드, 매입업무 의존도 80% 밑으로···사업다각화 결실 맺나」 (2025.4.25)</w:t>
      </w:r>
    </w:p>
    <w:p>
      <w:pPr>
        <w:spacing w:after="140" w:line="280"/>
      </w:pPr>
      <w:hyperlink w:history="1" r:id="rIdck8iam1syh5teuhwtgvln">
        <w:r>
          <w:rPr>
            <w:rFonts w:ascii="맑은 고딕" w:cs="맑은 고딕" w:eastAsia="맑은 고딕" w:hAnsi="맑은 고딕"/>
            <w:b/>
            <w:bCs/>
            <w:color w:val="0563C1"/>
            <w:sz w:val="21"/>
            <w:szCs w:val="21"/>
            <w:u w:val="single"/>
          </w:rPr>
          <w:t xml:space="preserve">CEOSCORE Daily</w:t>
        </w:r>
      </w:hyperlink>
      <w:r>
        <w:rPr>
          <w:rFonts w:ascii="맑은 고딕" w:cs="맑은 고딕" w:eastAsia="맑은 고딕" w:hAnsi="맑은 고딕"/>
          <w:color w:val="595959"/>
          <w:sz w:val="21"/>
          <w:szCs w:val="21"/>
        </w:rPr>
        <w:t xml:space="preserve"> 「결제망 대행으로 큰 BC카드, 자체카드 사업 ‘속도’…회원 수 2년새 두 배↑」 (2025.8.28)</w:t>
      </w:r>
    </w:p>
    <w:p>
      <w:pPr>
        <w:pStyle w:val="Heading2"/>
        <w:spacing w:after="140" w:before="320"/>
      </w:pPr>
      <w:r>
        <w:rPr>
          <w:rFonts w:ascii="맑은 고딕" w:cs="맑은 고딕" w:eastAsia="맑은 고딕" w:hAnsi="맑은 고딕"/>
          <w:b/>
          <w:bCs/>
          <w:color w:val="000000"/>
          <w:sz w:val="25"/>
          <w:szCs w:val="25"/>
        </w:rPr>
        <w:t xml:space="preserve">외국인 방문 · 결제 시장 · 대조군 행사</w:t>
      </w:r>
    </w:p>
    <w:p>
      <w:pPr>
        <w:spacing w:after="140" w:line="280"/>
      </w:pPr>
      <w:r>
        <w:rPr>
          <w:rFonts w:ascii="맑은 고딕" w:cs="맑은 고딕" w:eastAsia="맑은 고딕" w:hAnsi="맑은 고딕"/>
          <w:b/>
          <w:bCs/>
          <w:sz w:val="21"/>
          <w:szCs w:val="21"/>
        </w:rPr>
        <w:t xml:space="preserve">문화체육관광부  </w:t>
      </w:r>
      <w:r>
        <w:rPr>
          <w:rFonts w:ascii="맑은 고딕" w:cs="맑은 고딕" w:eastAsia="맑은 고딕" w:hAnsi="맑은 고딕"/>
          <w:color w:val="595959"/>
          <w:sz w:val="21"/>
          <w:szCs w:val="21"/>
        </w:rPr>
        <w:t xml:space="preserve">방한 외래관광객 통계 보도 (1분기 2026.4.14·4.16, 상반기 2026.7.28) — </w:t>
      </w:r>
      <w:hyperlink w:history="1" r:id="rIdzd-n5x3kgyjeyu8qxucgl">
        <w:r>
          <w:rPr>
            <w:rFonts w:ascii="맑은 고딕" w:cs="맑은 고딕" w:eastAsia="맑은 고딕" w:hAnsi="맑은 고딕"/>
            <w:b/>
            <w:bCs/>
            <w:color w:val="0563C1"/>
            <w:sz w:val="21"/>
            <w:szCs w:val="21"/>
            <w:u w:val="single"/>
          </w:rPr>
          <w:t xml:space="preserve">이투데이</w:t>
        </w:r>
      </w:hyperlink>
      <w:r>
        <w:rPr>
          <w:rFonts w:ascii="맑은 고딕" w:cs="맑은 고딕" w:eastAsia="맑은 고딕" w:hAnsi="맑은 고딕"/>
          <w:color w:val="595959"/>
          <w:sz w:val="21"/>
          <w:szCs w:val="21"/>
        </w:rPr>
        <w:t xml:space="preserve"> 「방한 외래객 476만명…1분기 역대 최대 기록 경신」</w:t>
      </w:r>
    </w:p>
    <w:p>
      <w:pPr>
        <w:spacing w:after="140" w:line="280"/>
      </w:pPr>
      <w:hyperlink w:history="1" r:id="rIdjrrmgdpx8otkserlyuxou">
        <w:r>
          <w:rPr>
            <w:rFonts w:ascii="맑은 고딕" w:cs="맑은 고딕" w:eastAsia="맑은 고딕" w:hAnsi="맑은 고딕"/>
            <w:b/>
            <w:bCs/>
            <w:color w:val="0563C1"/>
            <w:sz w:val="21"/>
            <w:szCs w:val="21"/>
            <w:u w:val="single"/>
          </w:rPr>
          <w:t xml:space="preserve">이코노미스트</w:t>
        </w:r>
      </w:hyperlink>
      <w:r>
        <w:rPr>
          <w:rFonts w:ascii="맑은 고딕" w:cs="맑은 고딕" w:eastAsia="맑은 고딕" w:hAnsi="맑은 고딕"/>
          <w:color w:val="595959"/>
          <w:sz w:val="21"/>
          <w:szCs w:val="21"/>
        </w:rPr>
        <w:t xml:space="preserve"> 「“와우(WOW)! 너무 편해요”…외국인 관광객 필수템된 이 ‘결제 카드’」 (2026.4.4) — WOWPASS 가입자·키오스크·매출</w:t>
      </w:r>
    </w:p>
    <w:p>
      <w:pPr>
        <w:spacing w:after="140" w:line="280"/>
      </w:pPr>
      <w:r>
        <w:rPr>
          <w:rFonts w:ascii="맑은 고딕" w:cs="맑은 고딕" w:eastAsia="맑은 고딕" w:hAnsi="맑은 고딕"/>
          <w:b/>
          <w:bCs/>
          <w:sz w:val="21"/>
          <w:szCs w:val="21"/>
        </w:rPr>
        <w:t xml:space="preserve">YTN  </w:t>
      </w:r>
      <w:r>
        <w:rPr>
          <w:rFonts w:ascii="맑은 고딕" w:cs="맑은 고딕" w:eastAsia="맑은 고딕" w:hAnsi="맑은 고딕"/>
          <w:color w:val="595959"/>
          <w:sz w:val="21"/>
          <w:szCs w:val="21"/>
        </w:rPr>
        <w:t xml:space="preserve">보령·AMC 국제 모터페스티벌 사전 보도 (2026.4.24) — 대조군 보령시의 축제월 확인</w:t>
      </w:r>
    </w:p>
    <w:p>
      <w:pPr>
        <w:pStyle w:val="Heading2"/>
        <w:spacing w:after="140" w:before="320"/>
      </w:pPr>
      <w:r>
        <w:rPr>
          <w:rFonts w:ascii="맑은 고딕" w:cs="맑은 고딕" w:eastAsia="맑은 고딕" w:hAnsi="맑은 고딕"/>
          <w:b/>
          <w:bCs/>
          <w:color w:val="000000"/>
          <w:sz w:val="25"/>
          <w:szCs w:val="25"/>
        </w:rPr>
        <w:t xml:space="preserve">2026.8.24 협약 (보도 기준)</w:t>
      </w:r>
    </w:p>
    <w:p>
      <w:pPr>
        <w:spacing w:after="140" w:line="280"/>
      </w:pPr>
      <w:hyperlink w:history="1" r:id="rIdzun9nxwetxztgyxmxg4ji">
        <w:r>
          <w:rPr>
            <w:rFonts w:ascii="맑은 고딕" w:cs="맑은 고딕" w:eastAsia="맑은 고딕" w:hAnsi="맑은 고딕"/>
            <w:b/>
            <w:bCs/>
            <w:color w:val="0563C1"/>
            <w:sz w:val="21"/>
            <w:szCs w:val="21"/>
            <w:u w:val="single"/>
          </w:rPr>
          <w:t xml:space="preserve">뉴스핌</w:t>
        </w:r>
      </w:hyperlink>
      <w:r>
        <w:rPr>
          <w:rFonts w:ascii="맑은 고딕" w:cs="맑은 고딕" w:eastAsia="맑은 고딕" w:hAnsi="맑은 고딕"/>
          <w:color w:val="595959"/>
          <w:sz w:val="21"/>
          <w:szCs w:val="21"/>
        </w:rPr>
        <w:t xml:space="preserve"> 「BC카드, 유니온페이·네이버페이와 외국인 국내 결제 편의 확대」 (2026.8.25)</w:t>
      </w:r>
    </w:p>
    <w:p>
      <w:pPr>
        <w:spacing w:after="140" w:line="280"/>
      </w:pPr>
      <w:hyperlink w:history="1" r:id="rId0b7mzjnin9dv6qhxu9rsf">
        <w:r>
          <w:rPr>
            <w:rFonts w:ascii="맑은 고딕" w:cs="맑은 고딕" w:eastAsia="맑은 고딕" w:hAnsi="맑은 고딕"/>
            <w:b/>
            <w:bCs/>
            <w:color w:val="0563C1"/>
            <w:sz w:val="21"/>
            <w:szCs w:val="21"/>
            <w:u w:val="single"/>
          </w:rPr>
          <w:t xml:space="preserve">아시아투데이</w:t>
        </w:r>
      </w:hyperlink>
      <w:r>
        <w:rPr>
          <w:rFonts w:ascii="맑은 고딕" w:cs="맑은 고딕" w:eastAsia="맑은 고딕" w:hAnsi="맑은 고딕"/>
          <w:color w:val="595959"/>
          <w:sz w:val="21"/>
          <w:szCs w:val="21"/>
        </w:rPr>
        <w:t xml:space="preserve"> 「BC카드, 유니온페이·네이버페이와 외국인 국내 결제 편의 확대 나선다」 (2026.8.25)</w:t>
      </w:r>
    </w:p>
    <w:p>
      <w:pPr>
        <w:spacing w:after="140" w:line="280"/>
      </w:pPr>
      <w:hyperlink w:history="1" r:id="rIdol4_3xl7gtc_a-fnbobdg">
        <w:r>
          <w:rPr>
            <w:rFonts w:ascii="맑은 고딕" w:cs="맑은 고딕" w:eastAsia="맑은 고딕" w:hAnsi="맑은 고딕"/>
            <w:b/>
            <w:bCs/>
            <w:color w:val="0563C1"/>
            <w:sz w:val="21"/>
            <w:szCs w:val="21"/>
            <w:u w:val="single"/>
          </w:rPr>
          <w:t xml:space="preserve">글로벌이코노믹</w:t>
        </w:r>
      </w:hyperlink>
      <w:r>
        <w:rPr>
          <w:rFonts w:ascii="맑은 고딕" w:cs="맑은 고딕" w:eastAsia="맑은 고딕" w:hAnsi="맑은 고딕"/>
          <w:color w:val="595959"/>
          <w:sz w:val="21"/>
          <w:szCs w:val="21"/>
        </w:rPr>
        <w:t xml:space="preserve"> 「BC카드, 네이버·유니온페이와 방한 외국인 결제망 확대」 (2026.8.26)</w:t>
      </w:r>
    </w:p>
    <w:p>
      <w:pPr>
        <w:spacing w:after="140" w:line="280"/>
      </w:pPr>
      <w:hyperlink w:history="1" r:id="rIdwlky2lvq-mmojy3gd2dkj">
        <w:r>
          <w:rPr>
            <w:rFonts w:ascii="맑은 고딕" w:cs="맑은 고딕" w:eastAsia="맑은 고딕" w:hAnsi="맑은 고딕"/>
            <w:b/>
            <w:bCs/>
            <w:color w:val="0563C1"/>
            <w:sz w:val="21"/>
            <w:szCs w:val="21"/>
            <w:u w:val="single"/>
          </w:rPr>
          <w:t xml:space="preserve">이데일리</w:t>
        </w:r>
      </w:hyperlink>
      <w:r>
        <w:rPr>
          <w:rFonts w:ascii="맑은 고딕" w:cs="맑은 고딕" w:eastAsia="맑은 고딕" w:hAnsi="맑은 고딕"/>
          <w:color w:val="595959"/>
          <w:sz w:val="21"/>
          <w:szCs w:val="21"/>
        </w:rPr>
        <w:t xml:space="preserve"> 「네이버페이·BC카드·유니온페이, 방한 외국인 결제 활성화 협력」 (2026.8.25) — 서비스 출시 목표(내년). 협약의 세부 사업 조건은 공개되지 않았다</w:t>
      </w:r>
    </w:p>
    <w:p>
      <w:pPr>
        <w:pStyle w:val="Heading2"/>
        <w:spacing w:after="140" w:before="320"/>
      </w:pPr>
      <w:r>
        <w:rPr>
          <w:rFonts w:ascii="맑은 고딕" w:cs="맑은 고딕" w:eastAsia="맑은 고딕" w:hAnsi="맑은 고딕"/>
          <w:b/>
          <w:bCs/>
          <w:color w:val="000000"/>
          <w:sz w:val="25"/>
          <w:szCs w:val="25"/>
        </w:rPr>
        <w:t xml:space="preserve">BC카드 자체 서비스 (경쟁 서비스 비교)</w:t>
      </w:r>
    </w:p>
    <w:p>
      <w:pPr>
        <w:spacing w:after="140" w:line="280"/>
      </w:pPr>
      <w:r>
        <w:rPr>
          <w:rFonts w:ascii="맑은 고딕" w:cs="맑은 고딕" w:eastAsia="맑은 고딕" w:hAnsi="맑은 고딕"/>
          <w:color w:val="595959"/>
          <w:sz w:val="21"/>
          <w:szCs w:val="21"/>
        </w:rPr>
        <w:t xml:space="preserve">경향신문 (2023.8.22 보도) — BC카드 ‘상권지수’: 집객력·밀집도·안정성·구매력·성장성 5개 지표, 5등급, 예비창업자·지자체 대상 (부산 해운대·서울 광장시장 등 사례). 링크는 확인하지 못해 매체명·보도일만 표기한다. 이후 갱신 여부는 확인하지 못했다.</w:t>
      </w:r>
    </w:p>
    <w:p>
      <w:pPr>
        <w:pStyle w:val="Heading2"/>
        <w:spacing w:after="140" w:before="320"/>
      </w:pPr>
      <w:r>
        <w:rPr>
          <w:rFonts w:ascii="맑은 고딕" w:cs="맑은 고딕" w:eastAsia="맑은 고딕" w:hAnsi="맑은 고딕"/>
          <w:b/>
          <w:bCs/>
          <w:color w:val="000000"/>
          <w:sz w:val="25"/>
          <w:szCs w:val="25"/>
        </w:rPr>
        <w:t xml:space="preserve">계절근로자 입국 (후보 원인 분류, 2026년)</w:t>
      </w:r>
    </w:p>
    <w:p>
      <w:pPr>
        <w:spacing w:after="140" w:line="280"/>
      </w:pPr>
      <w:r>
        <w:rPr>
          <w:rFonts w:ascii="맑은 고딕" w:cs="맑은 고딕" w:eastAsia="맑은 고딕" w:hAnsi="맑은 고딕"/>
          <w:color w:val="595959"/>
          <w:sz w:val="21"/>
          <w:szCs w:val="21"/>
        </w:rPr>
        <w:t xml:space="preserve">청송 </w:t>
      </w:r>
      <w:hyperlink w:history="1" r:id="rIdssxlfl9lukptxjftzsepb">
        <w:r>
          <w:rPr>
            <w:rFonts w:ascii="맑은 고딕" w:cs="맑은 고딕" w:eastAsia="맑은 고딕" w:hAnsi="맑은 고딕"/>
            <w:b/>
            <w:bCs/>
            <w:color w:val="0563C1"/>
            <w:sz w:val="21"/>
            <w:szCs w:val="21"/>
            <w:u w:val="single"/>
          </w:rPr>
          <w:t xml:space="preserve">경북일보</w:t>
        </w:r>
      </w:hyperlink>
      <w:r>
        <w:rPr>
          <w:rFonts w:ascii="맑은 고딕" w:cs="맑은 고딕" w:eastAsia="맑은 고딕" w:hAnsi="맑은 고딕"/>
          <w:color w:val="595959"/>
          <w:sz w:val="21"/>
          <w:szCs w:val="21"/>
        </w:rPr>
        <w:t xml:space="preserve"> 4.29 · 영양 </w:t>
      </w:r>
      <w:hyperlink w:history="1" r:id="rIdvuiu8zafxtp0hjg_hzzw5">
        <w:r>
          <w:rPr>
            <w:rFonts w:ascii="맑은 고딕" w:cs="맑은 고딕" w:eastAsia="맑은 고딕" w:hAnsi="맑은 고딕"/>
            <w:b/>
            <w:bCs/>
            <w:color w:val="0563C1"/>
            <w:sz w:val="21"/>
            <w:szCs w:val="21"/>
            <w:u w:val="single"/>
          </w:rPr>
          <w:t xml:space="preserve">경북일보</w:t>
        </w:r>
      </w:hyperlink>
      <w:r>
        <w:rPr>
          <w:rFonts w:ascii="맑은 고딕" w:cs="맑은 고딕" w:eastAsia="맑은 고딕" w:hAnsi="맑은 고딕"/>
          <w:color w:val="595959"/>
          <w:sz w:val="21"/>
          <w:szCs w:val="21"/>
        </w:rPr>
        <w:t xml:space="preserve"> 6.12 · 의성 </w:t>
      </w:r>
      <w:hyperlink w:history="1" r:id="rIdmjhdmgrolebccsrgmukv2">
        <w:r>
          <w:rPr>
            <w:rFonts w:ascii="맑은 고딕" w:cs="맑은 고딕" w:eastAsia="맑은 고딕" w:hAnsi="맑은 고딕"/>
            <w:b/>
            <w:bCs/>
            <w:color w:val="0563C1"/>
            <w:sz w:val="21"/>
            <w:szCs w:val="21"/>
            <w:u w:val="single"/>
          </w:rPr>
          <w:t xml:space="preserve">경북일보</w:t>
        </w:r>
      </w:hyperlink>
      <w:r>
        <w:rPr>
          <w:rFonts w:ascii="맑은 고딕" w:cs="맑은 고딕" w:eastAsia="맑은 고딕" w:hAnsi="맑은 고딕"/>
          <w:color w:val="595959"/>
          <w:sz w:val="21"/>
          <w:szCs w:val="21"/>
        </w:rPr>
        <w:t xml:space="preserve"> 8.21 · 봉화 </w:t>
      </w:r>
      <w:hyperlink w:history="1" r:id="rIdqdzr2vby59qns3ff4dlfs">
        <w:r>
          <w:rPr>
            <w:rFonts w:ascii="맑은 고딕" w:cs="맑은 고딕" w:eastAsia="맑은 고딕" w:hAnsi="맑은 고딕"/>
            <w:b/>
            <w:bCs/>
            <w:color w:val="0563C1"/>
            <w:sz w:val="21"/>
            <w:szCs w:val="21"/>
            <w:u w:val="single"/>
          </w:rPr>
          <w:t xml:space="preserve">이로운넷</w:t>
        </w:r>
      </w:hyperlink>
      <w:r>
        <w:rPr>
          <w:rFonts w:ascii="맑은 고딕" w:cs="맑은 고딕" w:eastAsia="맑은 고딕" w:hAnsi="맑은 고딕"/>
          <w:color w:val="595959"/>
          <w:sz w:val="21"/>
          <w:szCs w:val="21"/>
        </w:rPr>
        <w:t xml:space="preserve"> 3.24 · 고성 </w:t>
      </w:r>
      <w:hyperlink w:history="1" r:id="rIddxswhjltou2j8kzn8okxh">
        <w:r>
          <w:rPr>
            <w:rFonts w:ascii="맑은 고딕" w:cs="맑은 고딕" w:eastAsia="맑은 고딕" w:hAnsi="맑은 고딕"/>
            <w:b/>
            <w:bCs/>
            <w:color w:val="0563C1"/>
            <w:sz w:val="21"/>
            <w:szCs w:val="21"/>
            <w:u w:val="single"/>
          </w:rPr>
          <w:t xml:space="preserve">더연합타임즈</w:t>
        </w:r>
      </w:hyperlink>
      <w:r>
        <w:rPr>
          <w:rFonts w:ascii="맑은 고딕" w:cs="맑은 고딕" w:eastAsia="맑은 고딕" w:hAnsi="맑은 고딕"/>
          <w:color w:val="595959"/>
          <w:sz w:val="21"/>
          <w:szCs w:val="21"/>
        </w:rPr>
        <w:t xml:space="preserve"> 5.26 · 옹진 </w:t>
      </w:r>
      <w:hyperlink w:history="1" r:id="rIdzeddfqj5csg-zfmkseovc">
        <w:r>
          <w:rPr>
            <w:rFonts w:ascii="맑은 고딕" w:cs="맑은 고딕" w:eastAsia="맑은 고딕" w:hAnsi="맑은 고딕"/>
            <w:b/>
            <w:bCs/>
            <w:color w:val="0563C1"/>
            <w:sz w:val="21"/>
            <w:szCs w:val="21"/>
            <w:u w:val="single"/>
          </w:rPr>
          <w:t xml:space="preserve">내외일보</w:t>
        </w:r>
      </w:hyperlink>
      <w:r>
        <w:rPr>
          <w:rFonts w:ascii="맑은 고딕" w:cs="맑은 고딕" w:eastAsia="맑은 고딕" w:hAnsi="맑은 고딕"/>
          <w:color w:val="595959"/>
          <w:sz w:val="21"/>
          <w:szCs w:val="21"/>
        </w:rPr>
        <w:t xml:space="preserve"> 9.1</w:t>
      </w:r>
    </w:p>
    <w:p>
      <w:pPr>
        <w:pStyle w:val="Heading2"/>
        <w:spacing w:after="140" w:before="320"/>
      </w:pPr>
      <w:r>
        <w:rPr>
          <w:rFonts w:ascii="맑은 고딕" w:cs="맑은 고딕" w:eastAsia="맑은 고딕" w:hAnsi="맑은 고딕"/>
          <w:b/>
          <w:bCs/>
          <w:color w:val="000000"/>
          <w:sz w:val="25"/>
          <w:szCs w:val="25"/>
        </w:rPr>
        <w:t xml:space="preserve">분석 도구</w:t>
      </w:r>
    </w:p>
    <w:p>
      <w:pPr>
        <w:spacing w:after="140" w:line="280"/>
      </w:pPr>
      <w:r>
        <w:rPr>
          <w:rFonts w:ascii="맑은 고딕" w:cs="맑은 고딕" w:eastAsia="맑은 고딕" w:hAnsi="맑은 고딕"/>
          <w:b/>
          <w:bCs/>
          <w:sz w:val="21"/>
          <w:szCs w:val="21"/>
        </w:rPr>
        <w:t xml:space="preserve">Python  </w:t>
      </w:r>
      <w:r>
        <w:rPr>
          <w:rFonts w:ascii="맑은 고딕" w:cs="맑은 고딕" w:eastAsia="맑은 고딕" w:hAnsi="맑은 고딕"/>
          <w:color w:val="595959"/>
          <w:sz w:val="21"/>
          <w:szCs w:val="21"/>
        </w:rPr>
        <w:t xml:space="preserve">pandas · numpy · scipy(Spearman · Pearson · Mann-Whitney) · matplotlib, Google Colab</w:t>
      </w:r>
    </w:p>
    <w:p>
      <w:pPr>
        <w:pBdr>
          <w:left w:val="single" w:color="595959" w:sz="10" w:space="8"/>
        </w:pBdr>
        <w:spacing w:after="240" w:before="80"/>
        <w:ind w:left="120"/>
      </w:pPr>
      <w:r>
        <w:rPr>
          <w:rFonts w:ascii="맑은 고딕" w:cs="맑은 고딕" w:eastAsia="맑은 고딕" w:hAnsi="맑은 고딕"/>
          <w:i/>
          <w:iCs/>
          <w:color w:val="404040"/>
          <w:sz w:val="19"/>
          <w:szCs w:val="19"/>
        </w:rPr>
        <w:t xml:space="preserve">※ 매입업무 비중은 출처마다 산정 기준이 달라(시사저널e 2024년 79.7%, CEOSCORE Daily 2024년 80.10%) 본문에서는 ‘약 80%’로 표기했다. 협약(2026.8.24 체결, 8/25~26 보도)의 QR 결제 협력은 향후 과제로 보도됐고 서비스 출시 목표는 내년이다. 영월군·양양군은 계절근로자 관련 개별 보도를 찾지 못했다.</w:t>
      </w:r>
    </w:p>
    <w:sectPr>
      <w:headerReference w:type="default" r:id="rId7"/>
      <w:headerReference w:type="first" r:id="rId8"/>
      <w:footerReference w:type="default" r:id="rId9"/>
      <w:footerReference w:type="first" r:id="rId10"/>
      <w:pgSz w:w="11906" w:h="16838" w:orient="portrait"/>
      <w:pgMar w:top="1440" w:right="1278" w:bottom="1440" w:left="127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95959"/>
        <w:sz w:val="16"/>
        <w:szCs w:val="16"/>
      </w:rPr>
      <w:t xml:space="preserve">윤서영 · 충북대학교  —  </w:t>
    </w:r>
    <w:r>
      <w:rPr>
        <w:rFonts w:ascii="맑은 고딕" w:cs="맑은 고딕" w:eastAsia="맑은 고딕" w:hAnsi="맑은 고딕"/>
        <w:color w:val="595959"/>
        <w:sz w:val="16"/>
        <w:szCs w:val="16"/>
      </w:rPr>
      <w:fldChar w:fldCharType="begin"/>
      <w:instrText xml:space="preserve">PAGE</w:instrText>
      <w:fldChar w:fldCharType="separate"/>
      <w:fldChar w:fldCharType="end"/>
    </w:r>
    <w:r>
      <w:rPr>
        <w:rFonts w:ascii="맑은 고딕" w:cs="맑은 고딕" w:eastAsia="맑은 고딕" w:hAnsi="맑은 고딕"/>
        <w:color w:val="595959"/>
        <w:sz w:val="16"/>
        <w:szCs w:val="16"/>
      </w:rPr>
      <w:t xml:space="preserve"> / </w:t>
    </w:r>
    <w:r>
      <w:rPr>
        <w:rFonts w:ascii="맑은 고딕" w:cs="맑은 고딕" w:eastAsia="맑은 고딕" w:hAnsi="맑은 고딕"/>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8C8C" w:sz="4" w:space="4"/>
      </w:pBdr>
      <w:jc w:val="right"/>
    </w:pPr>
    <w:r>
      <w:rPr>
        <w:rFonts w:ascii="맑은 고딕" w:cs="맑은 고딕" w:eastAsia="맑은 고딕" w:hAnsi="맑은 고딕"/>
        <w:color w:val="595959"/>
        <w:sz w:val="16"/>
        <w:szCs w:val="16"/>
      </w:rPr>
      <w:t xml:space="preserve">BC카드 소비데이터 활용 분석·아이디어 공모전 · 외국인 인바운드 로컬 디스커버리</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맑은 고딕" w:cs="맑은 고딕" w:eastAsia="맑은 고딕" w:hAnsi="맑은 고딕"/>
    </w:rPr>
  </w:style>
  <w:style w:type="paragraph" w:styleId="Heading2">
    <w:name w:val="Heading 2"/>
    <w:basedOn w:val="Normal"/>
    <w:next w:val="Normal"/>
    <w:qFormat/>
    <w:rPr>
      <w:rFonts w:ascii="맑은 고딕" w:cs="맑은 고딕" w:eastAsia="맑은 고딕" w:hAnsi="맑은 고딕"/>
    </w:rPr>
  </w:style>
  <w:style w:type="paragraph" w:styleId="Heading3">
    <w:name w:val="Heading 3"/>
    <w:basedOn w:val="Normal"/>
    <w:next w:val="Normal"/>
    <w:qFormat/>
    <w:rPr>
      <w:rFonts w:ascii="맑은 고딕" w:cs="맑은 고딕" w:eastAsia="맑은 고딕" w:hAnsi="맑은 고딕"/>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5ui3o2dsyho1ni_kku5t6" Type="http://schemas.openxmlformats.org/officeDocument/2006/relationships/hyperlink" Target="https://www.g-enews.com/article/Finance/2026/08/202608211537018754a6e8311f64_1" TargetMode="External"/><Relationship Id="rIdrn8soysg1bka5ywvxq-rz" Type="http://schemas.openxmlformats.org/officeDocument/2006/relationships/hyperlink" Target="https://thecheck.co.kr/2026%EB%85%84-%EC%B9%B4%EB%93%9C%EC%88%98%EC%88%98%EB%A3%8C-%EC%9D%B8%ED%95%98-%EC%B5%9C%EC%A0%80-0-4-%EC%86%8C%EC%83%81%EA%B3%B5%EC%9D%B8-%ED%98%9C%ED%83%9D-%EB%B0%8F-%ED%99%98%EA%B8%89-%EC%A0%95/" TargetMode="External"/><Relationship Id="rIdjbehnhhqs4jv1njiuzbce" Type="http://schemas.openxmlformats.org/officeDocument/2006/relationships/hyperlink" Target="https://www.sisajournal-e.com/news/articleView.html?idxno=411307" TargetMode="External"/><Relationship Id="rIdck8iam1syh5teuhwtgvln" Type="http://schemas.openxmlformats.org/officeDocument/2006/relationships/hyperlink" Target="https://www.ceoscoredaily.com/page/view/2025082716442978582" TargetMode="External"/><Relationship Id="rIdzd-n5x3kgyjeyu8qxucgl" Type="http://schemas.openxmlformats.org/officeDocument/2006/relationships/hyperlink" Target="https://www.etoday.co.kr/news/view/2576276" TargetMode="External"/><Relationship Id="rIdjrrmgdpx8otkserlyuxou" Type="http://schemas.openxmlformats.org/officeDocument/2006/relationships/hyperlink" Target="https://economist.co.kr/article/view/ecn202603310058" TargetMode="External"/><Relationship Id="rIdzun9nxwetxztgyxmxg4ji" Type="http://schemas.openxmlformats.org/officeDocument/2006/relationships/hyperlink" Target="https://www.newspim.com/news/view/20260825000715" TargetMode="External"/><Relationship Id="rId0b7mzjnin9dv6qhxu9rsf" Type="http://schemas.openxmlformats.org/officeDocument/2006/relationships/hyperlink" Target="https://www.asiatoday.co.kr/kn/view.php?key=20260825010008353" TargetMode="External"/><Relationship Id="rIdol4_3xl7gtc_a-fnbobdg" Type="http://schemas.openxmlformats.org/officeDocument/2006/relationships/hyperlink" Target="https://www.g-enews.com/article/Finance/2026/08/202608251658492785e30fcb1ba8_1" TargetMode="External"/><Relationship Id="rIdwlky2lvq-mmojy3gd2dkj" Type="http://schemas.openxmlformats.org/officeDocument/2006/relationships/hyperlink" Target="https://edaily.co.kr/News/Read?mediaCodeNo=257&amp;newsId=02912646645550928" TargetMode="External"/><Relationship Id="rIdssxlfl9lukptxjftzsepb" Type="http://schemas.openxmlformats.org/officeDocument/2006/relationships/hyperlink" Target="https://www.kyongbuk.co.kr/news/articleView.html?idxno=4071365" TargetMode="External"/><Relationship Id="rIdvuiu8zafxtp0hjg_hzzw5" Type="http://schemas.openxmlformats.org/officeDocument/2006/relationships/hyperlink" Target="https://www.kyongbuk.co.kr/news/articleView.html?idxno=4075282" TargetMode="External"/><Relationship Id="rIdmjhdmgrolebccsrgmukv2" Type="http://schemas.openxmlformats.org/officeDocument/2006/relationships/hyperlink" Target="https://www.kyongbuk.co.kr/news/articleView.html?idxno=4081736" TargetMode="External"/><Relationship Id="rIdqdzr2vby59qns3ff4dlfs" Type="http://schemas.openxmlformats.org/officeDocument/2006/relationships/hyperlink" Target="https://www.eroun.net/news/articleView.html?idxno=76343" TargetMode="External"/><Relationship Id="rIddxswhjltou2j8kzn8okxh" Type="http://schemas.openxmlformats.org/officeDocument/2006/relationships/hyperlink" Target="https://www.theuniontimes.co.kr/2067421" TargetMode="External"/><Relationship Id="rIdzeddfqj5csg-zfmkseovc" Type="http://schemas.openxmlformats.org/officeDocument/2006/relationships/hyperlink" Target="https://www.naewoeilbo.com/news/articleView.html?idxno=2406137" TargetMode="External"/><Relationship Id="rId11" Type="http://schemas.openxmlformats.org/officeDocument/2006/relationships/image" Target="media/d85c3535a7f9967eb925e3e226b1430cf8f31d30.png"/><Relationship Id="rId12" Type="http://schemas.openxmlformats.org/officeDocument/2006/relationships/image" Target="media/8e3ca7fd349563c700f49b32f545bc9e54afff5b.png"/><Relationship Id="rId13" Type="http://schemas.openxmlformats.org/officeDocument/2006/relationships/image" Target="media/cd761f03813257bc43d710ad3d4f8d65b63099c5.png"/><Relationship Id="rId14" Type="http://schemas.openxmlformats.org/officeDocument/2006/relationships/image" Target="media/2c9d82f336a2b172b96841265582742793b5b778.png"/><Relationship Id="rId15" Type="http://schemas.openxmlformats.org/officeDocument/2006/relationships/image" Target="media/5c03a5298347b7508bd135340586b6cbfd571db5.png"/><Relationship Id="rId16" Type="http://schemas.openxmlformats.org/officeDocument/2006/relationships/image" Target="media/97a1eeeeac3b1d6b95744f53c57d8d9c5b873ea0.png"/><Relationship Id="rId17" Type="http://schemas.openxmlformats.org/officeDocument/2006/relationships/image" Target="media/b4c05e7fb40fab55e8048ec40b088b858a028101.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SNS보다 카드가 먼저 안다? — 외국인 인바운드 로컬 디스커버리</dc:title>
  <dc:creator>윤서영</dc:creator>
  <dc:description>BC카드 소비데이터 활용 분석·아이디어 공모전 제출 보고서</dc:description>
  <cp:lastModifiedBy>Un-named</cp:lastModifiedBy>
  <cp:revision>1</cp:revision>
  <dcterms:created xsi:type="dcterms:W3CDTF">2026-09-22T04:35:24.147Z</dcterms:created>
  <dcterms:modified xsi:type="dcterms:W3CDTF">2026-09-22T04:35:24.156Z</dcterms:modified>
</cp:coreProperties>
</file>

<file path=docProps/custom.xml><?xml version="1.0" encoding="utf-8"?>
<Properties xmlns="http://schemas.openxmlformats.org/officeDocument/2006/custom-properties" xmlns:vt="http://schemas.openxmlformats.org/officeDocument/2006/docPropsVTypes"/>
</file>