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pPr>
      <w:r>
        <w:rPr>
          <w:rFonts w:ascii="Arial" w:hAnsi="Arial"/>
          <w:b/>
          <w:i w:val="0"/>
          <w:color w:val="141F2C"/>
          <w:sz w:val="44"/>
        </w:rPr>
        <w:t>Managed Test Data</w:t>
      </w:r>
    </w:p>
    <w:p>
      <w:pPr>
        <w:pStyle w:val="Subtitle"/>
        <w:spacing w:before="0" w:after="120"/>
      </w:pPr>
      <w:r>
        <w:rPr>
          <w:rFonts w:ascii="Arial" w:hAnsi="Arial"/>
          <w:b/>
          <w:i w:val="0"/>
          <w:color w:val="1F4D78"/>
          <w:sz w:val="22"/>
        </w:rPr>
        <w:t>A safer, reusable way to prepare, refresh and verify test data for PocketHive</w:t>
      </w:r>
    </w:p>
    <w:p>
      <w:pPr>
        <w:spacing w:before="20" w:after="60" w:line="240" w:lineRule="auto"/>
        <w:ind w:left="115" w:right="115"/>
        <w:shd w:fill="EAF3FB"/>
        <w:pBdr>
          <w:top w:val="single" w:sz="6" w:space="5" w:color="9CC2E5"/>
          <w:left w:val="single" w:sz="6" w:space="5" w:color="9CC2E5"/>
          <w:bottom w:val="single" w:sz="6" w:space="5" w:color="9CC2E5"/>
          <w:right w:val="single" w:sz="6" w:space="5" w:color="9CC2E5"/>
        </w:pBdr>
      </w:pPr>
      <w:r>
        <w:rPr>
          <w:rFonts w:ascii="Arial" w:hAnsi="Arial"/>
          <w:b/>
          <w:i w:val="0"/>
          <w:color w:val="1F4D78"/>
          <w:sz w:val="19"/>
        </w:rPr>
        <w:t xml:space="preserve">DECISION REQUESTED  </w:t>
      </w:r>
      <w:r>
        <w:rPr>
          <w:rFonts w:ascii="Arial" w:hAnsi="Arial"/>
          <w:b w:val="0"/>
          <w:i w:val="0"/>
          <w:color w:val="141F2C"/>
          <w:sz w:val="19"/>
        </w:rPr>
        <w:t>Approve the concept and recommended direction for the next planning stage. Authorise the team to select one real, non-sensitive use case, resolve the outstanding decisions, appoint named owners and return with an estimate for a small end-to-end learning exercise. This does not approve implementation or release.</w:t>
      </w:r>
    </w:p>
    <w:p>
      <w:pPr>
        <w:pStyle w:val="Heading1"/>
        <w:keepNext/>
        <w:spacing w:before="120" w:after="40" w:line="240" w:lineRule="auto"/>
      </w:pPr>
      <w:r>
        <w:rPr>
          <w:rFonts w:ascii="Arial" w:hAnsi="Arial"/>
          <w:b/>
          <w:i w:val="0"/>
          <w:caps/>
          <w:color w:val="2E74B5"/>
          <w:sz w:val="21"/>
        </w:rPr>
        <w:t>Why this matters</w:t>
      </w:r>
    </w:p>
    <w:p>
      <w:pPr>
        <w:spacing w:before="0" w:after="60" w:line="245" w:lineRule="auto"/>
      </w:pPr>
      <w:r>
        <w:rPr>
          <w:rFonts w:ascii="Arial" w:hAnsi="Arial"/>
          <w:b w:val="0"/>
          <w:i w:val="0"/>
          <w:color w:val="141F2C"/>
          <w:sz w:val="20"/>
        </w:rPr>
        <w:t>Long-running performance tests need related test entities and other records that remain valid and can be reused safely by several PocketHive swarms (groups of load-generating workers). PocketHive does not currently manage this lifecycle end to end. Data can be slow to prepare, duplicated, expired or inconsistent—delaying tests or producing believable but invalid results.</w:t>
      </w:r>
    </w:p>
    <w:p>
      <w:pPr>
        <w:spacing w:before="0" w:after="60" w:line="245" w:lineRule="auto"/>
      </w:pPr>
      <w:r>
        <w:rPr>
          <w:rFonts w:ascii="Arial" w:hAnsi="Arial"/>
          <w:b w:val="0"/>
          <w:i w:val="0"/>
          <w:color w:val="141F2C"/>
          <w:sz w:val="20"/>
        </w:rPr>
        <w:t>A central lookup during each test request could distort the measurement. Operators instead need a trustworthy answer to: Is the data safe for this test, why, which swarms are affected, and what evidence supports that decision?</w:t>
      </w:r>
    </w:p>
    <w:p>
      <w:pPr>
        <w:pStyle w:val="Heading1"/>
        <w:keepNext/>
        <w:spacing w:before="120" w:after="40" w:line="240" w:lineRule="auto"/>
      </w:pPr>
      <w:r>
        <w:rPr>
          <w:rFonts w:ascii="Arial" w:hAnsi="Arial"/>
          <w:b/>
          <w:i w:val="0"/>
          <w:caps/>
          <w:color w:val="2E74B5"/>
          <w:sz w:val="21"/>
        </w:rPr>
        <w:t>The proposed capability</w:t>
      </w:r>
    </w:p>
    <w:p>
      <w:pPr>
        <w:spacing w:before="0" w:after="60" w:line="245" w:lineRule="auto"/>
      </w:pPr>
      <w:r>
        <w:rPr>
          <w:rFonts w:ascii="Arial" w:hAnsi="Arial"/>
          <w:b w:val="0"/>
          <w:i w:val="0"/>
          <w:color w:val="141F2C"/>
          <w:sz w:val="20"/>
        </w:rPr>
        <w:t>A Managed Dataset is a governed, reusable pool of related test records and refreshable material. PocketHive would:</w:t>
      </w:r>
    </w:p>
    <w:p>
      <w:pPr>
        <w:pStyle w:val="ListBullet"/>
        <w:spacing w:before="0" w:after="24" w:line="240" w:lineRule="auto"/>
        <w:ind w:left="346" w:hanging="230"/>
      </w:pPr>
      <w:r>
        <w:rPr>
          <w:rFonts w:ascii="Arial" w:hAnsi="Arial"/>
          <w:b w:val="0"/>
          <w:i w:val="0"/>
          <w:color w:val="141F2C"/>
          <w:sz w:val="19"/>
        </w:rPr>
        <w:t>obtain or create data through an approved source workflow;</w:t>
      </w:r>
    </w:p>
    <w:p>
      <w:pPr>
        <w:pStyle w:val="ListBullet"/>
        <w:spacing w:before="0" w:after="24" w:line="240" w:lineRule="auto"/>
        <w:ind w:left="346" w:hanging="230"/>
      </w:pPr>
      <w:r>
        <w:rPr>
          <w:rFonts w:ascii="Arial" w:hAnsi="Arial"/>
          <w:b w:val="0"/>
          <w:i w:val="0"/>
          <w:color w:val="141F2C"/>
          <w:sz w:val="19"/>
        </w:rPr>
        <w:t>validate it for the exact test and environment;</w:t>
      </w:r>
    </w:p>
    <w:p>
      <w:pPr>
        <w:pStyle w:val="ListBullet"/>
        <w:spacing w:before="0" w:after="24" w:line="240" w:lineRule="auto"/>
        <w:ind w:left="346" w:hanging="230"/>
      </w:pPr>
      <w:r>
        <w:rPr>
          <w:rFonts w:ascii="Arial" w:hAnsi="Arial"/>
          <w:b w:val="0"/>
          <w:i w:val="0"/>
          <w:color w:val="141F2C"/>
          <w:sz w:val="19"/>
        </w:rPr>
        <w:t>securely store, refresh, replace, recover and retire it;</w:t>
      </w:r>
    </w:p>
    <w:p>
      <w:pPr>
        <w:pStyle w:val="ListBullet"/>
        <w:spacing w:before="0" w:after="24" w:line="240" w:lineRule="auto"/>
        <w:ind w:left="346" w:hanging="230"/>
      </w:pPr>
      <w:r>
        <w:rPr>
          <w:rFonts w:ascii="Arial" w:hAnsi="Arial"/>
          <w:b w:val="0"/>
          <w:i w:val="0"/>
          <w:color w:val="141F2C"/>
          <w:sz w:val="19"/>
        </w:rPr>
        <w:t>deliver versioned local copies to workers before measured traffic starts; and</w:t>
      </w:r>
    </w:p>
    <w:p>
      <w:pPr>
        <w:pStyle w:val="ListBullet"/>
        <w:spacing w:before="0" w:after="24" w:line="240" w:lineRule="auto"/>
        <w:ind w:left="346" w:hanging="230"/>
      </w:pPr>
      <w:r>
        <w:rPr>
          <w:rFonts w:ascii="Arial" w:hAnsi="Arial"/>
          <w:b w:val="0"/>
          <w:i w:val="0"/>
          <w:color w:val="141F2C"/>
          <w:sz w:val="19"/>
        </w:rPr>
        <w:t>show read-only health and status, and create bounded retained proof without exposing values or secrets.</w:t>
      </w:r>
    </w:p>
    <w:p>
      <w:pPr>
        <w:spacing w:before="0" w:after="40" w:line="245" w:lineRule="auto"/>
      </w:pPr>
      <w:r>
        <w:t>For the first delivery, this would be a separate module inside PocketHive’s existing Orchestrator control service. PostgreSQL would hold the trusted state. All swarm control events would stay on the existing RabbitMQ Control Plane. A durable Dataset lifecycle reconciler would maintain inventory independently of the scenario timeline and worker traffic pacer. Workers would hydrate in the background; target size is inventory, not traffic count.</w:t>
      </w:r>
    </w:p>
    <w:p>
      <w:pPr>
        <w:pStyle w:val="Heading1"/>
        <w:keepNext/>
        <w:spacing w:before="120" w:after="40" w:line="240" w:lineRule="auto"/>
      </w:pPr>
      <w:r>
        <w:rPr>
          <w:rFonts w:ascii="Arial" w:hAnsi="Arial"/>
          <w:b/>
          <w:i w:val="0"/>
          <w:caps/>
          <w:color w:val="2E74B5"/>
          <w:sz w:val="21"/>
        </w:rPr>
        <w:t>Expected value</w:t>
      </w:r>
    </w:p>
    <w:p>
      <w:pPr>
        <w:pStyle w:val="ListBullet"/>
        <w:spacing w:before="0" w:after="24" w:line="240" w:lineRule="auto"/>
        <w:ind w:left="346" w:hanging="230"/>
      </w:pPr>
      <w:r>
        <w:rPr>
          <w:rFonts w:ascii="Arial" w:hAnsi="Arial"/>
          <w:b w:val="0"/>
          <w:i w:val="0"/>
          <w:color w:val="141F2C"/>
          <w:sz w:val="19"/>
        </w:rPr>
        <w:t>Less time and uncertainty preparing usable data; safer reuse across concurrent and longer tests.</w:t>
      </w:r>
    </w:p>
    <w:p>
      <w:pPr>
        <w:pStyle w:val="ListBullet"/>
        <w:spacing w:before="0" w:after="24" w:line="240" w:lineRule="auto"/>
        <w:ind w:left="346" w:hanging="230"/>
      </w:pPr>
      <w:r>
        <w:rPr>
          <w:rFonts w:ascii="Arial" w:hAnsi="Arial"/>
          <w:b w:val="0"/>
          <w:i w:val="0"/>
          <w:color w:val="141F2C"/>
          <w:sz w:val="19"/>
        </w:rPr>
        <w:t>Fewer invalid starts, faster diagnosis, better lifecycle accountability and more trustworthy results.</w:t>
      </w:r>
    </w:p>
    <w:p>
      <w:pPr>
        <w:spacing w:before="0" w:after="20" w:line="245" w:lineRule="auto"/>
      </w:pPr>
      <w:r>
        <w:rPr>
          <w:rFonts w:ascii="Arial" w:hAnsi="Arial"/>
          <w:b w:val="0"/>
          <w:i w:val="0"/>
          <w:color w:val="586572"/>
          <w:sz w:val="20"/>
        </w:rPr>
        <w:t>Benefits will be measured against an agreed baseline; they are not yet proven.</w:t>
      </w:r>
    </w:p>
    <w:p>
      <w:pPr>
        <w:pStyle w:val="Heading1"/>
        <w:keepNext/>
        <w:spacing w:before="120" w:after="40" w:line="240" w:lineRule="auto"/>
      </w:pPr>
      <w:r>
        <w:rPr>
          <w:rFonts w:ascii="Arial" w:hAnsi="Arial"/>
          <w:b/>
          <w:i w:val="0"/>
          <w:caps/>
          <w:color w:val="2E74B5"/>
          <w:sz w:val="21"/>
        </w:rPr>
        <w:t>Key safeguards</w:t>
      </w:r>
    </w:p>
    <w:p>
      <w:pPr>
        <w:pStyle w:val="ListBullet"/>
        <w:spacing w:before="0" w:after="24" w:line="240" w:lineRule="auto"/>
        <w:ind w:left="346" w:hanging="230"/>
      </w:pPr>
      <w:r>
        <w:rPr>
          <w:rFonts w:ascii="Arial" w:hAnsi="Arial"/>
          <w:b w:val="0"/>
          <w:i w:val="0"/>
          <w:color w:val="141F2C"/>
          <w:sz w:val="19"/>
        </w:rPr>
        <w:t>Readiness is use-specific; a count alone never means ready. Missing, stale or contradictory evidence blocks new use.</w:t>
      </w:r>
    </w:p>
    <w:p>
      <w:pPr>
        <w:pStyle w:val="ListBullet"/>
        <w:spacing w:before="0" w:after="24" w:line="240" w:lineRule="auto"/>
        <w:ind w:left="346" w:hanging="230"/>
      </w:pPr>
      <w:r>
        <w:rPr>
          <w:rFonts w:ascii="Arial" w:hAnsi="Arial"/>
          <w:b w:val="0"/>
          <w:i w:val="0"/>
          <w:color w:val="141F2C"/>
          <w:sz w:val="19"/>
        </w:rPr>
        <w:t>Access is scoped and stored material is encrypted; sensitive or restricted real-world data needs separate qualification.</w:t>
      </w:r>
    </w:p>
    <w:p>
      <w:pPr>
        <w:pStyle w:val="ListBullet"/>
        <w:spacing w:before="0" w:after="24" w:line="240" w:lineRule="auto"/>
        <w:ind w:left="346" w:hanging="230"/>
      </w:pPr>
      <w:r>
        <w:rPr>
          <w:rFonts w:ascii="Arial" w:hAnsi="Arial"/>
          <w:b w:val="0"/>
          <w:i w:val="0"/>
          <w:color w:val="141F2C"/>
          <w:sz w:val="19"/>
        </w:rPr>
        <w:t>The UI cannot mutate Dataset business state. Governed AI access uses HiveGate for status reads and bounded proof creation; AI is never an authority.</w:t>
      </w:r>
    </w:p>
    <w:p>
      <w:pPr>
        <w:pStyle w:val="ListBullet"/>
        <w:spacing w:before="0" w:after="24" w:line="240" w:lineRule="auto"/>
        <w:ind w:left="346" w:hanging="230"/>
      </w:pPr>
      <w:r>
        <w:rPr>
          <w:rFonts w:ascii="Arial" w:hAnsi="Arial"/>
          <w:b w:val="0"/>
          <w:i w:val="0"/>
          <w:color w:val="141F2C"/>
          <w:sz w:val="19"/>
        </w:rPr>
        <w:t>Release requires named ownership for encryption keys, evidence retention and recovery. Core does not support backup restore.</w:t>
      </w:r>
    </w:p>
    <w:p>
      <w:pPr>
        <w:pStyle w:val="ListBullet"/>
        <w:spacing w:before="0" w:after="24" w:line="240" w:lineRule="auto"/>
        <w:ind w:left="346" w:hanging="230"/>
      </w:pPr>
      <w:r>
        <w:t>This is not a general data platform or a replacement for all existing Redis use. The release profile targets 50,000 reusable records, two concurrent swarms and safe live target changes; that is not a support claim until the exact qualification passes.</w:t>
      </w:r>
    </w:p>
    <w:p>
      <w:pPr>
        <w:pStyle w:val="Heading1"/>
        <w:keepNext/>
        <w:spacing w:before="120" w:after="40" w:line="240" w:lineRule="auto"/>
      </w:pPr>
      <w:r>
        <w:rPr>
          <w:rFonts w:ascii="Arial" w:hAnsi="Arial"/>
          <w:b/>
          <w:i w:val="0"/>
          <w:caps/>
          <w:color w:val="2E74B5"/>
          <w:sz w:val="21"/>
        </w:rPr>
        <w:t>First step and proof of success</w:t>
      </w:r>
    </w:p>
    <w:p>
      <w:pPr>
        <w:spacing w:before="0" w:after="60" w:line="245" w:lineRule="auto"/>
      </w:pPr>
      <w:r>
        <w:rPr>
          <w:rFonts w:ascii="Arial" w:hAnsi="Arial"/>
          <w:b w:val="0"/>
          <w:i w:val="0"/>
          <w:color w:val="141F2C"/>
          <w:sz w:val="20"/>
        </w:rPr>
        <w:t>After the planning decisions pass the implementation-readiness gate, use the selected real case to set measurable goals, then run one small end-to-end learning exercise with controlled, non-sensitive synthetic data, one shared Dataset, one source workflow and two concurrent swarms. It must prove safe local use, controlled recovery and end-to-end evidence for an identified test request.</w:t>
      </w:r>
    </w:p>
    <w:p>
      <w:pPr>
        <w:spacing w:before="0" w:after="60" w:line="245" w:lineRule="auto"/>
      </w:pPr>
      <w:r>
        <w:rPr>
          <w:rFonts w:ascii="Arial" w:hAnsi="Arial"/>
          <w:b w:val="0"/>
          <w:i w:val="0"/>
          <w:color w:val="141F2C"/>
          <w:sz w:val="20"/>
        </w:rPr>
        <w:t>Success means no unsafe start, incorrect ready signal, uncontrolled duplicate external action, unauthorised data exposure or central Dataset access during measured traffic. Agree numeric targets for time to usable data, diagnosis, invalid starts prevented and cleanup/recovery.</w:t>
      </w:r>
    </w:p>
    <w:p>
      <w:pPr>
        <w:spacing w:before="40" w:after="0" w:line="240" w:lineRule="auto"/>
        <w:ind w:left="115" w:right="115"/>
        <w:shd w:fill="EAF6F1"/>
        <w:pBdr>
          <w:top w:val="single" w:sz="5" w:space="5" w:color="9ECAB7"/>
          <w:left w:val="single" w:sz="5" w:space="5" w:color="9ECAB7"/>
          <w:bottom w:val="single" w:sz="5" w:space="5" w:color="9ECAB7"/>
          <w:right w:val="single" w:sz="5" w:space="5" w:color="9ECAB7"/>
        </w:pBdr>
      </w:pPr>
      <w:r>
        <w:rPr>
          <w:rFonts w:ascii="Arial" w:hAnsi="Arial"/>
          <w:b/>
          <w:i w:val="0"/>
          <w:color w:val="196F4F"/>
          <w:sz w:val="18"/>
        </w:rPr>
        <w:t>CURRENT STATUS  Design-ready for a cross-functional approval decision. Team approval and implementation readiness have not been evaluated. The feature is not implemented or release-qualified.</w:t>
      </w:r>
      <w:r>
        <w:rPr>
          <w:rFonts w:ascii="Arial" w:hAnsi="Arial"/>
          <w:b w:val="0"/>
          <w:i w:val="0"/>
          <w:color w:val="141F2C"/>
          <w:sz w:val="18"/>
        </w:rPr>
      </w: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586572"/>
        <w:sz w:val="15"/>
      </w:rPr>
      <w:t>Planning summary • 17 July 2026 • Normative specifications take precedence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586572"/>
        <w:sz w:val="16"/>
      </w:rPr>
      <w:t>POCKETHIVE  |  DECISION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5" w:lineRule="auto"/>
    </w:pPr>
    <w:rPr>
      <w:rFonts w:ascii="Arial" w:hAnsi="Arial"/>
      <w:color w:val="141F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2E74B5"/>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before="0"/>
      <w:contextualSpacing/>
    </w:pPr>
    <w:rPr>
      <w:rFonts w:asciiTheme="majorHAnsi" w:eastAsiaTheme="majorEastAsia" w:hAnsiTheme="majorHAnsi" w:cstheme="majorBidi" w:ascii="Arial" w:hAnsi="Arial"/>
      <w:b/>
      <w:color w:val="141F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b/>
      <w:i/>
      <w:iCs/>
      <w:color w:val="1F4D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41F2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PocketHive Managed Test Data — One-Page Approval Brief</dc:title>
  <dc:subject>Stakeholder concept approval brief</dc:subject>
  <dc:creator>PocketHive</dc:creator>
  <cp:keywords>PocketHive, managed test data, decision brief</cp:keywords>
  <dc:description>generated by python-docx</dc:description>
  <cp:lastModifiedBy/>
  <cp:revision>1</cp:revision>
  <dcterms:created xsi:type="dcterms:W3CDTF">2013-12-23T23:15:00Z</dcterms:created>
  <dcterms:modified xsi:type="dcterms:W3CDTF">2013-12-23T23:15:00Z</dcterms:modified>
  <cp:category/>
</cp:coreProperties>
</file>