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57D37278" w:rsidR="00660ADE" w:rsidRPr="00AB7F3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AB7F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</w:t>
      </w:r>
    </w:p>
    <w:p w14:paraId="0000000C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038417" w14:textId="77777777" w:rsidR="00C44AA3" w:rsidRDefault="00C44AA3" w:rsidP="00C44A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EF0E84" w14:textId="78CC1B45" w:rsidR="00C44AA3" w:rsidRPr="00D0733B" w:rsidRDefault="00AB7F39" w:rsidP="00C44A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Работа с матрицами. Метод Гаусса</w:t>
      </w:r>
    </w:p>
    <w:p w14:paraId="0000001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3F41A9D1" w:rsidR="00660ADE" w:rsidRPr="00E442C5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proofErr w:type="gramStart"/>
      <w:r w:rsidR="00B46768" w:rsidRPr="00E442C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Н.И.</w:t>
      </w:r>
      <w:proofErr w:type="gramEnd"/>
      <w:r w:rsidR="00B46768" w:rsidRPr="00E442C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Лохматов</w:t>
      </w:r>
    </w:p>
    <w:p w14:paraId="0000001D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E442C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8О-406Б</w:t>
      </w:r>
    </w:p>
    <w:p w14:paraId="0000001E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 А.Ю.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Морозов</w:t>
      </w:r>
    </w:p>
    <w:p w14:paraId="0000001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438E8503" w14:textId="77777777" w:rsidR="00B46768" w:rsidRDefault="00B467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6" w14:textId="551C8E5E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Условие</w:t>
      </w:r>
    </w:p>
    <w:p w14:paraId="09FEEBF3" w14:textId="18B5D914" w:rsidR="00B46768" w:rsidRPr="00AB7F39" w:rsidRDefault="00B46768" w:rsidP="00AB7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 работы: </w:t>
      </w:r>
      <w:r w:rsid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B7F39"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спользование объединения запросов к глобальной памяти.</w:t>
      </w:r>
      <w:r w:rsid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7F39"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метода Гаусса с выбором главного элемента по столбцу</w:t>
      </w:r>
      <w:r w:rsid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B7F39"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Ознакомление с</w:t>
      </w:r>
      <w:r w:rsid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7F39"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библиотекой алгоритмов для параллельных расчетов </w:t>
      </w:r>
      <w:proofErr w:type="spellStart"/>
      <w:r w:rsidR="00AB7F39"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Thrust</w:t>
      </w:r>
      <w:proofErr w:type="spellEnd"/>
      <w:r w:rsidR="00AB7F39"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. Использование</w:t>
      </w:r>
      <w:r w:rsid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7F39"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двухмерной сетки потоков. Исследование производительности программы с</w:t>
      </w:r>
      <w:r w:rsid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7F39"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помощью утилиты </w:t>
      </w:r>
      <w:proofErr w:type="spellStart"/>
      <w:r w:rsidR="00AB7F39"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nvprof</w:t>
      </w:r>
      <w:proofErr w:type="spellEnd"/>
    </w:p>
    <w:p w14:paraId="00000029" w14:textId="46213E07" w:rsidR="00660ADE" w:rsidRDefault="00B46768" w:rsidP="00B46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Вариант </w:t>
      </w:r>
      <w:r w:rsid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вычисление обратной матрицы</w:t>
      </w:r>
    </w:p>
    <w:p w14:paraId="0000002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9DB39D9" w14:textId="6BD9FC88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Графический процессор: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RTX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3050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</w:t>
      </w:r>
    </w:p>
    <w:p w14:paraId="6A4726ED" w14:textId="558EAA5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потоковых процессоров: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2560</w:t>
      </w:r>
    </w:p>
    <w:p w14:paraId="46AD3DEB" w14:textId="53832BE6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Частота ядра: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1552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МГц</w:t>
      </w:r>
    </w:p>
    <w:p w14:paraId="7F2D48D1" w14:textId="73FA831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транзисторов: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8.7 млрд</w:t>
      </w:r>
    </w:p>
    <w:p w14:paraId="074F8213" w14:textId="20CFFABC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Тех. процесс: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нм</w:t>
      </w:r>
    </w:p>
    <w:p w14:paraId="103DC808" w14:textId="7D8A37F3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Энергопотребление: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Вт</w:t>
      </w:r>
    </w:p>
    <w:p w14:paraId="2D2F8611" w14:textId="7E58E61E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OC: Ubuntu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.04</w:t>
      </w:r>
    </w:p>
    <w:p w14:paraId="133705A2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40DFC7F5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proofErr w:type="spellStart"/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0000002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395B02E1" w14:textId="0937EBEC" w:rsidR="00052B38" w:rsidRPr="00AB7F39" w:rsidRDefault="00AB7F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Гаусса представляет собой последовательное применение элементарных преобразований для приведения матрицы к ступенчатой форме, а затем к диагональной форме. Мы применяем те же преобразования к единичной матрице, чтобы получить обратную матрицу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Читаем матрицу A из входных данных и создаем единичную матрицу I размером n×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которая будет модифицироваться в процессе преобразований и станет обратной матрицей для A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Для текущей строки i ищем максимальный элемент в столбце, чтобы минимизировать ошибки из-за деления на малые значения. Если максимальный элемент находится не на главной диагонали, меняем текущую строку с той, в которой найден максимальный элемент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ереходим к обратному ходу: обнуляем элементы выше главной диагонали, снова вычитая кратные строки, пока не получим единичную матрицу в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каждой строки, начиная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0, выполняем нормировку строки — делим её на значение на главной диагонали. Затем вычитаем кратные текущей строки из всех нижележащих строк, чтобы сделать нули ниже диагонального элемента.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Единичная матрица в результате преобразований превращается в обратную матрицу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выводим</w:t>
      </w:r>
      <w:r w:rsidRPr="00AB7F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её.</w:t>
      </w:r>
    </w:p>
    <w:p w14:paraId="2CF9661A" w14:textId="77777777" w:rsidR="00AB7F39" w:rsidRDefault="00AB7F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60BEFB37" w14:textId="77777777" w:rsidR="0088443C" w:rsidRPr="0088443C" w:rsidRDefault="0088443C" w:rsidP="008844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реализована в основном файле, где находится логика нахождения обратной матрицы методом Гаусса, макрос для обработки ошибок и CUDA-ядра для выполнения вычислений на GPU. Сначала матрица считывается из ввода и копируется в память устройства. На этапе приведения к верхней треугольной форме для каждой строки осуществляется поиск ведущего элемента и при необходимости выполняется </w:t>
      </w:r>
      <w:r w:rsidRP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перестановка строк, что повышает точность расчетов. Затем запускается обратный ход, в котором </w:t>
      </w:r>
      <w:proofErr w:type="spellStart"/>
      <w:r w:rsidRP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t>зануляются</w:t>
      </w:r>
      <w:proofErr w:type="spellEnd"/>
      <w:r w:rsidRP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элементы выше главной диагонали, начиная с последней строки и постепенно поднимаясь вверх. В заключительном этапе выполняется нормировка диагональных элементов до единицы, что приводит исходную единичную матрицу к виду обратной. Программа также учитывает обработку ошибок при вызове функций CUDA и корректно освобождает память по завершении выполнения.</w:t>
      </w:r>
    </w:p>
    <w:p w14:paraId="33B3C89E" w14:textId="77777777" w:rsidR="00052B38" w:rsidRDefault="00052B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3510EB" w14:textId="63A661B1" w:rsidR="001653D6" w:rsidRPr="001604FD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Зависимость времени выполнения программы от количества используемых потоков</w:t>
      </w:r>
      <w:r w:rsidR="000528D5" w:rsidRP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Вычисления были проведены 100 раз и на их основе посчитано среднее время</w:t>
      </w:r>
    </w:p>
    <w:p w14:paraId="2EE46855" w14:textId="77777777" w:rsidR="00011E55" w:rsidRPr="000528D5" w:rsidRDefault="00011E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602CF9" w14:paraId="497FDB1B" w14:textId="77777777" w:rsidTr="00602CF9">
        <w:tc>
          <w:tcPr>
            <w:tcW w:w="2254" w:type="dxa"/>
          </w:tcPr>
          <w:p w14:paraId="15A6D834" w14:textId="3D35DDFA" w:rsidR="00602CF9" w:rsidRPr="00602CF9" w:rsidRDefault="00602C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Количество потоков</w:t>
            </w:r>
          </w:p>
        </w:tc>
        <w:tc>
          <w:tcPr>
            <w:tcW w:w="2255" w:type="dxa"/>
          </w:tcPr>
          <w:p w14:paraId="3CC10DE5" w14:textId="639538B9" w:rsidR="00602CF9" w:rsidRPr="00602CF9" w:rsidRDefault="0088443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553EDD36" w14:textId="015FB671" w:rsidR="00602CF9" w:rsidRPr="00602CF9" w:rsidRDefault="0088443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n = </w:t>
            </w:r>
            <w:r w:rsidR="00F71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5 *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</w:t>
            </w:r>
            <w:r w:rsidR="00F71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67B94458" w14:textId="69847F92" w:rsidR="00602CF9" w:rsidRPr="00602CF9" w:rsidRDefault="0088443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F71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602CF9" w14:paraId="5DE7C1EE" w14:textId="77777777" w:rsidTr="00602CF9">
        <w:tc>
          <w:tcPr>
            <w:tcW w:w="2254" w:type="dxa"/>
          </w:tcPr>
          <w:p w14:paraId="49056D4E" w14:textId="4CD178BD" w:rsidR="00602CF9" w:rsidRPr="001604FD" w:rsidRDefault="0088443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5" w:type="dxa"/>
          </w:tcPr>
          <w:p w14:paraId="703F22A6" w14:textId="7F87770C" w:rsidR="00602CF9" w:rsidRPr="008F19C7" w:rsidRDefault="00F71FC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75.38</w:t>
            </w:r>
          </w:p>
        </w:tc>
        <w:tc>
          <w:tcPr>
            <w:tcW w:w="2255" w:type="dxa"/>
          </w:tcPr>
          <w:p w14:paraId="412127ED" w14:textId="7E5B9FFC" w:rsidR="00602CF9" w:rsidRPr="008039E9" w:rsidRDefault="00F71FC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3236.38</w:t>
            </w:r>
          </w:p>
        </w:tc>
        <w:tc>
          <w:tcPr>
            <w:tcW w:w="2255" w:type="dxa"/>
          </w:tcPr>
          <w:p w14:paraId="30057F0C" w14:textId="695F9B6F" w:rsidR="00602CF9" w:rsidRPr="00751CE1" w:rsidRDefault="00F71FC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32904.55</w:t>
            </w:r>
          </w:p>
        </w:tc>
      </w:tr>
      <w:tr w:rsidR="00602CF9" w14:paraId="499D534B" w14:textId="77777777" w:rsidTr="00602CF9">
        <w:tc>
          <w:tcPr>
            <w:tcW w:w="2254" w:type="dxa"/>
          </w:tcPr>
          <w:p w14:paraId="1F07A7BF" w14:textId="64FC6FFA" w:rsidR="00602CF9" w:rsidRPr="001604FD" w:rsidRDefault="0088443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55" w:type="dxa"/>
          </w:tcPr>
          <w:p w14:paraId="03BB0D87" w14:textId="5A850C0A" w:rsidR="00602CF9" w:rsidRPr="008A63E6" w:rsidRDefault="00F71FC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71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52.46</w:t>
            </w:r>
          </w:p>
        </w:tc>
        <w:tc>
          <w:tcPr>
            <w:tcW w:w="2255" w:type="dxa"/>
          </w:tcPr>
          <w:p w14:paraId="3A029DEE" w14:textId="4D22A50F" w:rsidR="00602CF9" w:rsidRPr="002A7C35" w:rsidRDefault="00F71FC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71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287.87</w:t>
            </w:r>
          </w:p>
        </w:tc>
        <w:tc>
          <w:tcPr>
            <w:tcW w:w="2255" w:type="dxa"/>
          </w:tcPr>
          <w:p w14:paraId="11717B8C" w14:textId="68CE62A9" w:rsidR="00602CF9" w:rsidRPr="00751CE1" w:rsidRDefault="00F71FC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71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1869.7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602CF9" w14:paraId="7583803B" w14:textId="77777777" w:rsidTr="00602CF9">
        <w:tc>
          <w:tcPr>
            <w:tcW w:w="2254" w:type="dxa"/>
          </w:tcPr>
          <w:p w14:paraId="33914F3F" w14:textId="4E7DDBBE" w:rsidR="00602CF9" w:rsidRPr="0074305B" w:rsidRDefault="0088443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55" w:type="dxa"/>
          </w:tcPr>
          <w:p w14:paraId="6899E60C" w14:textId="67EEEADE" w:rsidR="00602CF9" w:rsidRPr="00A57A7F" w:rsidRDefault="00F71FC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57A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48.44</w:t>
            </w:r>
          </w:p>
        </w:tc>
        <w:tc>
          <w:tcPr>
            <w:tcW w:w="2255" w:type="dxa"/>
          </w:tcPr>
          <w:p w14:paraId="731B431B" w14:textId="37A08508" w:rsidR="00602CF9" w:rsidRPr="00A57A7F" w:rsidRDefault="00F71FC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57A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267.3</w:t>
            </w:r>
            <w:r w:rsidRPr="00A57A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255" w:type="dxa"/>
          </w:tcPr>
          <w:p w14:paraId="77EA6076" w14:textId="45FEBD36" w:rsidR="00602CF9" w:rsidRPr="00751CE1" w:rsidRDefault="00F71FC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71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1726.6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602CF9" w14:paraId="204A08C4" w14:textId="77777777" w:rsidTr="00602CF9">
        <w:tc>
          <w:tcPr>
            <w:tcW w:w="2254" w:type="dxa"/>
          </w:tcPr>
          <w:p w14:paraId="50DB50E4" w14:textId="689AE29B" w:rsidR="00602CF9" w:rsidRDefault="0088443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55" w:type="dxa"/>
          </w:tcPr>
          <w:p w14:paraId="08BB259B" w14:textId="3B1DBAEF" w:rsidR="00602CF9" w:rsidRPr="008A63E6" w:rsidRDefault="00A57A7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57A7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70.34</w:t>
            </w:r>
          </w:p>
        </w:tc>
        <w:tc>
          <w:tcPr>
            <w:tcW w:w="2255" w:type="dxa"/>
          </w:tcPr>
          <w:p w14:paraId="0E9E5892" w14:textId="61795B3A" w:rsidR="00602CF9" w:rsidRPr="008039E9" w:rsidRDefault="00A57A7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57A7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299.6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255" w:type="dxa"/>
          </w:tcPr>
          <w:p w14:paraId="6BB8816C" w14:textId="4D644BA4" w:rsidR="00602CF9" w:rsidRPr="00A57A7F" w:rsidRDefault="00A57A7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57A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1637.62</w:t>
            </w:r>
          </w:p>
        </w:tc>
      </w:tr>
      <w:tr w:rsidR="00602CF9" w14:paraId="38DA9904" w14:textId="77777777" w:rsidTr="00602CF9">
        <w:tc>
          <w:tcPr>
            <w:tcW w:w="2254" w:type="dxa"/>
          </w:tcPr>
          <w:p w14:paraId="533F1CD8" w14:textId="121DB181" w:rsidR="00602CF9" w:rsidRPr="0088443C" w:rsidRDefault="0088443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55" w:type="dxa"/>
          </w:tcPr>
          <w:p w14:paraId="37427BE9" w14:textId="698162A8" w:rsidR="00602CF9" w:rsidRPr="00A57A7F" w:rsidRDefault="00A57A7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57A7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60.1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255" w:type="dxa"/>
          </w:tcPr>
          <w:p w14:paraId="0C9873A3" w14:textId="46ADBC07" w:rsidR="00602CF9" w:rsidRPr="00A57A7F" w:rsidRDefault="00A57A7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57A7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316.79</w:t>
            </w:r>
          </w:p>
        </w:tc>
        <w:tc>
          <w:tcPr>
            <w:tcW w:w="2255" w:type="dxa"/>
          </w:tcPr>
          <w:p w14:paraId="4F98ED76" w14:textId="24E4EC08" w:rsidR="00602CF9" w:rsidRPr="00A57A7F" w:rsidRDefault="00A57A7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57A7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1764.94</w:t>
            </w:r>
          </w:p>
        </w:tc>
      </w:tr>
    </w:tbl>
    <w:p w14:paraId="0000003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0EAAB" w14:textId="1FC79C1E" w:rsidR="00751CE1" w:rsidRDefault="00751C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47BCF381" wp14:editId="7005B3E3">
            <wp:extent cx="3368040" cy="2339340"/>
            <wp:effectExtent l="0" t="0" r="3810" b="3810"/>
            <wp:docPr id="205150252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12A7B2" w14:textId="77777777" w:rsidR="00B16D18" w:rsidRPr="00B16D18" w:rsidRDefault="00B16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095C6FE" w14:textId="26A48567" w:rsidR="001653D6" w:rsidRP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программы на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="00A57A7F"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w:r w:rsidR="00A57A7F" w:rsidRPr="008A63E6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>×</w:t>
      </w:r>
      <w:r w:rsidR="00A57A7F" w:rsidRPr="008A63E6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>×</w:t>
      </w:r>
      <w:r w:rsidR="00A57A7F" w:rsidRP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>×</w:t>
      </w:r>
      <w:r w:rsidR="00A57A7F" w:rsidRP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A57A7F" w:rsidRP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потоками и программы на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A57A7F"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</w:t>
      </w:r>
    </w:p>
    <w:tbl>
      <w:tblPr>
        <w:tblStyle w:val="a5"/>
        <w:tblW w:w="9124" w:type="dxa"/>
        <w:tblLook w:val="04A0" w:firstRow="1" w:lastRow="0" w:firstColumn="1" w:lastColumn="0" w:noHBand="0" w:noVBand="1"/>
      </w:tblPr>
      <w:tblGrid>
        <w:gridCol w:w="3041"/>
        <w:gridCol w:w="3041"/>
        <w:gridCol w:w="3042"/>
      </w:tblGrid>
      <w:tr w:rsidR="001653D6" w14:paraId="419CF353" w14:textId="77777777" w:rsidTr="001653D6">
        <w:trPr>
          <w:trHeight w:val="281"/>
        </w:trPr>
        <w:tc>
          <w:tcPr>
            <w:tcW w:w="3041" w:type="dxa"/>
          </w:tcPr>
          <w:p w14:paraId="35EC5CB4" w14:textId="1549B8A2" w:rsidR="001653D6" w:rsidRPr="001653D6" w:rsidRDefault="0088443C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653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змер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41" w:type="dxa"/>
          </w:tcPr>
          <w:p w14:paraId="47AD23BB" w14:textId="060D783D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CUDA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3042" w:type="dxa"/>
          </w:tcPr>
          <w:p w14:paraId="58409B91" w14:textId="2BE41516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CPU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1653D6" w14:paraId="5A05AC52" w14:textId="77777777" w:rsidTr="001653D6">
        <w:trPr>
          <w:trHeight w:val="281"/>
        </w:trPr>
        <w:tc>
          <w:tcPr>
            <w:tcW w:w="3041" w:type="dxa"/>
          </w:tcPr>
          <w:p w14:paraId="3D2F9556" w14:textId="44EADDDB" w:rsidR="001653D6" w:rsidRPr="008A63E6" w:rsidRDefault="0088443C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041" w:type="dxa"/>
          </w:tcPr>
          <w:p w14:paraId="6580EA71" w14:textId="3E80E894" w:rsidR="001653D6" w:rsidRPr="00B75ECB" w:rsidRDefault="00A57A7F" w:rsidP="001653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57A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67.7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042" w:type="dxa"/>
          </w:tcPr>
          <w:p w14:paraId="1DAEE7F7" w14:textId="3E4A9EFA" w:rsidR="001653D6" w:rsidRPr="00B25EBA" w:rsidRDefault="00900E10" w:rsidP="001653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900E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4.8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1653D6" w14:paraId="3B22A1C8" w14:textId="77777777" w:rsidTr="001653D6">
        <w:trPr>
          <w:trHeight w:val="268"/>
        </w:trPr>
        <w:tc>
          <w:tcPr>
            <w:tcW w:w="3041" w:type="dxa"/>
          </w:tcPr>
          <w:p w14:paraId="26B0AB78" w14:textId="5B73A65B" w:rsidR="001653D6" w:rsidRPr="00A57A7F" w:rsidRDefault="00A57A7F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5 * </w:t>
            </w:r>
            <w:r w:rsidR="0088443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041" w:type="dxa"/>
          </w:tcPr>
          <w:p w14:paraId="62AEE0BA" w14:textId="48BD6327" w:rsidR="001653D6" w:rsidRPr="001653D6" w:rsidRDefault="00A57A7F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57A7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303.4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042" w:type="dxa"/>
          </w:tcPr>
          <w:p w14:paraId="69F01A02" w14:textId="037C21DD" w:rsidR="001653D6" w:rsidRPr="00B25EBA" w:rsidRDefault="00900E10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900E1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855.08</w:t>
            </w:r>
          </w:p>
        </w:tc>
      </w:tr>
      <w:tr w:rsidR="001653D6" w14:paraId="74DCAE89" w14:textId="77777777" w:rsidTr="001653D6">
        <w:trPr>
          <w:trHeight w:val="195"/>
        </w:trPr>
        <w:tc>
          <w:tcPr>
            <w:tcW w:w="3041" w:type="dxa"/>
          </w:tcPr>
          <w:p w14:paraId="3AA55471" w14:textId="2B2BBF9D" w:rsidR="001653D6" w:rsidRPr="00A57A7F" w:rsidRDefault="0088443C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</w:t>
            </w:r>
            <w:r w:rsidR="00A57A7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041" w:type="dxa"/>
          </w:tcPr>
          <w:p w14:paraId="73A54445" w14:textId="73A5E0C6" w:rsidR="001653D6" w:rsidRPr="001653D6" w:rsidRDefault="00A57A7F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57A7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1480.4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3042" w:type="dxa"/>
          </w:tcPr>
          <w:p w14:paraId="26390760" w14:textId="034AE211" w:rsidR="001653D6" w:rsidRPr="001653D6" w:rsidRDefault="00900E10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900E1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12252.8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</w:tr>
    </w:tbl>
    <w:p w14:paraId="39BDB70B" w14:textId="77777777" w:rsid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5DB2CF" w14:textId="518E59D4" w:rsid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D18FCFF" wp14:editId="2E20545B">
            <wp:extent cx="5486400" cy="3200400"/>
            <wp:effectExtent l="0" t="0" r="0" b="0"/>
            <wp:docPr id="90637895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D5E00E" w14:textId="77777777" w:rsidR="00900E10" w:rsidRDefault="00900E10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FCC9C1A" w14:textId="7174B2ED" w:rsidR="00900E10" w:rsidRDefault="00900E10" w:rsidP="00900E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00E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Результаты исследования производительности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proofErr w:type="spellEnd"/>
      <w:r w:rsidRPr="00900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потоков </w:t>
      </w:r>
      <w:r w:rsidRPr="008A63E6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×</w:t>
      </w:r>
      <w:r w:rsidRPr="008A63E6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×</w:t>
      </w:r>
      <w:r w:rsidRP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×</w:t>
      </w:r>
      <w:r w:rsidRP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7C7D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7C7D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10^3</w:t>
      </w:r>
    </w:p>
    <w:p w14:paraId="5F4CB8EE" w14:textId="77777777" w:rsidR="007C7DC4" w:rsidRPr="007C7DC4" w:rsidRDefault="007C7DC4" w:rsidP="00900E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8D716E6" w14:textId="6AA45F93" w:rsidR="007C7DC4" w:rsidRDefault="007C7DC4" w:rsidP="00900E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EF379BF" wp14:editId="6D164CB3">
            <wp:extent cx="5733415" cy="3607435"/>
            <wp:effectExtent l="0" t="0" r="635" b="0"/>
            <wp:docPr id="13181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8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1A26" w14:textId="77777777" w:rsidR="007C7DC4" w:rsidRDefault="007C7DC4" w:rsidP="00900E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C77ED05" w14:textId="151F84FC" w:rsidR="00900E10" w:rsidRPr="007C7DC4" w:rsidRDefault="007C7DC4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Ядро </w:t>
      </w:r>
      <w:proofErr w:type="spellStart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</w:t>
      </w:r>
      <w:proofErr w:type="spellEnd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занимает 45.71% общего времени на GPU с временем выполнения 94.441 мс на 999 вызовов. Это основная операция, требующая оптимизации, так как оно выполняет большинство вычислений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Ядро </w:t>
      </w:r>
      <w:proofErr w:type="spellStart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занимает 36.33% времени (выполнение в течение 75.051 мс на 999 вызовов)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Ядро </w:t>
      </w:r>
      <w:proofErr w:type="spellStart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swap</w:t>
      </w:r>
      <w:proofErr w:type="spellEnd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выполняющее 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перестановки строк для улучшения точности, занимает 6.80% времени (около 14.041 мс на 994 вызова), что также является значительным расходом времени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Ядро </w:t>
      </w:r>
      <w:proofErr w:type="spellStart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norm</w:t>
      </w:r>
      <w:proofErr w:type="spellEnd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занимает 0.09% (всего 185.53 мкс за один вызов), что указывает на его небольшое влияние на общую производительность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 профилировании видно, что значительное время (около 4.39% и другие мелкие значения) затрачено на вызовы </w:t>
      </w:r>
      <w:proofErr w:type="spellStart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thrust</w:t>
      </w:r>
      <w:proofErr w:type="spellEnd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(например, </w:t>
      </w:r>
      <w:proofErr w:type="spellStart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ReduceAgent</w:t>
      </w:r>
      <w:proofErr w:type="spellEnd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), которые используются для поиска максимальных значений в столбцах матрицы при выборе ведущего элемента.</w:t>
      </w:r>
    </w:p>
    <w:p w14:paraId="22A9266D" w14:textId="77777777" w:rsidR="007C7DC4" w:rsidRDefault="007C7DC4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10348F" w14:textId="5919DA22" w:rsidR="007C7DC4" w:rsidRDefault="007C7DC4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Используем ключ 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--</w:t>
      </w:r>
      <w:proofErr w:type="spellStart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print-gpu-trace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ч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тобы получить подробные данные по каждому ядру и узнать, какое ядро занимает больше всего времени, можно использовать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10^2).</w:t>
      </w:r>
    </w:p>
    <w:p w14:paraId="77C70845" w14:textId="77777777" w:rsidR="007C7DC4" w:rsidRPr="007C7DC4" w:rsidRDefault="007C7DC4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CC03217" w14:textId="34626CCB" w:rsidR="007C7DC4" w:rsidRDefault="007C7DC4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C7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3EF47572" wp14:editId="1704FB0B">
            <wp:extent cx="5733415" cy="3057525"/>
            <wp:effectExtent l="0" t="0" r="635" b="9525"/>
            <wp:docPr id="1008308343" name="Рисунок 1" descr="Изображение выглядит как текст, меню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08343" name="Рисунок 1" descr="Изображение выглядит как текст, меню, число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B2B" w14:textId="77777777" w:rsidR="007C7DC4" w:rsidRDefault="007C7DC4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D733BE" w14:textId="59C1C29C" w:rsidR="007C7DC4" w:rsidRPr="00905115" w:rsidRDefault="007C7DC4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Видно, что операции передачи данных между CPU и GPU имеют высокий пропускной поток (до 8.3761 GB/s) и занимают 78.125 KB для обоих направлений (</w:t>
      </w:r>
      <w:proofErr w:type="spellStart"/>
      <w:r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Pageable</w:t>
      </w:r>
      <w:proofErr w:type="spellEnd"/>
      <w:r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Device и Device </w:t>
      </w:r>
      <w:proofErr w:type="spellStart"/>
      <w:r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Pageable</w:t>
      </w:r>
      <w:proofErr w:type="spellEnd"/>
      <w:r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  <w:r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05115"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Операции CUDA выполняются в различных конфигурациях сетки и блоков. Основные параметры конфигурации сетки (1 1 1) с размером блока (256 1 1) и (16 16 1).</w:t>
      </w:r>
      <w:r w:rsidR="00905115"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05115"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Конфигурация сетки (256 1 1) позволяет использовать большое количество потоков в блоке для параллельных вычислений</w:t>
      </w:r>
      <w:r w:rsidR="00905115"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905115"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Конфигурация (16 16 1) может быть использована для задач, где требуется двумерная структура, что может подходить для операций над матрицами</w:t>
      </w:r>
      <w:r w:rsidR="00905115"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905115" w:rsidRPr="009051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Количество регистров на поток варьируется от 16 до 54, что показывает оптимальное использование регистров CUDA.</w:t>
      </w:r>
    </w:p>
    <w:p w14:paraId="213AE1D9" w14:textId="77777777" w:rsidR="00751CE1" w:rsidRPr="007C7DC4" w:rsidRDefault="00751CE1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77777777" w:rsidR="00660ADE" w:rsidRPr="00BB7B05" w:rsidRDefault="00000000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75244162" w:rsidR="00660ADE" w:rsidRPr="00AB7F39" w:rsidRDefault="0088443C" w:rsidP="0088443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еализован метод Гаусса с выбором главного элемента по столбцу на GPU с использованием объединения запросов к глобальной памяти. Для выполнения расчетов применена библиотека </w:t>
      </w:r>
      <w:proofErr w:type="spellStart"/>
      <w:r w:rsidRP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t>Thrust</w:t>
      </w:r>
      <w:proofErr w:type="spellEnd"/>
      <w:r w:rsidRP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позволяющая эффективно находить максимальные </w:t>
      </w:r>
      <w:r w:rsidRP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элементы в столбцах. Для параллельной обработки использована двухмерная сетка потоков, обеспечивающая распределение вычислений между потоками CUDA. Производительность программы исследована с помощью утилиты </w:t>
      </w:r>
      <w:proofErr w:type="spellStart"/>
      <w:r w:rsidRP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t>nvprof</w:t>
      </w:r>
      <w:proofErr w:type="spellEnd"/>
      <w:r w:rsidRP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позволило оценить эффективность реализации, выявить возможные узкие места и подтвердить прирост производительности относительно последовательного метода.</w:t>
      </w:r>
    </w:p>
    <w:sectPr w:rsidR="00660ADE" w:rsidRPr="00AB7F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9AC1E" w14:textId="77777777" w:rsidR="00C571F3" w:rsidRDefault="00C571F3" w:rsidP="001653D6">
      <w:pPr>
        <w:spacing w:line="240" w:lineRule="auto"/>
      </w:pPr>
      <w:r>
        <w:separator/>
      </w:r>
    </w:p>
  </w:endnote>
  <w:endnote w:type="continuationSeparator" w:id="0">
    <w:p w14:paraId="03CB9312" w14:textId="77777777" w:rsidR="00C571F3" w:rsidRDefault="00C571F3" w:rsidP="00165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C44C5" w14:textId="77777777" w:rsidR="00C571F3" w:rsidRDefault="00C571F3" w:rsidP="001653D6">
      <w:pPr>
        <w:spacing w:line="240" w:lineRule="auto"/>
      </w:pPr>
      <w:r>
        <w:separator/>
      </w:r>
    </w:p>
  </w:footnote>
  <w:footnote w:type="continuationSeparator" w:id="0">
    <w:p w14:paraId="72AAC49F" w14:textId="77777777" w:rsidR="00C571F3" w:rsidRDefault="00C571F3" w:rsidP="001653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C7184"/>
    <w:multiLevelType w:val="multilevel"/>
    <w:tmpl w:val="6BF89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800875"/>
    <w:multiLevelType w:val="multilevel"/>
    <w:tmpl w:val="5F70C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65455">
    <w:abstractNumId w:val="0"/>
  </w:num>
  <w:num w:numId="2" w16cid:durableId="1858691759">
    <w:abstractNumId w:val="1"/>
  </w:num>
  <w:num w:numId="3" w16cid:durableId="4075344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DE"/>
    <w:rsid w:val="00011E55"/>
    <w:rsid w:val="000528D5"/>
    <w:rsid w:val="00052B38"/>
    <w:rsid w:val="001604FD"/>
    <w:rsid w:val="001639B4"/>
    <w:rsid w:val="001653D6"/>
    <w:rsid w:val="001E1759"/>
    <w:rsid w:val="002A7C35"/>
    <w:rsid w:val="004D7773"/>
    <w:rsid w:val="00522BA0"/>
    <w:rsid w:val="00550E63"/>
    <w:rsid w:val="0056682D"/>
    <w:rsid w:val="005B29DD"/>
    <w:rsid w:val="00602CF9"/>
    <w:rsid w:val="00660ADE"/>
    <w:rsid w:val="0074305B"/>
    <w:rsid w:val="00751CE1"/>
    <w:rsid w:val="00767C94"/>
    <w:rsid w:val="007B58C7"/>
    <w:rsid w:val="007C7DC4"/>
    <w:rsid w:val="008039E9"/>
    <w:rsid w:val="00826BF3"/>
    <w:rsid w:val="0088443C"/>
    <w:rsid w:val="008A63E6"/>
    <w:rsid w:val="008F19C7"/>
    <w:rsid w:val="00900E10"/>
    <w:rsid w:val="00905115"/>
    <w:rsid w:val="0093393D"/>
    <w:rsid w:val="00A57A7F"/>
    <w:rsid w:val="00A836C5"/>
    <w:rsid w:val="00AB7F39"/>
    <w:rsid w:val="00B16D18"/>
    <w:rsid w:val="00B25EBA"/>
    <w:rsid w:val="00B46768"/>
    <w:rsid w:val="00B67339"/>
    <w:rsid w:val="00B75ECB"/>
    <w:rsid w:val="00B950D2"/>
    <w:rsid w:val="00BB7B05"/>
    <w:rsid w:val="00C219A2"/>
    <w:rsid w:val="00C44AA3"/>
    <w:rsid w:val="00C571F3"/>
    <w:rsid w:val="00C91DEF"/>
    <w:rsid w:val="00D01CF2"/>
    <w:rsid w:val="00D0733B"/>
    <w:rsid w:val="00D70D89"/>
    <w:rsid w:val="00D803E2"/>
    <w:rsid w:val="00DA0001"/>
    <w:rsid w:val="00E442C5"/>
    <w:rsid w:val="00E64261"/>
    <w:rsid w:val="00EF1F3B"/>
    <w:rsid w:val="00F21C49"/>
    <w:rsid w:val="00F71FC4"/>
    <w:rsid w:val="00F7244F"/>
    <w:rsid w:val="00F9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E09D"/>
  <w15:docId w15:val="{28763F27-BCC3-4AE8-A4EF-9A6ECBBF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E10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3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4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602C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53D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53D6"/>
  </w:style>
  <w:style w:type="paragraph" w:styleId="a9">
    <w:name w:val="footer"/>
    <w:basedOn w:val="a"/>
    <w:link w:val="aa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10^2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2×2×2×2</c:v>
                </c:pt>
                <c:pt idx="1">
                  <c:v>8×8×8×8</c:v>
                </c:pt>
                <c:pt idx="2">
                  <c:v>16×16×16×16</c:v>
                </c:pt>
                <c:pt idx="3">
                  <c:v>16×16×32×32</c:v>
                </c:pt>
                <c:pt idx="4">
                  <c:v>32×32×32×32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75.38</c:v>
                </c:pt>
                <c:pt idx="1">
                  <c:v>52.46</c:v>
                </c:pt>
                <c:pt idx="2">
                  <c:v>48.44</c:v>
                </c:pt>
                <c:pt idx="3">
                  <c:v>70.34</c:v>
                </c:pt>
                <c:pt idx="4">
                  <c:v>60.19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32-4D0E-8534-2C19BA86B7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5 * 10^2 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2×2×2×2</c:v>
                </c:pt>
                <c:pt idx="1">
                  <c:v>8×8×8×8</c:v>
                </c:pt>
                <c:pt idx="2">
                  <c:v>16×16×16×16</c:v>
                </c:pt>
                <c:pt idx="3">
                  <c:v>16×16×32×32</c:v>
                </c:pt>
                <c:pt idx="4">
                  <c:v>32×32×32×32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3236.38</c:v>
                </c:pt>
                <c:pt idx="1">
                  <c:v>287.87</c:v>
                </c:pt>
                <c:pt idx="2">
                  <c:v>267.33999999999997</c:v>
                </c:pt>
                <c:pt idx="3">
                  <c:v>299.61</c:v>
                </c:pt>
                <c:pt idx="4">
                  <c:v>316.79000000000002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32-4D0E-8534-2C19BA86B7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 = 10^3  (мс)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2×2×2×2</c:v>
                </c:pt>
                <c:pt idx="1">
                  <c:v>8×8×8×8</c:v>
                </c:pt>
                <c:pt idx="2">
                  <c:v>16×16×16×16</c:v>
                </c:pt>
                <c:pt idx="3">
                  <c:v>16×16×32×32</c:v>
                </c:pt>
                <c:pt idx="4">
                  <c:v>32×32×32×32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32904.550000000003</c:v>
                </c:pt>
                <c:pt idx="1">
                  <c:v>1869.75</c:v>
                </c:pt>
                <c:pt idx="2">
                  <c:v>1726.63</c:v>
                </c:pt>
                <c:pt idx="3">
                  <c:v>1637.62</c:v>
                </c:pt>
                <c:pt idx="4">
                  <c:v>1764.94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32-4D0E-8534-2C19BA86B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0031951"/>
        <c:axId val="230028591"/>
      </c:lineChart>
      <c:catAx>
        <c:axId val="23003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28591"/>
        <c:crosses val="autoZero"/>
        <c:auto val="1"/>
        <c:lblAlgn val="ctr"/>
        <c:lblOffset val="100"/>
        <c:noMultiLvlLbl val="0"/>
      </c:catAx>
      <c:valAx>
        <c:axId val="23002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3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10^2</c:v>
                </c:pt>
                <c:pt idx="1">
                  <c:v>5 * 10^2</c:v>
                </c:pt>
                <c:pt idx="2">
                  <c:v>10^3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67.75</c:v>
                </c:pt>
                <c:pt idx="1">
                  <c:v>303.45999999999998</c:v>
                </c:pt>
                <c:pt idx="2">
                  <c:v>1480.49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10-4744-9E49-42F244F76C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10^2</c:v>
                </c:pt>
                <c:pt idx="1">
                  <c:v>5 * 10^2</c:v>
                </c:pt>
                <c:pt idx="2">
                  <c:v>10^3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4.8899999999999997</c:v>
                </c:pt>
                <c:pt idx="1">
                  <c:v>855.08</c:v>
                </c:pt>
                <c:pt idx="2" formatCode="d\-mmm">
                  <c:v>12252.88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10-4744-9E49-42F244F76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28463"/>
        <c:axId val="37628943"/>
      </c:lineChart>
      <c:catAx>
        <c:axId val="3762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943"/>
        <c:crosses val="autoZero"/>
        <c:auto val="1"/>
        <c:lblAlgn val="ctr"/>
        <c:lblOffset val="100"/>
        <c:noMultiLvlLbl val="0"/>
      </c:catAx>
      <c:valAx>
        <c:axId val="3762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HkZ/EjarRLUPAgCs4k/jQWjQQ==">CgMxLjA4AHIhMUpWSENmQjdkVzlfbEpCUWZyeWp0TllpMl8wZ2kyLWlE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6CBEF9-42A1-4579-8D8F-34B95B5F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Никита Лохматов</cp:lastModifiedBy>
  <cp:revision>16</cp:revision>
  <cp:lastPrinted>2024-10-06T00:10:00Z</cp:lastPrinted>
  <dcterms:created xsi:type="dcterms:W3CDTF">2019-09-08T19:29:00Z</dcterms:created>
  <dcterms:modified xsi:type="dcterms:W3CDTF">2024-11-11T21:36:00Z</dcterms:modified>
</cp:coreProperties>
</file>