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32ng2u2m5hhc" w:id="0"/>
      <w:bookmarkEnd w:id="0"/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0qbdni23k2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استقرار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صورت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محلی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Premise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ikiq9ratk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تعریف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cjobnvi31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مثال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ریسک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z26l9rmmx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مزایا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کنترل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کامل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امنیت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بیشتر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سفارشی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سازی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xtb7ebiw6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معایب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هزینه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نیاز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متخصص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محدودیت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مقیاس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پذیری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v8g01c7mj9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استقرار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ابری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  <w:tab/>
        <w:tab/>
        <w:tab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gkludcu6u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تعریف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rlwb3nn9o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مثال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استارتاپ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پزشکی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g9msfmxbh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مزایا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مقیاس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پذیری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دینامیک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هزینه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کمتر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سهولت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مدیریت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lv1b6d2wn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معایب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وابستگی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اینترنت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مشکلات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امنیتی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احتمالی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هزینه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متغیر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ناگهانی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pydmuglzt8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استقرار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سرویس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مایکروسرویس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Microservices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u5z4y777g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تعریف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مایکروسرویس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مایکروسرویس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0krpld5c0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مثال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مایکروسرویس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1svxoa43vw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مزایا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مقیاس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پذیری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مایکروسرویس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انعطاف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پذیری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مستقل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بودن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bp5fapqao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معایب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پیچیدگی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مدیریت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مایکروسرویس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نیاز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زیرساخت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پیچیده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ارتباطات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پیچیده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مایکروسرویس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d5h6rj3vtn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استقرار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کانتینرها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Containers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85vlfvsv8ju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تعریف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کانتینر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کانتینرها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sgggmcwg5t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مثال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کانتینرها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8a70pvg43f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مزایا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مقیاس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پذیری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قابلیت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آسان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کانتینرها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پشتیبانی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محیط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مختلف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b21x7bf3u6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معایب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نیاز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دانش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فنی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کانتینرها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کانتینرها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پیچیدگی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پیکربندی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کانتینرها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کوبرنتیس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نیاز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اضافی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کانتینرها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ixgokm8gxh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استقرار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لبه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Edge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1psnxfxikk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تعریف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سنسورها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pf2fahmm78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مثال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qts4prsq7f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مزایا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پردازش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آنی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کاهش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تأخیر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کاهش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سرورها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mgfa6lw00c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معایب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محدودیت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منابع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نیاز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مدیریت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دستگاه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امنیت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دستگاه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s86hbw691d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استقرار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کمک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سرویس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مدل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آماده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sibdxgnq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تعریف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SageMaker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od48gxuk0p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مثال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SageMaker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4c0zhuf9vs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مزایا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مدیریت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آسان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زمان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استقرار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کوتاه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تر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مقیاس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پذیری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خودکار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2dj1fvg5ud3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معایب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هزینه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محدودیت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پلتفرم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وابستگی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پلتفرم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0wkcc30hyb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7.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استقرار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FastAPI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w7nbmswjbc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تعریف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5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FastAPI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RESTful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234rmqiuijy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مثال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بازگرداند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ogczqb2sa1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مزایا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سرعت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FastAPI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آسان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استفاده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مقیاس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پذیری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av8u9js2t0u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معایب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نیاز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پیکربندی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بیشتر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محدودیت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امکانات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پیشرفته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FastAPI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430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4440"/>
        <w:gridCol w:w="1305"/>
        <w:tblGridChange w:id="0">
          <w:tblGrid>
            <w:gridCol w:w="2685"/>
            <w:gridCol w:w="4440"/>
            <w:gridCol w:w="130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hd w:fill="cccccc" w:val="clear"/>
              </w:rPr>
            </w:pPr>
            <w:r w:rsidDel="00000000" w:rsidR="00000000" w:rsidRPr="00000000">
              <w:rPr>
                <w:b w:val="1"/>
                <w:i w:val="1"/>
                <w:shd w:fill="cccccc" w:val="clear"/>
                <w:rtl w:val="1"/>
              </w:rPr>
              <w:t xml:space="preserve">سرویس</w:t>
            </w:r>
            <w:r w:rsidDel="00000000" w:rsidR="00000000" w:rsidRPr="00000000">
              <w:rPr>
                <w:b w:val="1"/>
                <w:i w:val="1"/>
                <w:shd w:fill="cccccc" w:val="clear"/>
                <w:rtl w:val="1"/>
              </w:rPr>
              <w:t xml:space="preserve">‌</w:t>
            </w:r>
            <w:r w:rsidDel="00000000" w:rsidR="00000000" w:rsidRPr="00000000">
              <w:rPr>
                <w:b w:val="1"/>
                <w:i w:val="1"/>
                <w:shd w:fill="cccccc" w:val="clear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i w:val="1"/>
                <w:shd w:fill="cccccc" w:val="clear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hd w:fill="cccccc" w:val="clear"/>
                <w:rtl w:val="1"/>
              </w:rPr>
              <w:t xml:space="preserve">مدل</w:t>
            </w:r>
            <w:r w:rsidDel="00000000" w:rsidR="00000000" w:rsidRPr="00000000">
              <w:rPr>
                <w:b w:val="1"/>
                <w:i w:val="1"/>
                <w:shd w:fill="cccccc" w:val="clear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hd w:fill="cccccc" w:val="clear"/>
                <w:rtl w:val="1"/>
              </w:rPr>
              <w:t xml:space="preserve">آماده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jc w:val="center"/>
              <w:rPr>
                <w:i w:val="1"/>
                <w:shd w:fill="cccccc" w:val="clear"/>
              </w:rPr>
            </w:pPr>
            <w:r w:rsidDel="00000000" w:rsidR="00000000" w:rsidRPr="00000000">
              <w:rPr>
                <w:b w:val="1"/>
                <w:i w:val="1"/>
                <w:shd w:fill="cccccc" w:val="clear"/>
                <w:rtl w:val="1"/>
              </w:rPr>
              <w:t xml:space="preserve">استقرار</w:t>
            </w:r>
            <w:r w:rsidDel="00000000" w:rsidR="00000000" w:rsidRPr="00000000">
              <w:rPr>
                <w:b w:val="1"/>
                <w:i w:val="1"/>
                <w:shd w:fill="cccccc" w:val="clear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hd w:fill="cccccc" w:val="clear"/>
                <w:rtl w:val="1"/>
              </w:rPr>
              <w:t xml:space="preserve">ابری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ویژگی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مدیریت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منابع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پیکربندی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توسط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سرویس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نیاز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مدیریت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منابع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پیکربندی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توسط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مدیریت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منابع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محدود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ویژگی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سرویس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انعطاف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پذیرتر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انتخاب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منابع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تنظیمات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انعطاف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پذیری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مقیاس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پذیری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خودکار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اساس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استفاده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سرویس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مقیاس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پذیری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بالاتر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نیاز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تنظیمات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بیشتر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مقیاس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پذیری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ساده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تر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بیشتر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صورت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خودکار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مدیریت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شود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پیچیدگی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پیکربندی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مدیریت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منابع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پیچیدگی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متغیر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بسته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سرویس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استفاده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قابلیت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ها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وابسته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منابع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مصرفی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مدیریت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آن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ها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هزینه</w:t>
            </w:r>
          </w:p>
        </w:tc>
      </w:tr>
    </w:tbl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