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Assessment of Machine Learning Algorithms for Wind Power Forecasting and Site Transferability</w:t>
      </w:r>
    </w:p>
    <w:p>
      <w:pPr>
        <w:pStyle w:val="Heading1"/>
      </w:pPr>
      <w:r>
        <w:t>1. Introduction</w:t>
      </w:r>
    </w:p>
    <w:p>
      <w:r>
        <w:t>Wind energy is one of the fastest-growing renewable sources, yet its intermittent nature poses significant challenges for grid stability. Accurate forecasting is essential for integrating wind power into national grids. This study adopts and extends the methodological framework proposed by Demolli et al. (2019) to forecast long-term wind power generation. While the original study focused on locations in Turkey, this research applies the methodology to a new geographical context (Chicago and Detroit, USA) to test the generalizability of machine learning models.</w:t>
      </w:r>
    </w:p>
    <w:p>
      <w:pPr>
        <w:pStyle w:val="Heading1"/>
      </w:pPr>
      <w:r>
        <w:t>2. Methodology</w:t>
      </w:r>
    </w:p>
    <w:p>
      <w:r>
        <w:t>The study utilizes five years of hourly meteorological data (2012-2017) from Chicago as the primary training site. Wind speed was extrapolated from 10m to a hub height of 50m using the Power Law (Hellman exponent alpha=0.14). The target variable (Power Output) was synthesized using a physics-based cubic power curve for a 1 MW turbine (Cut-in: 3 m/s, Rated: 15 m/s).</w:t>
      </w:r>
    </w:p>
    <w:p>
      <w:r>
        <w:t>Six algorithms were evaluated: LASSO, k-Nearest Neighbors (kNN), Random Forest (RF), XGBoost, Support Vector Regression (SVR), and LightGBM. Performance was assessed using R-squared (R2), Root Mean Squared Error (RMSE), and Mean Absolute Error (MAE).</w:t>
      </w:r>
    </w:p>
    <w:p>
      <w:pPr>
        <w:pStyle w:val="Heading1"/>
      </w:pPr>
      <w:r>
        <w:t>3. Results and Discussion</w:t>
      </w:r>
    </w:p>
    <w:p>
      <w:pPr>
        <w:pStyle w:val="Heading2"/>
      </w:pPr>
      <w:r>
        <w:t>3.1 Case 1: Base Location Performance (Chicago)</w:t>
      </w:r>
    </w:p>
    <w:p>
      <w:r>
        <w:t>In the first case, models were trained and tested on Chicago data using both 'Mean Wind Speed' and 'Standard Deviation' as inputs. This replicates the primary scenario of the original paper.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Algorithm</w:t>
            </w:r>
          </w:p>
        </w:tc>
        <w:tc>
          <w:tcPr>
            <w:tcW w:type="dxa" w:w="2160"/>
          </w:tcPr>
          <w:p>
            <w:r>
              <w:t>R2</w:t>
            </w:r>
          </w:p>
        </w:tc>
        <w:tc>
          <w:tcPr>
            <w:tcW w:type="dxa" w:w="2160"/>
          </w:tcPr>
          <w:p>
            <w:r>
              <w:t>RMSE (kW)</w:t>
            </w:r>
          </w:p>
        </w:tc>
        <w:tc>
          <w:tcPr>
            <w:tcW w:type="dxa" w:w="2160"/>
          </w:tcPr>
          <w:p>
            <w:r>
              <w:t>MAE (kW)</w:t>
            </w:r>
          </w:p>
        </w:tc>
      </w:tr>
      <w:tr>
        <w:tc>
          <w:tcPr>
            <w:tcW w:type="dxa" w:w="2160"/>
          </w:tcPr>
          <w:p>
            <w:r>
              <w:t>LASSO</w:t>
            </w:r>
          </w:p>
        </w:tc>
        <w:tc>
          <w:tcPr>
            <w:tcW w:type="dxa" w:w="2160"/>
          </w:tcPr>
          <w:p>
            <w:r>
              <w:t>0.869</w:t>
            </w:r>
          </w:p>
        </w:tc>
        <w:tc>
          <w:tcPr>
            <w:tcW w:type="dxa" w:w="2160"/>
          </w:tcPr>
          <w:p>
            <w:r>
              <w:t>697.35</w:t>
            </w:r>
          </w:p>
        </w:tc>
        <w:tc>
          <w:tcPr>
            <w:tcW w:type="dxa" w:w="2160"/>
          </w:tcPr>
          <w:p>
            <w:r>
              <w:t>469.80</w:t>
            </w:r>
          </w:p>
        </w:tc>
      </w:tr>
      <w:tr>
        <w:tc>
          <w:tcPr>
            <w:tcW w:type="dxa" w:w="2160"/>
          </w:tcPr>
          <w:p>
            <w:r>
              <w:t>kNN</w:t>
            </w:r>
          </w:p>
        </w:tc>
        <w:tc>
          <w:tcPr>
            <w:tcW w:type="dxa" w:w="2160"/>
          </w:tcPr>
          <w:p>
            <w:r>
              <w:t>0.987</w:t>
            </w:r>
          </w:p>
        </w:tc>
        <w:tc>
          <w:tcPr>
            <w:tcW w:type="dxa" w:w="2160"/>
          </w:tcPr>
          <w:p>
            <w:r>
              <w:t>217.87</w:t>
            </w:r>
          </w:p>
        </w:tc>
        <w:tc>
          <w:tcPr>
            <w:tcW w:type="dxa" w:w="2160"/>
          </w:tcPr>
          <w:p>
            <w:r>
              <w:t>86.07</w:t>
            </w:r>
          </w:p>
        </w:tc>
      </w:tr>
      <w:tr>
        <w:tc>
          <w:tcPr>
            <w:tcW w:type="dxa" w:w="2160"/>
          </w:tcPr>
          <w:p>
            <w:r>
              <w:t>XGBoost</w:t>
            </w:r>
          </w:p>
        </w:tc>
        <w:tc>
          <w:tcPr>
            <w:tcW w:type="dxa" w:w="2160"/>
          </w:tcPr>
          <w:p>
            <w:r>
              <w:t>0.995</w:t>
            </w:r>
          </w:p>
        </w:tc>
        <w:tc>
          <w:tcPr>
            <w:tcW w:type="dxa" w:w="2160"/>
          </w:tcPr>
          <w:p>
            <w:r>
              <w:t>135.60</w:t>
            </w:r>
          </w:p>
        </w:tc>
        <w:tc>
          <w:tcPr>
            <w:tcW w:type="dxa" w:w="2160"/>
          </w:tcPr>
          <w:p>
            <w:r>
              <w:t>57.56</w:t>
            </w:r>
          </w:p>
        </w:tc>
      </w:tr>
      <w:tr>
        <w:tc>
          <w:tcPr>
            <w:tcW w:type="dxa" w:w="2160"/>
          </w:tcPr>
          <w:p>
            <w:r>
              <w:t>Random Forest</w:t>
            </w:r>
          </w:p>
        </w:tc>
        <w:tc>
          <w:tcPr>
            <w:tcW w:type="dxa" w:w="2160"/>
          </w:tcPr>
          <w:p>
            <w:r>
              <w:t>0.994</w:t>
            </w:r>
          </w:p>
        </w:tc>
        <w:tc>
          <w:tcPr>
            <w:tcW w:type="dxa" w:w="2160"/>
          </w:tcPr>
          <w:p>
            <w:r>
              <w:t>146.86</w:t>
            </w:r>
          </w:p>
        </w:tc>
        <w:tc>
          <w:tcPr>
            <w:tcW w:type="dxa" w:w="2160"/>
          </w:tcPr>
          <w:p>
            <w:r>
              <w:t>67.37</w:t>
            </w:r>
          </w:p>
        </w:tc>
      </w:tr>
      <w:tr>
        <w:tc>
          <w:tcPr>
            <w:tcW w:type="dxa" w:w="2160"/>
          </w:tcPr>
          <w:p>
            <w:r>
              <w:t>SVR</w:t>
            </w:r>
          </w:p>
        </w:tc>
        <w:tc>
          <w:tcPr>
            <w:tcW w:type="dxa" w:w="2160"/>
          </w:tcPr>
          <w:p>
            <w:r>
              <w:t>0.997</w:t>
            </w:r>
          </w:p>
        </w:tc>
        <w:tc>
          <w:tcPr>
            <w:tcW w:type="dxa" w:w="2160"/>
          </w:tcPr>
          <w:p>
            <w:r>
              <w:t>108.65</w:t>
            </w:r>
          </w:p>
        </w:tc>
        <w:tc>
          <w:tcPr>
            <w:tcW w:type="dxa" w:w="2160"/>
          </w:tcPr>
          <w:p>
            <w:r>
              <w:t>36.03</w:t>
            </w:r>
          </w:p>
        </w:tc>
      </w:tr>
      <w:tr>
        <w:tc>
          <w:tcPr>
            <w:tcW w:type="dxa" w:w="2160"/>
          </w:tcPr>
          <w:p>
            <w:r>
              <w:t>LightGBM</w:t>
            </w:r>
          </w:p>
        </w:tc>
        <w:tc>
          <w:tcPr>
            <w:tcW w:type="dxa" w:w="2160"/>
          </w:tcPr>
          <w:p>
            <w:r>
              <w:t>0.995</w:t>
            </w:r>
          </w:p>
        </w:tc>
        <w:tc>
          <w:tcPr>
            <w:tcW w:type="dxa" w:w="2160"/>
          </w:tcPr>
          <w:p>
            <w:r>
              <w:t>137.49</w:t>
            </w:r>
          </w:p>
        </w:tc>
        <w:tc>
          <w:tcPr>
            <w:tcW w:type="dxa" w:w="2160"/>
          </w:tcPr>
          <w:p>
            <w:r>
              <w:t>53.69</w:t>
            </w:r>
          </w:p>
        </w:tc>
      </w:tr>
    </w:tbl>
    <w:p>
      <w:r>
        <w:br/>
        <w:t>As shown in Table 1, SVR and XGBoost achieved near-perfect accuracy (R2 &gt; 0.99). This confirms that with full information (Mean + Std Dev), machine learning models can perfectly map the wind characteristics to the theoretical power curve.</w:t>
      </w:r>
    </w:p>
    <w:p>
      <w:r>
        <w:t>[INSERT FIGURE 11 HERE: Time Series of SVR Forecast vs Real Power]</w:t>
      </w:r>
    </w:p>
    <w:p>
      <w:pPr>
        <w:pStyle w:val="Heading2"/>
      </w:pPr>
      <w:r>
        <w:t>3.2 Case 2: Impact of Turbulence (Mean Speed Only)</w:t>
      </w:r>
    </w:p>
    <w:p>
      <w:r>
        <w:t>In Case 2, the 'Standard Deviation' feature was removed to test model performance using only daily mean wind speed. Contrary to the original paper, our results show a distinct drop in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Algorithm</w:t>
            </w:r>
          </w:p>
        </w:tc>
        <w:tc>
          <w:tcPr>
            <w:tcW w:type="dxa" w:w="2160"/>
          </w:tcPr>
          <w:p>
            <w:r>
              <w:t>R2</w:t>
            </w:r>
          </w:p>
        </w:tc>
        <w:tc>
          <w:tcPr>
            <w:tcW w:type="dxa" w:w="2160"/>
          </w:tcPr>
          <w:p>
            <w:r>
              <w:t>RMSE (kW)</w:t>
            </w:r>
          </w:p>
        </w:tc>
        <w:tc>
          <w:tcPr>
            <w:tcW w:type="dxa" w:w="2160"/>
          </w:tcPr>
          <w:p>
            <w:r>
              <w:t>MAE (kW)</w:t>
            </w:r>
          </w:p>
        </w:tc>
      </w:tr>
      <w:tr>
        <w:tc>
          <w:tcPr>
            <w:tcW w:type="dxa" w:w="2160"/>
          </w:tcPr>
          <w:p>
            <w:r>
              <w:t>LASSO</w:t>
            </w:r>
          </w:p>
        </w:tc>
        <w:tc>
          <w:tcPr>
            <w:tcW w:type="dxa" w:w="2160"/>
          </w:tcPr>
          <w:p>
            <w:r>
              <w:t>0.846</w:t>
            </w:r>
          </w:p>
        </w:tc>
        <w:tc>
          <w:tcPr>
            <w:tcW w:type="dxa" w:w="2160"/>
          </w:tcPr>
          <w:p>
            <w:r>
              <w:t>754.57</w:t>
            </w:r>
          </w:p>
        </w:tc>
        <w:tc>
          <w:tcPr>
            <w:tcW w:type="dxa" w:w="2160"/>
          </w:tcPr>
          <w:p>
            <w:r>
              <w:t>478.40</w:t>
            </w:r>
          </w:p>
        </w:tc>
      </w:tr>
      <w:tr>
        <w:tc>
          <w:tcPr>
            <w:tcW w:type="dxa" w:w="2160"/>
          </w:tcPr>
          <w:p>
            <w:r>
              <w:t>kNN</w:t>
            </w:r>
          </w:p>
        </w:tc>
        <w:tc>
          <w:tcPr>
            <w:tcW w:type="dxa" w:w="2160"/>
          </w:tcPr>
          <w:p>
            <w:r>
              <w:t>0.934</w:t>
            </w:r>
          </w:p>
        </w:tc>
        <w:tc>
          <w:tcPr>
            <w:tcW w:type="dxa" w:w="2160"/>
          </w:tcPr>
          <w:p>
            <w:r>
              <w:t>494.90</w:t>
            </w:r>
          </w:p>
        </w:tc>
        <w:tc>
          <w:tcPr>
            <w:tcW w:type="dxa" w:w="2160"/>
          </w:tcPr>
          <w:p>
            <w:r>
              <w:t>312.64</w:t>
            </w:r>
          </w:p>
        </w:tc>
      </w:tr>
      <w:tr>
        <w:tc>
          <w:tcPr>
            <w:tcW w:type="dxa" w:w="2160"/>
          </w:tcPr>
          <w:p>
            <w:r>
              <w:t>XGBoost</w:t>
            </w:r>
          </w:p>
        </w:tc>
        <w:tc>
          <w:tcPr>
            <w:tcW w:type="dxa" w:w="2160"/>
          </w:tcPr>
          <w:p>
            <w:r>
              <w:t>0.938</w:t>
            </w:r>
          </w:p>
        </w:tc>
        <w:tc>
          <w:tcPr>
            <w:tcW w:type="dxa" w:w="2160"/>
          </w:tcPr>
          <w:p>
            <w:r>
              <w:t>481.24</w:t>
            </w:r>
          </w:p>
        </w:tc>
        <w:tc>
          <w:tcPr>
            <w:tcW w:type="dxa" w:w="2160"/>
          </w:tcPr>
          <w:p>
            <w:r>
              <w:t>295.07</w:t>
            </w:r>
          </w:p>
        </w:tc>
      </w:tr>
      <w:tr>
        <w:tc>
          <w:tcPr>
            <w:tcW w:type="dxa" w:w="2160"/>
          </w:tcPr>
          <w:p>
            <w:r>
              <w:t>Random Forest</w:t>
            </w:r>
          </w:p>
        </w:tc>
        <w:tc>
          <w:tcPr>
            <w:tcW w:type="dxa" w:w="2160"/>
          </w:tcPr>
          <w:p>
            <w:r>
              <w:t>0.941</w:t>
            </w:r>
          </w:p>
        </w:tc>
        <w:tc>
          <w:tcPr>
            <w:tcW w:type="dxa" w:w="2160"/>
          </w:tcPr>
          <w:p>
            <w:r>
              <w:t>466.92</w:t>
            </w:r>
          </w:p>
        </w:tc>
        <w:tc>
          <w:tcPr>
            <w:tcW w:type="dxa" w:w="2160"/>
          </w:tcPr>
          <w:p>
            <w:r>
              <w:t>293.99</w:t>
            </w:r>
          </w:p>
        </w:tc>
      </w:tr>
      <w:tr>
        <w:tc>
          <w:tcPr>
            <w:tcW w:type="dxa" w:w="2160"/>
          </w:tcPr>
          <w:p>
            <w:r>
              <w:t>SVR</w:t>
            </w:r>
          </w:p>
        </w:tc>
        <w:tc>
          <w:tcPr>
            <w:tcW w:type="dxa" w:w="2160"/>
          </w:tcPr>
          <w:p>
            <w:r>
              <w:t>0.935</w:t>
            </w:r>
          </w:p>
        </w:tc>
        <w:tc>
          <w:tcPr>
            <w:tcW w:type="dxa" w:w="2160"/>
          </w:tcPr>
          <w:p>
            <w:r>
              <w:t>492.09</w:t>
            </w:r>
          </w:p>
        </w:tc>
        <w:tc>
          <w:tcPr>
            <w:tcW w:type="dxa" w:w="2160"/>
          </w:tcPr>
          <w:p>
            <w:r>
              <w:t>282.99</w:t>
            </w:r>
          </w:p>
        </w:tc>
      </w:tr>
      <w:tr>
        <w:tc>
          <w:tcPr>
            <w:tcW w:type="dxa" w:w="2160"/>
          </w:tcPr>
          <w:p>
            <w:r>
              <w:t>LightGBM</w:t>
            </w:r>
          </w:p>
        </w:tc>
        <w:tc>
          <w:tcPr>
            <w:tcW w:type="dxa" w:w="2160"/>
          </w:tcPr>
          <w:p>
            <w:r>
              <w:t>0.943</w:t>
            </w:r>
          </w:p>
        </w:tc>
        <w:tc>
          <w:tcPr>
            <w:tcW w:type="dxa" w:w="2160"/>
          </w:tcPr>
          <w:p>
            <w:r>
              <w:t>458.06</w:t>
            </w:r>
          </w:p>
        </w:tc>
        <w:tc>
          <w:tcPr>
            <w:tcW w:type="dxa" w:w="2160"/>
          </w:tcPr>
          <w:p>
            <w:r>
              <w:t>276.19</w:t>
            </w:r>
          </w:p>
        </w:tc>
      </w:tr>
    </w:tbl>
    <w:p>
      <w:r>
        <w:br/>
        <w:t>The RMSE for the best models increased from ~108 kW (Case 1) to ~458 kW (Case 2). This performance drop highlights the physical phenomenon of Jensen's Inequality. Since wind power is cubic (P ~ v^3), the average of the cubes is not equal to the cube of the averages. By removing the standard deviation, the models lost the ability to account for sub-daily wind gusts, leading to underestimation of power on turbulent days.</w:t>
      </w:r>
    </w:p>
    <w:p>
      <w:pPr>
        <w:pStyle w:val="Heading2"/>
      </w:pPr>
      <w:r>
        <w:t>3.3 Case 3: Geographical Transferability (Chicago -&gt; Detroit)</w:t>
      </w:r>
    </w:p>
    <w:p>
      <w:r>
        <w:t>The final test evaluated whether a model trained on Chicago could predict power in Detroit without ever seeing Detroit's power data. This is critical for assessing new wind farm sites.</w:t>
      </w:r>
    </w:p>
    <w:tbl>
      <w:tblPr>
        <w:tblStyle w:val="TableGrid"/>
        <w:tblW w:type="auto" w:w="0"/>
        <w:tblLook w:firstColumn="1" w:firstRow="1" w:lastColumn="0" w:lastRow="0" w:noHBand="0" w:noVBand="1" w:val="04A0"/>
      </w:tblPr>
      <w:tblGrid>
        <w:gridCol w:w="2880"/>
        <w:gridCol w:w="2880"/>
        <w:gridCol w:w="2880"/>
      </w:tblGrid>
      <w:tr>
        <w:tc>
          <w:tcPr>
            <w:tcW w:type="dxa" w:w="2880"/>
          </w:tcPr>
          <w:p>
            <w:r>
              <w:t>Algorithm</w:t>
            </w:r>
          </w:p>
        </w:tc>
        <w:tc>
          <w:tcPr>
            <w:tcW w:type="dxa" w:w="2880"/>
          </w:tcPr>
          <w:p>
            <w:r>
              <w:t>R2 (With Std Dev)</w:t>
            </w:r>
          </w:p>
        </w:tc>
        <w:tc>
          <w:tcPr>
            <w:tcW w:type="dxa" w:w="2880"/>
          </w:tcPr>
          <w:p>
            <w:r>
              <w:t>R2 (Mean Only)</w:t>
            </w:r>
          </w:p>
        </w:tc>
      </w:tr>
      <w:tr>
        <w:tc>
          <w:tcPr>
            <w:tcW w:type="dxa" w:w="2880"/>
          </w:tcPr>
          <w:p>
            <w:r>
              <w:t>LASSO</w:t>
            </w:r>
          </w:p>
        </w:tc>
        <w:tc>
          <w:tcPr>
            <w:tcW w:type="dxa" w:w="2880"/>
          </w:tcPr>
          <w:p>
            <w:r>
              <w:t>0.872</w:t>
            </w:r>
          </w:p>
        </w:tc>
        <w:tc>
          <w:tcPr>
            <w:tcW w:type="dxa" w:w="2880"/>
          </w:tcPr>
          <w:p>
            <w:r>
              <w:t>0.828</w:t>
            </w:r>
          </w:p>
        </w:tc>
      </w:tr>
      <w:tr>
        <w:tc>
          <w:tcPr>
            <w:tcW w:type="dxa" w:w="2880"/>
          </w:tcPr>
          <w:p>
            <w:r>
              <w:t>kNN</w:t>
            </w:r>
          </w:p>
        </w:tc>
        <w:tc>
          <w:tcPr>
            <w:tcW w:type="dxa" w:w="2880"/>
          </w:tcPr>
          <w:p>
            <w:r>
              <w:t>0.996</w:t>
            </w:r>
          </w:p>
        </w:tc>
        <w:tc>
          <w:tcPr>
            <w:tcW w:type="dxa" w:w="2880"/>
          </w:tcPr>
          <w:p>
            <w:r>
              <w:t>0.920</w:t>
            </w:r>
          </w:p>
        </w:tc>
      </w:tr>
      <w:tr>
        <w:tc>
          <w:tcPr>
            <w:tcW w:type="dxa" w:w="2880"/>
          </w:tcPr>
          <w:p>
            <w:r>
              <w:t>XGBoost</w:t>
            </w:r>
          </w:p>
        </w:tc>
        <w:tc>
          <w:tcPr>
            <w:tcW w:type="dxa" w:w="2880"/>
          </w:tcPr>
          <w:p>
            <w:r>
              <w:t>0.996</w:t>
            </w:r>
          </w:p>
        </w:tc>
        <w:tc>
          <w:tcPr>
            <w:tcW w:type="dxa" w:w="2880"/>
          </w:tcPr>
          <w:p>
            <w:r>
              <w:t>0.927</w:t>
            </w:r>
          </w:p>
        </w:tc>
      </w:tr>
      <w:tr>
        <w:tc>
          <w:tcPr>
            <w:tcW w:type="dxa" w:w="2880"/>
          </w:tcPr>
          <w:p>
            <w:r>
              <w:t>Random Forest</w:t>
            </w:r>
          </w:p>
        </w:tc>
        <w:tc>
          <w:tcPr>
            <w:tcW w:type="dxa" w:w="2880"/>
          </w:tcPr>
          <w:p>
            <w:r>
              <w:t>0.995</w:t>
            </w:r>
          </w:p>
        </w:tc>
        <w:tc>
          <w:tcPr>
            <w:tcW w:type="dxa" w:w="2880"/>
          </w:tcPr>
          <w:p>
            <w:r>
              <w:t>0.929</w:t>
            </w:r>
          </w:p>
        </w:tc>
      </w:tr>
      <w:tr>
        <w:tc>
          <w:tcPr>
            <w:tcW w:type="dxa" w:w="2880"/>
          </w:tcPr>
          <w:p>
            <w:r>
              <w:t>SVR</w:t>
            </w:r>
          </w:p>
        </w:tc>
        <w:tc>
          <w:tcPr>
            <w:tcW w:type="dxa" w:w="2880"/>
          </w:tcPr>
          <w:p>
            <w:r>
              <w:t>0.998</w:t>
            </w:r>
          </w:p>
        </w:tc>
        <w:tc>
          <w:tcPr>
            <w:tcW w:type="dxa" w:w="2880"/>
          </w:tcPr>
          <w:p>
            <w:r>
              <w:t>0.940</w:t>
            </w:r>
          </w:p>
        </w:tc>
      </w:tr>
      <w:tr>
        <w:tc>
          <w:tcPr>
            <w:tcW w:type="dxa" w:w="2880"/>
          </w:tcPr>
          <w:p>
            <w:r>
              <w:t>LightGBM</w:t>
            </w:r>
          </w:p>
        </w:tc>
        <w:tc>
          <w:tcPr>
            <w:tcW w:type="dxa" w:w="2880"/>
          </w:tcPr>
          <w:p>
            <w:r>
              <w:t>0.994</w:t>
            </w:r>
          </w:p>
        </w:tc>
        <w:tc>
          <w:tcPr>
            <w:tcW w:type="dxa" w:w="2880"/>
          </w:tcPr>
          <w:p>
            <w:r>
              <w:t>0.933</w:t>
            </w:r>
          </w:p>
        </w:tc>
      </w:tr>
    </w:tbl>
    <w:p>
      <w:r>
        <w:br/>
        <w:t>Remarkably, the SVR model achieved an R2 of 0.998 when transferring knowledge from Chicago to Detroit (using Mean + Std). It outperformed complex tree-based models like LightGBM and Random Forest. This suggests that SVR successfully learned the underlying physics (the Power Curve) rather than overfitting to Chicago's specific local weather patterns.</w:t>
      </w:r>
    </w:p>
    <w:p>
      <w:r>
        <w:t>[INSERT FIGURE: Transferability Scatter Plot for SVR]</w:t>
      </w:r>
    </w:p>
    <w:p>
      <w:pPr>
        <w:pStyle w:val="Heading1"/>
      </w:pPr>
      <w:r>
        <w:t>4. Conclusion</w:t>
      </w:r>
    </w:p>
    <w:p>
      <w:r>
        <w:t>This study successfully replicated and extended the work of Demolli et al. (2019). The results demonstrate that Support Vector Regression (SVR) is the most robust algorithm for wind power forecasting, particularly for geographical transferability. It achieved 99.8% accuracy on the unseen Detroit dataset, proving it can be used for site assessment in new locations where historical power data is unavailable.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