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 Methodology</w:t>
      </w:r>
    </w:p>
    <w:p>
      <w:r>
        <w:t>This study adopts and extends the methodological framework proposed by Demolli et al. [1] to forecast long-term wind power generation. While the original study focused on locations in Turkey, this research applies the methodology to a new geographical context (Chicago, USA) to test the generalizability of the proposed machine learning models. Furthermore, this study introduces a modern algorithmic extension (LightGBM) and a robust Bayesian optimization strategy to improve upon the original trial-and-error approach.</w:t>
      </w:r>
    </w:p>
    <w:p>
      <w:pPr>
        <w:pStyle w:val="Heading2"/>
      </w:pPr>
      <w:r>
        <w:t>3.1 Data Acquisition and Site Selection</w:t>
      </w:r>
    </w:p>
    <w:p>
      <w:r>
        <w:t>Hourly meteorological data was obtained from the open-access "Historical Hourly Weather Data 2012-2017" dataset. The city of Chicago was selected as the primary case study due to its consistent wind characteristics and the completeness of the time-series records.</w:t>
      </w:r>
    </w:p>
    <w:p>
      <w:r>
        <w:t>The dataset spans exactly five years, from October 1, 2012, to October 1, 2017. Following the protocol of the original study, the first four years (80%) were utilized for training and validation, while the final year (20%) was reserved strictly for testing.</w:t>
      </w:r>
    </w:p>
    <w:p>
      <w:pPr>
        <w:pStyle w:val="Heading2"/>
      </w:pPr>
      <w:r>
        <w:t>3.2 Theoretical Power Generation (Target Synthesis)</w:t>
      </w:r>
    </w:p>
    <w:p>
      <w:r>
        <w:t>A critical challenge in wind energy forecasting is the lack of public datasets containing both meteorological inputs and actual turbine power output. To address this, the target variable (Power Output) was synthesized mathematically based on the physics of a specific wind turbine.</w:t>
      </w:r>
    </w:p>
    <w:p>
      <w:pPr>
        <w:pStyle w:val="Heading3"/>
      </w:pPr>
      <w:r>
        <w:t>3.2.1 Vertical Extrapolation</w:t>
      </w:r>
    </w:p>
    <w:p>
      <w:r>
        <w:t>The raw meteorological data provided wind speeds at a standard height of 10 meters. However, commercial wind turbines operate at significantly higher altitudes. Therefore, the wind speed was extrapolated to a hub height of 50 meters using the Power Law equation described in Demolli et al. [1]:</w:t>
      </w:r>
    </w:p>
    <w:p>
      <w:pPr>
        <w:pStyle w:val="Quote"/>
      </w:pPr>
      <w:r>
        <w:t>v = v0 * (h / h0)^alpha</w:t>
      </w:r>
    </w:p>
    <w:p>
      <w:r>
        <w:t>Where v is the wind speed at hub height (50m), v0 is the measured speed at 10m, and alpha is the Hellman exponent (set to 0.14 for open terrain).</w:t>
      </w:r>
    </w:p>
    <w:p>
      <w:pPr>
        <w:pStyle w:val="Heading3"/>
      </w:pPr>
      <w:r>
        <w:t>3.2.2 The Cubic Power Curve Model</w:t>
      </w:r>
    </w:p>
    <w:p>
      <w:r>
        <w:t>To generate the "Ground Truth" power values, a theoretical 1 MW wind turbine was simulated. The operational characteristics were defined based on Table 1 of the original study (Cut-in: 3 m/s, Rated: 15 m/s, Cut-out: 25 m/s).</w:t>
      </w:r>
    </w:p>
    <w:p>
      <w:r>
        <w:t>The relationship between wind speed and power generation was modeled using the "Four-Region" logic described in the course lecture notes by Bayindir [2]. Specifically, for the ramp-up phase (Region 4), Equation 9.82 was utilized to model the cubic increase in power:</w:t>
      </w:r>
    </w:p>
    <w:p>
      <w:pPr>
        <w:pStyle w:val="Quote"/>
      </w:pPr>
      <w:r>
        <w:t>PT(v) ≈ a * v^3 - b * PR</w:t>
      </w:r>
    </w:p>
    <w:p>
      <w:r>
        <w:t>This formula ensures that the power output follows the physical v^3 law of kinetic energy, providing a realistic target variable for the regression algorithms.</w:t>
      </w:r>
    </w:p>
    <w:p>
      <w:pPr>
        <w:pStyle w:val="Heading2"/>
      </w:pPr>
      <w:r>
        <w:t>3.3 Data Preprocessing and Feature Engineering</w:t>
      </w:r>
    </w:p>
    <w:p>
      <w:r>
        <w:t>The raw hourly data was aggregated into daily samples to match the temporal resolution of the original study. For each day, two input features were engineered:</w:t>
      </w:r>
    </w:p>
    <w:p>
      <w:pPr>
        <w:pStyle w:val="ListNumber"/>
      </w:pPr>
      <w:r>
        <w:t>1. Daily Mean Wind Speed: Representing the average energy potential.</w:t>
      </w:r>
    </w:p>
    <w:p>
      <w:pPr>
        <w:pStyle w:val="ListNumber"/>
      </w:pPr>
      <w:r>
        <w:t>2. Daily Standard Deviation: Representing the turbulence or volatility of the wind.</w:t>
      </w:r>
    </w:p>
    <w:p>
      <w:r>
        <w:t>The target variable was the Daily Total Power, calculated by summing the synthesized hourly power output for each 24-hour period.</w:t>
      </w:r>
    </w:p>
    <w:p>
      <w:pPr>
        <w:pStyle w:val="Heading2"/>
      </w:pPr>
      <w:r>
        <w:t>3.4 Machine Learning Algorithms</w:t>
      </w:r>
    </w:p>
    <w:p>
      <w:r>
        <w:t>Six regression algorithms were implemented to model the relationship between wind statistics and power generation.</w:t>
      </w:r>
    </w:p>
    <w:p>
      <w:pPr>
        <w:pStyle w:val="Heading3"/>
      </w:pPr>
      <w:r>
        <w:t>3.4.1 Replication Models</w:t>
      </w:r>
    </w:p>
    <w:p>
      <w:r>
        <w:t>To verify the findings of Demolli et al., five algorithms were trained using the exact hyperparameters specified in the original paper. This ensures that any deviation in performance is due to data characteristics rather than parameter tuning:</w:t>
      </w:r>
    </w:p>
    <w:p>
      <w:pPr>
        <w:pStyle w:val="ListBullet"/>
      </w:pPr>
      <w:r>
        <w:t>LASSO Regression: (alpha=0.1) Used as a linear baseline.</w:t>
      </w:r>
    </w:p>
    <w:p>
      <w:pPr>
        <w:pStyle w:val="ListBullet"/>
      </w:pPr>
      <w:r>
        <w:t>k-Nearest Neighbors (kNN): (k=4, Minkowski distance).</w:t>
      </w:r>
    </w:p>
    <w:p>
      <w:pPr>
        <w:pStyle w:val="ListBullet"/>
      </w:pPr>
      <w:r>
        <w:t>Random Forest (RF): (n=10 trees).</w:t>
      </w:r>
    </w:p>
    <w:p>
      <w:pPr>
        <w:pStyle w:val="ListBullet"/>
      </w:pPr>
      <w:r>
        <w:t>XGBoost: (n=500, learning rate=0.1).</w:t>
      </w:r>
    </w:p>
    <w:p>
      <w:pPr>
        <w:pStyle w:val="ListBullet"/>
      </w:pPr>
      <w:r>
        <w:t>Support Vector Regression (SVR): (C=3000, gamma=0.1, RBF kernel).</w:t>
      </w:r>
    </w:p>
    <w:p>
      <w:pPr>
        <w:pStyle w:val="Heading3"/>
      </w:pPr>
      <w:r>
        <w:t>3.4.2 Algorithmic Extension: LightGBM</w:t>
      </w:r>
    </w:p>
    <w:p>
      <w:r>
        <w:t>This study extends the original methodology by introducing LightGBM (Light Gradient Boosting Machine). LightGBM utilizes a leaf-wise tree growth strategy and Gradient-based One-Side Sampling (GOSS), which theoretically offers faster convergence and higher accuracy on non-linear datasets compared to the level-wise growth of XGBoost.</w:t>
      </w:r>
    </w:p>
    <w:p>
      <w:pPr>
        <w:pStyle w:val="Heading2"/>
      </w:pPr>
      <w:r>
        <w:t>3.5 Hyperparameter Optimization Strategy</w:t>
      </w:r>
    </w:p>
    <w:p>
      <w:r>
        <w:t>The original study relied on a manual trial-and-error approach for parameter selection. To establish a more rigorous baseline for the new LightGBM model, this study implemented Bayesian Optimization using the Optuna framework.</w:t>
      </w:r>
    </w:p>
    <w:p>
      <w:r>
        <w:t>To prevent "data leakage"—where a model inadvertently learns from the test set—a Time-Series Cross-Validation strategy was employed. The training data (Years 1-4) was split into three chronological folds. The optimization algorithm minimized the Root Mean Squared Error (RMSE) across these folds, ensuring that the selected parameters were robust against temporal variations before being applied to the final test year.</w:t>
      </w:r>
    </w:p>
    <w:p>
      <w:pPr>
        <w:pStyle w:val="Heading2"/>
      </w:pPr>
      <w:r>
        <w:t>3.6 Performance Metrics</w:t>
      </w:r>
    </w:p>
    <w:p>
      <w:r>
        <w:t>Since the objective is to predict a continuous variable, classification metrics (Precision/Recall) were deemed inappropriate. The models were evaluated using the following regression metrics:</w:t>
      </w:r>
    </w:p>
    <w:p>
      <w:pPr>
        <w:pStyle w:val="ListBullet"/>
      </w:pPr>
      <w:r>
        <w:t>Coefficient of Determination (R^2): To measure the proportion of variance explained by the model.</w:t>
      </w:r>
    </w:p>
    <w:p>
      <w:pPr>
        <w:pStyle w:val="ListBullet"/>
      </w:pPr>
      <w:r>
        <w:t>Root Mean Squared Error (RMSE): To quantify the magnitude of prediction errors, penalizing larger deviations.</w:t>
      </w:r>
    </w:p>
    <w:p>
      <w:pPr>
        <w:pStyle w:val="ListBullet"/>
      </w:pPr>
      <w:r>
        <w:t>Mean Absolute Error (MAE): To represent the average error in kilowatts (kW).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