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03366"/>
          <w:sz w:val="44"/>
        </w:rPr>
        <w:t>Literature Review</w:t>
        <w:br/>
        <w:t>National Driving School &amp; Testing Portal (NDSTP)</w:t>
      </w:r>
    </w:p>
    <w:p>
      <w:pPr>
        <w:spacing w:after="360"/>
      </w:pPr>
      <w:r>
        <w:rPr>
          <w:i/>
          <w:color w:val="555555"/>
          <w:sz w:val="24"/>
        </w:rPr>
        <w:t>Systems Development Lifecycle (SDLC) Specification &amp; Theoretical Foundations</w:t>
      </w:r>
    </w:p>
    <w:p>
      <w:pPr>
        <w:spacing w:after="240"/>
        <w:pBdr>
          <w:bottom w:val="single" w:sz="12" w:space="1" w:color="003366"/>
        </w:pBdr>
      </w:pPr>
    </w:p>
    <w:p>
      <w:pPr>
        <w:keepNext/>
        <w:spacing w:before="320" w:after="120"/>
      </w:pPr>
      <w:r>
        <w:rPr>
          <w:rFonts w:ascii="Calibri" w:hAnsi="Calibri"/>
          <w:b/>
          <w:color w:val="003366"/>
          <w:sz w:val="30"/>
        </w:rPr>
        <w:t>1. Introduction</w:t>
      </w:r>
    </w:p>
    <w:p>
      <w:r>
        <w:t>This review examines existing research and systems relevant to driver licensing management, candidate slot scheduling, and service directory platforms, with a focus on the technical problems that arise across the driver training and testing lifecycle. It draws on the Botswana context, where driver licensing currently requires candidates to successfully complete three sequential tests: theory, yard, and road (Government of Botswana, 2020). Booking these examination slots currently relies on manual processes, resulting in long physical queues and limited visibility of available testing dates at Department of Road Transport and Safety (DRTS) offices (World Bank, 2021). Simultaneously, prospective candidates face challenges identifying and comparing accredited driving schools due to the absence of a unified information portal (Mpofu &amp; Ohei, 2022). The purpose of this review is to establish the theoretical, architectural, and algorithmic foundations justifying the design of the National Driving School &amp; Testing Portal (NDSTP).</w:t>
      </w:r>
    </w:p>
    <w:p>
      <w:pPr>
        <w:keepNext/>
        <w:spacing w:before="320" w:after="120"/>
      </w:pPr>
      <w:r>
        <w:rPr>
          <w:rFonts w:ascii="Calibri" w:hAnsi="Calibri"/>
          <w:b/>
          <w:color w:val="003366"/>
          <w:sz w:val="30"/>
        </w:rPr>
        <w:t>2. Problem Domain Area</w:t>
      </w:r>
    </w:p>
    <w:p>
      <w:r>
        <w:t>The problem domain of this project encompasses E-Government Public Service Delivery and Automated Resource Allocation. This domain addresses how state transportation departments transition queue-heavy administrative operations into digital self-service web systems, while mitigating information asymmetry between service providers (driving schools) and citizens (learner drivers).</w:t>
      </w:r>
    </w:p>
    <w:p>
      <w:pPr>
        <w:keepNext/>
        <w:spacing w:before="320" w:after="120"/>
      </w:pPr>
      <w:r>
        <w:rPr>
          <w:rFonts w:ascii="Calibri" w:hAnsi="Calibri"/>
          <w:b/>
          <w:color w:val="003366"/>
          <w:sz w:val="30"/>
        </w:rPr>
        <w:t>3. Theoretical Frameworks in E-Government and Public Sector Digitalization</w:t>
      </w:r>
    </w:p>
    <w:p>
      <w:pPr>
        <w:keepNext/>
        <w:spacing w:before="240" w:after="80"/>
      </w:pPr>
      <w:r>
        <w:rPr>
          <w:rFonts w:ascii="Calibri" w:hAnsi="Calibri"/>
          <w:b/>
          <w:color w:val="004B87"/>
          <w:sz w:val="25"/>
        </w:rPr>
        <w:t>3.1 Technology Acceptance Model (TAM)</w:t>
      </w:r>
    </w:p>
    <w:p>
      <w:r>
        <w:t>Transforming manual administrative workflows into online self-service web systems significantly reduces physical queues, operational friction, and public transaction costs (</w:t>
      </w:r>
      <w:hyperlink r:id="rId9">
        <w:r>
          <w:rPr>
            <w:color w:val="004B87"/>
            <w:u w:val="single"/>
          </w:rPr>
          <w:t>Davis, 1989</w:t>
        </w:r>
      </w:hyperlink>
      <w:r>
        <w:t xml:space="preserve">). Applying the Technology Acceptance Model (TAM) demonstrates that citizen adoption of public digital platforms depends primarily on two core constructs: </w:t>
      </w:r>
      <w:r>
        <w:rPr>
          <w:b/>
        </w:rPr>
        <w:t>Perceived Usefulness (PU)</w:t>
      </w:r>
      <w:r>
        <w:t xml:space="preserve"> and </w:t>
      </w:r>
      <w:r>
        <w:rPr>
          <w:b/>
        </w:rPr>
        <w:t>Perceived Ease of Use (PEOU)</w:t>
      </w:r>
      <w:r>
        <w:t xml:space="preserve"> (</w:t>
      </w:r>
      <w:hyperlink r:id="rId10">
        <w:r>
          <w:rPr>
            <w:color w:val="004B87"/>
            <w:u w:val="single"/>
          </w:rPr>
          <w:t>Venkatesh et al., 2003</w:t>
        </w:r>
      </w:hyperlink>
      <w:r>
        <w:t>). For the NDSTP, user adoption relies on providing an intuitive interface that streamlines slot reservation and transparently presents accredited school information.</w:t>
      </w:r>
    </w:p>
    <w:p>
      <w:pPr>
        <w:keepNext/>
        <w:spacing w:before="240" w:after="80"/>
      </w:pPr>
      <w:r>
        <w:rPr>
          <w:rFonts w:ascii="Calibri" w:hAnsi="Calibri"/>
          <w:b/>
          <w:color w:val="004B87"/>
          <w:sz w:val="25"/>
        </w:rPr>
        <w:t>3.2 Dynamic Scheduling &amp; Automated Queue Allocation</w:t>
      </w:r>
    </w:p>
    <w:p>
      <w:r>
        <w:t>Research in digital queue management highlights that dynamic, real-time allocation algorithms prevent concurrency issues such as double-booking test slots while optimizing examiner schedule utilization (Silberschatz et al., 2020). Furthermore, automated confirmation interfaces drastically decrease candidate appointment no-show rates (</w:t>
      </w:r>
      <w:hyperlink r:id="rId11">
        <w:r>
          <w:rPr>
            <w:color w:val="004B87"/>
            <w:u w:val="single"/>
          </w:rPr>
          <w:t>Leong et al., 2021</w:t>
        </w:r>
      </w:hyperlink>
      <w:r>
        <w:t>).</w:t>
      </w:r>
    </w:p>
    <w:p>
      <w:pPr>
        <w:keepNext/>
        <w:spacing w:before="240" w:after="80"/>
      </w:pPr>
      <w:r>
        <w:rPr>
          <w:rFonts w:ascii="Calibri" w:hAnsi="Calibri"/>
          <w:b/>
          <w:color w:val="004B87"/>
          <w:sz w:val="25"/>
        </w:rPr>
        <w:t>3.3 Two-Sided Directory Platforms</w:t>
      </w:r>
    </w:p>
    <w:p>
      <w:r>
        <w:t>Literature on digital service marketplaces demonstrates that aggregating service providers onto a single platform reduces search costs for consumers, mitigating information asymmetry and allowing small driving schools equal marketing visibility (</w:t>
      </w:r>
      <w:hyperlink r:id="rId12">
        <w:r>
          <w:rPr>
            <w:color w:val="004B87"/>
            <w:u w:val="single"/>
          </w:rPr>
          <w:t>Rochet &amp; Tirole, 2003</w:t>
        </w:r>
      </w:hyperlink>
      <w:r>
        <w:t xml:space="preserve">; </w:t>
      </w:r>
      <w:hyperlink r:id="rId13">
        <w:r>
          <w:rPr>
            <w:color w:val="004B87"/>
            <w:u w:val="single"/>
          </w:rPr>
          <w:t>Bakos, 1997</w:t>
        </w:r>
      </w:hyperlink>
      <w:r>
        <w:t xml:space="preserve">; </w:t>
      </w:r>
      <w:hyperlink r:id="rId14">
        <w:r>
          <w:rPr>
            <w:color w:val="004B87"/>
            <w:u w:val="single"/>
          </w:rPr>
          <w:t>Mpofu &amp; Ohei, 2022</w:t>
        </w:r>
      </w:hyperlink>
      <w:r>
        <w:t>).</w:t>
      </w:r>
    </w:p>
    <w:p>
      <w:pPr>
        <w:keepNext/>
        <w:spacing w:before="240" w:after="80"/>
      </w:pPr>
      <w:r>
        <w:rPr>
          <w:rFonts w:ascii="Calibri" w:hAnsi="Calibri"/>
          <w:b/>
          <w:color w:val="004B87"/>
          <w:sz w:val="25"/>
        </w:rPr>
        <w:t>3.4 Multi-Tier Web Architecture and Access Control</w:t>
      </w:r>
    </w:p>
    <w:p>
      <w:r>
        <w:t>Modern web application engineering standardizes on multi-tier client-server architectures to separate user interface logic from backend database operations (Pressman &amp; Maxim, 2020). Integrating Role-Based Access Control (RBAC) is vital to securing candidate identification records and maintaining driver testing integrity (</w:t>
      </w:r>
      <w:hyperlink r:id="rId15">
        <w:r>
          <w:rPr>
            <w:color w:val="004B87"/>
            <w:u w:val="single"/>
          </w:rPr>
          <w:t>Ferraiolo et al., 2001</w:t>
        </w:r>
      </w:hyperlink>
      <w:r>
        <w:t>).</w:t>
      </w:r>
    </w:p>
    <w:p>
      <w:pPr>
        <w:keepNext/>
        <w:spacing w:before="320" w:after="120"/>
      </w:pPr>
      <w:r>
        <w:rPr>
          <w:rFonts w:ascii="Calibri" w:hAnsi="Calibri"/>
          <w:b/>
          <w:color w:val="003366"/>
          <w:sz w:val="30"/>
        </w:rPr>
        <w:t>4. Core Technical Domains &amp; Solution Mapping</w:t>
      </w:r>
    </w:p>
    <w:p>
      <w:pPr>
        <w:spacing w:after="80"/>
      </w:pP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2340"/>
        <w:gridCol w:w="2340"/>
        <w:gridCol w:w="2340"/>
        <w:gridCol w:w="2340"/>
      </w:tblGrid>
      <w:tr>
        <w:tc>
          <w:tcPr>
            <w:tcW w:type="dxa" w:w="2340"/>
            <w:shd w:fill="003366"/>
          </w:tcPr>
          <w:p>
            <w:pPr>
              <w:jc w:val="left"/>
            </w:pPr>
            <w:r>
              <w:rPr>
                <w:rFonts w:ascii="Calibri" w:hAnsi="Calibri"/>
                <w:b/>
                <w:color w:val="FFFFFF"/>
                <w:sz w:val="19"/>
              </w:rPr>
              <w:t>Domain</w:t>
            </w:r>
          </w:p>
        </w:tc>
        <w:tc>
          <w:tcPr>
            <w:tcW w:type="dxa" w:w="2340"/>
            <w:shd w:fill="003366"/>
          </w:tcPr>
          <w:p>
            <w:pPr>
              <w:jc w:val="left"/>
            </w:pPr>
            <w:r>
              <w:rPr>
                <w:rFonts w:ascii="Calibri" w:hAnsi="Calibri"/>
                <w:b/>
                <w:color w:val="FFFFFF"/>
                <w:sz w:val="19"/>
              </w:rPr>
              <w:t>Underlying Problem</w:t>
            </w:r>
          </w:p>
        </w:tc>
        <w:tc>
          <w:tcPr>
            <w:tcW w:type="dxa" w:w="2340"/>
            <w:shd w:fill="003366"/>
          </w:tcPr>
          <w:p>
            <w:pPr>
              <w:jc w:val="left"/>
            </w:pPr>
            <w:r>
              <w:rPr>
                <w:rFonts w:ascii="Calibri" w:hAnsi="Calibri"/>
                <w:b/>
                <w:color w:val="FFFFFF"/>
                <w:sz w:val="19"/>
              </w:rPr>
              <w:t>Literature / Theoretical Basis</w:t>
            </w:r>
          </w:p>
        </w:tc>
        <w:tc>
          <w:tcPr>
            <w:tcW w:type="dxa" w:w="2340"/>
            <w:shd w:fill="003366"/>
          </w:tcPr>
          <w:p>
            <w:pPr>
              <w:jc w:val="left"/>
            </w:pPr>
            <w:r>
              <w:rPr>
                <w:rFonts w:ascii="Calibri" w:hAnsi="Calibri"/>
                <w:b/>
                <w:color w:val="FFFFFF"/>
                <w:sz w:val="19"/>
              </w:rPr>
              <w:t>Technical Solution in NDSTP</w:t>
            </w:r>
          </w:p>
        </w:tc>
      </w:tr>
      <w:tr>
        <w:tc>
          <w:tcPr>
            <w:tcW w:type="dxa" w:w="2340"/>
            <w:shd w:fill="FFFFFF"/>
          </w:tcPr>
          <w:p>
            <w:pPr>
              <w:spacing w:before="60" w:after="60"/>
            </w:pPr>
            <w:r>
              <w:rPr>
                <w:rFonts w:ascii="Calibri" w:hAnsi="Calibri"/>
                <w:color w:val="333333"/>
                <w:sz w:val="18"/>
              </w:rPr>
              <w:t>Slot Scheduling Engine</w:t>
            </w:r>
          </w:p>
        </w:tc>
        <w:tc>
          <w:tcPr>
            <w:tcW w:type="dxa" w:w="2340"/>
            <w:shd w:fill="FFFFFF"/>
          </w:tcPr>
          <w:p>
            <w:pPr>
              <w:spacing w:before="60" w:after="60"/>
            </w:pPr>
            <w:r>
              <w:rPr>
                <w:rFonts w:ascii="Calibri" w:hAnsi="Calibri"/>
                <w:color w:val="333333"/>
                <w:sz w:val="18"/>
              </w:rPr>
              <w:t>Manual scheduling causes double-booking, long physical queues, and unoptimized examiner allocations.</w:t>
            </w:r>
          </w:p>
        </w:tc>
        <w:tc>
          <w:tcPr>
            <w:tcW w:type="dxa" w:w="2340"/>
            <w:shd w:fill="FFFFFF"/>
          </w:tcPr>
          <w:p>
            <w:pPr>
              <w:spacing w:before="60" w:after="60"/>
            </w:pPr>
            <w:r>
              <w:rPr>
                <w:rFonts w:ascii="Calibri" w:hAnsi="Calibri"/>
                <w:color w:val="333333"/>
                <w:sz w:val="18"/>
              </w:rPr>
              <w:t>Dynamic Allocation &amp; Queue Management (Silberschatz et al., 2020; Leong et al., 2021)</w:t>
            </w:r>
          </w:p>
        </w:tc>
        <w:tc>
          <w:tcPr>
            <w:tcW w:type="dxa" w:w="2340"/>
            <w:shd w:fill="FFFFFF"/>
          </w:tcPr>
          <w:p>
            <w:pPr>
              <w:spacing w:before="60" w:after="60"/>
            </w:pPr>
            <w:r>
              <w:rPr>
                <w:rFonts w:ascii="Calibri" w:hAnsi="Calibri"/>
                <w:color w:val="333333"/>
                <w:sz w:val="18"/>
              </w:rPr>
              <w:t>Real-time booking engine with concurrency lock logic for DRTS test slots (theory, yard, road).</w:t>
            </w:r>
          </w:p>
        </w:tc>
      </w:tr>
      <w:tr>
        <w:tc>
          <w:tcPr>
            <w:tcW w:type="dxa" w:w="2340"/>
            <w:shd w:fill="F0F4F8"/>
          </w:tcPr>
          <w:p>
            <w:pPr>
              <w:spacing w:before="60" w:after="60"/>
            </w:pPr>
            <w:r>
              <w:rPr>
                <w:rFonts w:ascii="Calibri" w:hAnsi="Calibri"/>
                <w:color w:val="333333"/>
                <w:sz w:val="18"/>
              </w:rPr>
              <w:t>Marketplace &amp; Visibility</w:t>
            </w:r>
          </w:p>
        </w:tc>
        <w:tc>
          <w:tcPr>
            <w:tcW w:type="dxa" w:w="2340"/>
            <w:shd w:fill="F0F4F8"/>
          </w:tcPr>
          <w:p>
            <w:pPr>
              <w:spacing w:before="60" w:after="60"/>
            </w:pPr>
            <w:r>
              <w:rPr>
                <w:rFonts w:ascii="Calibri" w:hAnsi="Calibri"/>
                <w:color w:val="333333"/>
                <w:sz w:val="18"/>
              </w:rPr>
              <w:t>Information asymmetry between prospective drivers and local accredited driving schools.</w:t>
            </w:r>
          </w:p>
        </w:tc>
        <w:tc>
          <w:tcPr>
            <w:tcW w:type="dxa" w:w="2340"/>
            <w:shd w:fill="F0F4F8"/>
          </w:tcPr>
          <w:p>
            <w:pPr>
              <w:spacing w:before="60" w:after="60"/>
            </w:pPr>
            <w:r>
              <w:rPr>
                <w:rFonts w:ascii="Calibri" w:hAnsi="Calibri"/>
                <w:color w:val="333333"/>
                <w:sz w:val="18"/>
              </w:rPr>
              <w:t>Two-Sided Platform Economics (Rochet &amp; Tirole, 2003; Bakos, 1997; Mpofu &amp; Ohei, 2022)</w:t>
            </w:r>
          </w:p>
        </w:tc>
        <w:tc>
          <w:tcPr>
            <w:tcW w:type="dxa" w:w="2340"/>
            <w:shd w:fill="F0F4F8"/>
          </w:tcPr>
          <w:p>
            <w:pPr>
              <w:spacing w:before="60" w:after="60"/>
            </w:pPr>
            <w:r>
              <w:rPr>
                <w:rFonts w:ascii="Calibri" w:hAnsi="Calibri"/>
                <w:color w:val="333333"/>
                <w:sz w:val="18"/>
              </w:rPr>
              <w:t>Integrated driving school marketplace enabling providers to list service profiles, fees, and location data.</w:t>
            </w:r>
          </w:p>
        </w:tc>
      </w:tr>
      <w:tr>
        <w:tc>
          <w:tcPr>
            <w:tcW w:type="dxa" w:w="2340"/>
            <w:shd w:fill="FFFFFF"/>
          </w:tcPr>
          <w:p>
            <w:pPr>
              <w:spacing w:before="60" w:after="60"/>
            </w:pPr>
            <w:r>
              <w:rPr>
                <w:rFonts w:ascii="Calibri" w:hAnsi="Calibri"/>
                <w:color w:val="333333"/>
                <w:sz w:val="18"/>
              </w:rPr>
              <w:t>System Security &amp; Access</w:t>
            </w:r>
          </w:p>
        </w:tc>
        <w:tc>
          <w:tcPr>
            <w:tcW w:type="dxa" w:w="2340"/>
            <w:shd w:fill="FFFFFF"/>
          </w:tcPr>
          <w:p>
            <w:pPr>
              <w:spacing w:before="60" w:after="60"/>
            </w:pPr>
            <w:r>
              <w:rPr>
                <w:rFonts w:ascii="Calibri" w:hAnsi="Calibri"/>
                <w:color w:val="333333"/>
                <w:sz w:val="18"/>
              </w:rPr>
              <w:t>Unsecured candidate records and unauthorized administrative operational access.</w:t>
            </w:r>
          </w:p>
        </w:tc>
        <w:tc>
          <w:tcPr>
            <w:tcW w:type="dxa" w:w="2340"/>
            <w:shd w:fill="FFFFFF"/>
          </w:tcPr>
          <w:p>
            <w:pPr>
              <w:spacing w:before="60" w:after="60"/>
            </w:pPr>
            <w:r>
              <w:rPr>
                <w:rFonts w:ascii="Calibri" w:hAnsi="Calibri"/>
                <w:color w:val="333333"/>
                <w:sz w:val="18"/>
              </w:rPr>
              <w:t>Role-Based Access Control (RBAC) Standards (Ferraiolo et al., 2001)</w:t>
            </w:r>
          </w:p>
        </w:tc>
        <w:tc>
          <w:tcPr>
            <w:tcW w:type="dxa" w:w="2340"/>
            <w:shd w:fill="FFFFFF"/>
          </w:tcPr>
          <w:p>
            <w:pPr>
              <w:spacing w:before="60" w:after="60"/>
            </w:pPr>
            <w:r>
              <w:rPr>
                <w:rFonts w:ascii="Calibri" w:hAnsi="Calibri"/>
                <w:color w:val="333333"/>
                <w:sz w:val="18"/>
              </w:rPr>
              <w:t>RBAC enforcing segregated permissions for Learners, School Managers, and DRTS Admins.</w:t>
            </w:r>
          </w:p>
        </w:tc>
      </w:tr>
      <w:tr>
        <w:tc>
          <w:tcPr>
            <w:tcW w:type="dxa" w:w="2340"/>
            <w:shd w:fill="F0F4F8"/>
          </w:tcPr>
          <w:p>
            <w:pPr>
              <w:spacing w:before="60" w:after="60"/>
            </w:pPr>
            <w:r>
              <w:rPr>
                <w:rFonts w:ascii="Calibri" w:hAnsi="Calibri"/>
                <w:color w:val="333333"/>
                <w:sz w:val="18"/>
              </w:rPr>
              <w:t>Architecture &amp; Data Flow</w:t>
            </w:r>
          </w:p>
        </w:tc>
        <w:tc>
          <w:tcPr>
            <w:tcW w:type="dxa" w:w="2340"/>
            <w:shd w:fill="F0F4F8"/>
          </w:tcPr>
          <w:p>
            <w:pPr>
              <w:spacing w:before="60" w:after="60"/>
            </w:pPr>
            <w:r>
              <w:rPr>
                <w:rFonts w:ascii="Calibri" w:hAnsi="Calibri"/>
                <w:color w:val="333333"/>
                <w:sz w:val="18"/>
              </w:rPr>
              <w:t>Monolithic designs causing latency and structural maintenance bottlenecks.</w:t>
            </w:r>
          </w:p>
        </w:tc>
        <w:tc>
          <w:tcPr>
            <w:tcW w:type="dxa" w:w="2340"/>
            <w:shd w:fill="F0F4F8"/>
          </w:tcPr>
          <w:p>
            <w:pPr>
              <w:spacing w:before="60" w:after="60"/>
            </w:pPr>
            <w:r>
              <w:rPr>
                <w:rFonts w:ascii="Calibri" w:hAnsi="Calibri"/>
                <w:color w:val="333333"/>
                <w:sz w:val="18"/>
              </w:rPr>
              <w:t>Multi-Tier Web Architecture (Pressman &amp; Maxim, 2020)</w:t>
            </w:r>
          </w:p>
        </w:tc>
        <w:tc>
          <w:tcPr>
            <w:tcW w:type="dxa" w:w="2340"/>
            <w:shd w:fill="F0F4F8"/>
          </w:tcPr>
          <w:p>
            <w:pPr>
              <w:spacing w:before="60" w:after="60"/>
            </w:pPr>
            <w:r>
              <w:rPr>
                <w:rFonts w:ascii="Calibri" w:hAnsi="Calibri"/>
                <w:color w:val="333333"/>
                <w:sz w:val="18"/>
              </w:rPr>
              <w:t>Modular client-server architecture with normalized relational database models (MySQL/PostgreSQL) and REST APIs.</w:t>
            </w:r>
          </w:p>
        </w:tc>
      </w:tr>
    </w:tbl>
    <w:p>
      <w:pPr>
        <w:spacing w:after="120"/>
      </w:pPr>
    </w:p>
    <w:p>
      <w:pPr>
        <w:keepNext/>
        <w:spacing w:before="320" w:after="120"/>
      </w:pPr>
      <w:r>
        <w:rPr>
          <w:rFonts w:ascii="Calibri" w:hAnsi="Calibri"/>
          <w:b/>
          <w:color w:val="003366"/>
          <w:sz w:val="30"/>
        </w:rPr>
        <w:t>5. Technical Problems Identified in the Literature</w:t>
      </w:r>
    </w:p>
    <w:p>
      <w:pPr>
        <w:keepNext/>
        <w:spacing w:before="240" w:after="80"/>
      </w:pPr>
      <w:r>
        <w:rPr>
          <w:rFonts w:ascii="Calibri" w:hAnsi="Calibri"/>
          <w:b/>
          <w:color w:val="004B87"/>
          <w:sz w:val="25"/>
        </w:rPr>
        <w:t>Problem 1: Manual Booking &amp; Physical Queuing</w:t>
      </w:r>
    </w:p>
    <w:p>
      <w:pPr>
        <w:spacing w:after="40"/>
      </w:pPr>
      <w:r>
        <w:t>Candidate testing appointments are managed through paper logs and counter visits, creating administrative congestion and candidate inconvenience (Government of Botswana, 2020; World Bank, 2021).</w:t>
      </w:r>
    </w:p>
    <w:p>
      <w:pPr>
        <w:spacing w:after="120"/>
      </w:pPr>
      <w:r>
        <w:rPr>
          <w:b/>
          <w:color w:val="004B87"/>
        </w:rPr>
        <w:t xml:space="preserve">• </w:t>
      </w:r>
      <w:r>
        <w:t>Technical Solution: Digital student portal, online slot selection, automated appointment scheduling, and real-time verification.</w:t>
      </w:r>
    </w:p>
    <w:p>
      <w:pPr>
        <w:keepNext/>
        <w:spacing w:before="240" w:after="80"/>
      </w:pPr>
      <w:r>
        <w:rPr>
          <w:rFonts w:ascii="Calibri" w:hAnsi="Calibri"/>
          <w:b/>
          <w:color w:val="004B87"/>
          <w:sz w:val="25"/>
        </w:rPr>
        <w:t>Problem 2: Concurrency &amp; Slot Collision (Double-Booking)</w:t>
      </w:r>
    </w:p>
    <w:p>
      <w:pPr>
        <w:spacing w:after="40"/>
      </w:pPr>
      <w:r>
        <w:t>Uncoordinated manual appointment entries across regional offices lead to double-booked examiner slots and schedule collisions (Silberschatz et al., 2020).</w:t>
      </w:r>
    </w:p>
    <w:p>
      <w:pPr>
        <w:spacing w:after="120"/>
      </w:pPr>
      <w:r>
        <w:rPr>
          <w:b/>
          <w:color w:val="004B87"/>
        </w:rPr>
        <w:t xml:space="preserve">• </w:t>
      </w:r>
      <w:r>
        <w:t>Technical Solution: Real-time dynamic reservation engine with transactional slot locking and concurrency control.</w:t>
      </w:r>
    </w:p>
    <w:p>
      <w:pPr>
        <w:keepNext/>
        <w:spacing w:before="240" w:after="80"/>
      </w:pPr>
      <w:r>
        <w:rPr>
          <w:rFonts w:ascii="Calibri" w:hAnsi="Calibri"/>
          <w:b/>
          <w:color w:val="004B87"/>
          <w:sz w:val="25"/>
        </w:rPr>
        <w:t>Problem 3: High Candidate Appointment No-Show Rates</w:t>
      </w:r>
    </w:p>
    <w:p>
      <w:pPr>
        <w:spacing w:after="40"/>
      </w:pPr>
      <w:r>
        <w:t>Lack of direct communication channels between testing facilities and candidates results in high rates of missed appointments and wasted testing capacity (Leong et al., 2021).</w:t>
      </w:r>
    </w:p>
    <w:p>
      <w:pPr>
        <w:spacing w:after="120"/>
      </w:pPr>
      <w:r>
        <w:rPr>
          <w:b/>
          <w:color w:val="004B87"/>
        </w:rPr>
        <w:t xml:space="preserve">• </w:t>
      </w:r>
      <w:r>
        <w:t>Technical Solution: Automated in-system notifications, SMS/email booking confirmations, and appointment reminder alerts.</w:t>
      </w:r>
    </w:p>
    <w:p>
      <w:pPr>
        <w:keepNext/>
        <w:spacing w:before="240" w:after="80"/>
      </w:pPr>
      <w:r>
        <w:rPr>
          <w:rFonts w:ascii="Calibri" w:hAnsi="Calibri"/>
          <w:b/>
          <w:color w:val="004B87"/>
          <w:sz w:val="25"/>
        </w:rPr>
        <w:t>Problem 4: Information Asymmetry in Driving School Selection</w:t>
      </w:r>
    </w:p>
    <w:p>
      <w:pPr>
        <w:spacing w:after="40"/>
      </w:pPr>
      <w:r>
        <w:t>Learner drivers lack a central directory to evaluate accredited driving schools, service quality, pricing, and location options (Mpofu &amp; Ohei, 2022).</w:t>
      </w:r>
    </w:p>
    <w:p>
      <w:pPr>
        <w:spacing w:after="120"/>
      </w:pPr>
      <w:r>
        <w:rPr>
          <w:b/>
          <w:color w:val="004B87"/>
        </w:rPr>
        <w:t xml:space="preserve">• </w:t>
      </w:r>
      <w:r>
        <w:t>Technical Solution: Two-sided marketplace directory allowing accredited schools to publish verified profiles, packages, and direct inquiry forms.</w:t>
      </w:r>
    </w:p>
    <w:p>
      <w:pPr>
        <w:keepNext/>
        <w:spacing w:before="240" w:after="80"/>
      </w:pPr>
      <w:r>
        <w:rPr>
          <w:rFonts w:ascii="Calibri" w:hAnsi="Calibri"/>
          <w:b/>
          <w:color w:val="004B87"/>
          <w:sz w:val="25"/>
        </w:rPr>
        <w:t>Problem 5: Security &amp; Administrative Access Risks</w:t>
      </w:r>
    </w:p>
    <w:p>
      <w:pPr>
        <w:spacing w:after="40"/>
      </w:pPr>
      <w:r>
        <w:t>Centralized operational records and candidate driver files are vulnerable to unauthorized access or modification without proper role delegation (Ferraiolo et al., 2001).</w:t>
      </w:r>
    </w:p>
    <w:p>
      <w:pPr>
        <w:spacing w:after="120"/>
      </w:pPr>
      <w:r>
        <w:rPr>
          <w:b/>
          <w:color w:val="004B87"/>
        </w:rPr>
        <w:t xml:space="preserve">• </w:t>
      </w:r>
      <w:r>
        <w:t>Technical Solution: Role-Based Access Control (RBAC) restricting operational privilege based on defined roles (Learner, Driving School Manager, DRTS Admin).</w:t>
      </w:r>
    </w:p>
    <w:p>
      <w:pPr>
        <w:keepNext/>
        <w:spacing w:before="320" w:after="120"/>
      </w:pPr>
      <w:r>
        <w:rPr>
          <w:rFonts w:ascii="Calibri" w:hAnsi="Calibri"/>
          <w:b/>
          <w:color w:val="003366"/>
          <w:sz w:val="30"/>
        </w:rPr>
        <w:t>6. Core Requirements Derived from Literature</w:t>
      </w:r>
    </w:p>
    <w:p>
      <w:pPr>
        <w:spacing w:after="80"/>
        <w:ind w:left="360"/>
      </w:pPr>
      <w:r>
        <w:rPr>
          <w:b/>
          <w:color w:val="003366"/>
        </w:rPr>
        <w:t xml:space="preserve">• Citizen Verification &amp; Registration Module: </w:t>
      </w:r>
      <w:r>
        <w:t>Secure user registration and authentication backed by Role-Based Access Control (RBAC).</w:t>
      </w:r>
    </w:p>
    <w:p>
      <w:pPr>
        <w:spacing w:after="80"/>
        <w:ind w:left="360"/>
      </w:pPr>
      <w:r>
        <w:rPr>
          <w:b/>
          <w:color w:val="003366"/>
        </w:rPr>
        <w:t xml:space="preserve">• Real-Time Booking Engine: </w:t>
      </w:r>
      <w:r>
        <w:t>Interactive slot scheduling system for theory, yard, and road tests that dynamically updates availability and prevents concurrent collisions.</w:t>
      </w:r>
    </w:p>
    <w:p>
      <w:pPr>
        <w:spacing w:after="80"/>
        <w:ind w:left="360"/>
      </w:pPr>
      <w:r>
        <w:rPr>
          <w:b/>
          <w:color w:val="003366"/>
        </w:rPr>
        <w:t xml:space="preserve">• Driving School Directory &amp; Marketplace: </w:t>
      </w:r>
      <w:r>
        <w:t>Public-facing search and profile portal for accredited driving schools to post service profiles, locations, and fee structures.</w:t>
      </w:r>
    </w:p>
    <w:p>
      <w:pPr>
        <w:spacing w:after="80"/>
        <w:ind w:left="360"/>
      </w:pPr>
      <w:r>
        <w:rPr>
          <w:b/>
          <w:color w:val="003366"/>
        </w:rPr>
        <w:t xml:space="preserve">• Automated Notification Pipeline: </w:t>
      </w:r>
      <w:r>
        <w:t>System-generated status notifications and appointment confirmations to optimize candidate attendance.</w:t>
      </w:r>
    </w:p>
    <w:p>
      <w:pPr>
        <w:spacing w:after="80"/>
        <w:ind w:left="360"/>
      </w:pPr>
      <w:r>
        <w:rPr>
          <w:b/>
          <w:color w:val="003366"/>
        </w:rPr>
        <w:t xml:space="preserve">• DRTS Administrative Back-Office Portal: </w:t>
      </w:r>
      <w:r>
        <w:t>Centralized management dashboard for DRTS officers to inspect examiner rosters, audit driving school accreditations, and review analytics.</w:t>
      </w:r>
    </w:p>
    <w:p>
      <w:pPr>
        <w:keepNext/>
        <w:spacing w:before="320" w:after="120"/>
      </w:pPr>
      <w:r>
        <w:rPr>
          <w:rFonts w:ascii="Calibri" w:hAnsi="Calibri"/>
          <w:b/>
          <w:color w:val="003366"/>
          <w:sz w:val="30"/>
        </w:rPr>
        <w:t>7. Conclusion &amp; Core Technical Statement</w:t>
      </w:r>
    </w:p>
    <w:p>
      <w:r>
        <w:t>The core technical problem motivating the NDSTP project is the absence of a centralized, secure digital platform for managing driver examination scheduling and driving school discovery in Botswana. Relying on paper-based and counter-bound processes introduces severe administrative overhead, queue congestion, and information asymmetry. By integrating established models from e-government literature (TAM), dynamic queue allocation, two-sided market economics, and multi-tier software engineering with RBAC security, the proposed NDSTP platform provides a robust solution for public service delivery.</w:t>
      </w:r>
    </w:p>
    <w:p>
      <w:pPr>
        <w:keepNext/>
        <w:spacing w:before="320" w:after="120"/>
      </w:pPr>
      <w:r>
        <w:rPr>
          <w:rFonts w:ascii="Calibri" w:hAnsi="Calibri"/>
          <w:b/>
          <w:color w:val="003366"/>
          <w:sz w:val="30"/>
        </w:rPr>
        <w:t>8. References</w:t>
      </w:r>
    </w:p>
    <w:p>
      <w:pPr>
        <w:spacing w:after="80"/>
        <w:ind w:left="576" w:hanging="576"/>
      </w:pPr>
      <w:r>
        <w:t xml:space="preserve">Bakos, Y. (1997). Reducing buyer search costs: Implications for electronic marketplaces. </w:t>
      </w:r>
      <w:r>
        <w:rPr>
          <w:i/>
        </w:rPr>
        <w:t>Management Science</w:t>
      </w:r>
      <w:r>
        <w:t xml:space="preserve">, 43(12), 1676–1692. </w:t>
      </w:r>
      <w:hyperlink r:id="rId13">
        <w:r>
          <w:rPr>
            <w:color w:val="004B87"/>
            <w:u w:val="single"/>
          </w:rPr>
          <w:t>https://doi.org/10.1287/mnsc.43.12.1676</w:t>
        </w:r>
      </w:hyperlink>
    </w:p>
    <w:p>
      <w:pPr>
        <w:spacing w:after="80"/>
        <w:ind w:left="576" w:hanging="576"/>
      </w:pPr>
      <w:r>
        <w:t xml:space="preserve">Davis, F. D. (1989). Perceived usefulness, perceived ease of use, and user acceptance of information technology. </w:t>
      </w:r>
      <w:r>
        <w:rPr>
          <w:i/>
        </w:rPr>
        <w:t>MIS Quarterly</w:t>
      </w:r>
      <w:r>
        <w:t xml:space="preserve">, 13(3), 319–340. </w:t>
      </w:r>
      <w:hyperlink r:id="rId9">
        <w:r>
          <w:rPr>
            <w:color w:val="004B87"/>
            <w:u w:val="single"/>
          </w:rPr>
          <w:t>https://www.researchgate.net/publication/200085965_Perceived_Usefulness_Perceived_Ease_of_Use_and_User_Acceptance_of_Information_Technology</w:t>
        </w:r>
      </w:hyperlink>
    </w:p>
    <w:p>
      <w:pPr>
        <w:spacing w:after="80"/>
        <w:ind w:left="576" w:hanging="576"/>
      </w:pPr>
      <w:r>
        <w:t xml:space="preserve">Ferraiolo, D. F., Sandhu, R., Gavrila, S., Kuhn, D. R., &amp; Chandramouli, R. (2001). Proposed NIST standard for role-based access control. </w:t>
      </w:r>
      <w:r>
        <w:rPr>
          <w:i/>
        </w:rPr>
        <w:t>ACM Transactions on Information and System Security</w:t>
      </w:r>
      <w:r>
        <w:t xml:space="preserve">, 4(3), 224–274. </w:t>
      </w:r>
      <w:hyperlink r:id="rId15">
        <w:r>
          <w:rPr>
            <w:color w:val="004B87"/>
            <w:u w:val="single"/>
          </w:rPr>
          <w:t>https://csrc.nist.gov/pubs/journal/2001/08/proposed-nist-standard-for-rolebased-access-contro/final</w:t>
        </w:r>
      </w:hyperlink>
    </w:p>
    <w:p>
      <w:pPr>
        <w:spacing w:after="80"/>
        <w:ind w:left="576" w:hanging="576"/>
      </w:pPr>
      <w:r>
        <w:t xml:space="preserve">Government of Botswana. (2020). </w:t>
      </w:r>
      <w:r>
        <w:rPr>
          <w:i/>
        </w:rPr>
        <w:t>Road Transport and Safety Strategy Report</w:t>
      </w:r>
      <w:r>
        <w:t>. Ministry of Transport and Communications. Gaborone: Government Printer.</w:t>
      </w:r>
    </w:p>
    <w:p>
      <w:pPr>
        <w:spacing w:after="80"/>
        <w:ind w:left="576" w:hanging="576"/>
      </w:pPr>
      <w:r>
        <w:t xml:space="preserve">Leong, C., Tan, B., &amp; Xiao, X. (2021). Optimizing public service delivery through smart appointment systems. </w:t>
      </w:r>
      <w:r>
        <w:rPr>
          <w:i/>
        </w:rPr>
        <w:t>Journal of Information Technology</w:t>
      </w:r>
      <w:r>
        <w:t xml:space="preserve">, 36(2), 145–162. </w:t>
      </w:r>
      <w:hyperlink r:id="rId11">
        <w:r>
          <w:rPr>
            <w:color w:val="004B87"/>
            <w:u w:val="single"/>
          </w:rPr>
          <w:t>https://doi.org/10.1177/0268396220978742</w:t>
        </w:r>
      </w:hyperlink>
    </w:p>
    <w:p>
      <w:pPr>
        <w:spacing w:after="80"/>
        <w:ind w:left="576" w:hanging="576"/>
      </w:pPr>
      <w:r>
        <w:t xml:space="preserve">Mpofu, R., &amp; Ohei, K. N. (2022). Digital transformation of small enterprises in developing economies: Directory platforms and market visibility. </w:t>
      </w:r>
      <w:r>
        <w:rPr>
          <w:i/>
        </w:rPr>
        <w:t>African Journal of Information Systems</w:t>
      </w:r>
      <w:r>
        <w:t xml:space="preserve">, 14(1), 45–63. </w:t>
      </w:r>
      <w:hyperlink r:id="rId14">
        <w:r>
          <w:rPr>
            <w:color w:val="004B87"/>
            <w:u w:val="single"/>
          </w:rPr>
          <w:t>https://digitalcommons.kennesaw.edu/ajis/vol14/iss1/3/</w:t>
        </w:r>
      </w:hyperlink>
    </w:p>
    <w:p>
      <w:pPr>
        <w:spacing w:after="80"/>
        <w:ind w:left="576" w:hanging="576"/>
      </w:pPr>
      <w:r>
        <w:t xml:space="preserve">Pressman, R. S., &amp; Maxim, B. R. (2020). </w:t>
      </w:r>
      <w:r>
        <w:rPr>
          <w:i/>
        </w:rPr>
        <w:t>Software Engineering: A Practitioner's Approach</w:t>
      </w:r>
      <w:r>
        <w:t xml:space="preserve"> (9th ed.). McGraw-Hill Education.</w:t>
      </w:r>
    </w:p>
    <w:p>
      <w:pPr>
        <w:spacing w:after="80"/>
        <w:ind w:left="576" w:hanging="576"/>
      </w:pPr>
      <w:r>
        <w:t xml:space="preserve">Rochet, J. C., &amp; Tirole, J. (2003). Platform competition in two-sided markets. </w:t>
      </w:r>
      <w:r>
        <w:rPr>
          <w:i/>
        </w:rPr>
        <w:t>Journal of the European Economic Association</w:t>
      </w:r>
      <w:r>
        <w:t xml:space="preserve">, 1(4), 990–1029. </w:t>
      </w:r>
      <w:hyperlink r:id="rId12">
        <w:r>
          <w:rPr>
            <w:color w:val="004B87"/>
            <w:u w:val="single"/>
          </w:rPr>
          <w:t>https://doi.org/10.1162/154247603322494952</w:t>
        </w:r>
      </w:hyperlink>
    </w:p>
    <w:p>
      <w:pPr>
        <w:spacing w:after="80"/>
        <w:ind w:left="576" w:hanging="576"/>
      </w:pPr>
      <w:r>
        <w:t xml:space="preserve">Silberschatz, A., Korth, H. F., &amp; Sudarshan, S. (2020). </w:t>
      </w:r>
      <w:r>
        <w:rPr>
          <w:i/>
        </w:rPr>
        <w:t>Database System Concepts</w:t>
      </w:r>
      <w:r>
        <w:t xml:space="preserve"> (7th ed.). McGraw-Hill Education.</w:t>
      </w:r>
    </w:p>
    <w:p>
      <w:pPr>
        <w:spacing w:after="80"/>
        <w:ind w:left="576" w:hanging="576"/>
      </w:pPr>
      <w:r>
        <w:t xml:space="preserve">Venkatesh, V., Morris, M. G., Davis, G. B., &amp; Davis, F. D. (2003). User acceptance of information technology: Toward a unified view. </w:t>
      </w:r>
      <w:r>
        <w:rPr>
          <w:i/>
        </w:rPr>
        <w:t>MIS Quarterly</w:t>
      </w:r>
      <w:r>
        <w:t xml:space="preserve">, 27(3), 425–478. </w:t>
      </w:r>
      <w:hyperlink r:id="rId10">
        <w:r>
          <w:rPr>
            <w:color w:val="004B87"/>
            <w:u w:val="single"/>
          </w:rPr>
          <w:t>https://doi.org/10.2307/30036540</w:t>
        </w:r>
      </w:hyperlink>
    </w:p>
    <w:p>
      <w:pPr>
        <w:spacing w:after="80"/>
        <w:ind w:left="576" w:hanging="576"/>
      </w:pPr>
      <w:r>
        <w:t xml:space="preserve">World Bank. (2021). </w:t>
      </w:r>
      <w:r>
        <w:rPr>
          <w:i/>
        </w:rPr>
        <w:t>Botswana Digital Economy Diagnostic Report</w:t>
      </w:r>
      <w:r>
        <w:t xml:space="preserve">. World Bank Group. </w:t>
      </w:r>
      <w:hyperlink r:id="rId16">
        <w:r>
          <w:rPr>
            <w:color w:val="004B87"/>
            <w:u w:val="single"/>
          </w:rPr>
          <w:t>https://documents.worldbank.org/en/publication/documents-reports/documentdetail/553581622615456276/botswana-digital-economy-diagnostic-report</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publication/200085965_Perceived_Usefulness_Perceived_Ease_of_Use_and_User_Acceptance_of_Information_Technology" TargetMode="External"/><Relationship Id="rId10" Type="http://schemas.openxmlformats.org/officeDocument/2006/relationships/hyperlink" Target="https://doi.org/10.2307/30036540" TargetMode="External"/><Relationship Id="rId11" Type="http://schemas.openxmlformats.org/officeDocument/2006/relationships/hyperlink" Target="https://doi.org/10.1177/0268396220978742" TargetMode="External"/><Relationship Id="rId12" Type="http://schemas.openxmlformats.org/officeDocument/2006/relationships/hyperlink" Target="https://doi.org/10.1162/154247603322494952" TargetMode="External"/><Relationship Id="rId13" Type="http://schemas.openxmlformats.org/officeDocument/2006/relationships/hyperlink" Target="https://doi.org/10.1287/mnsc.43.12.1676" TargetMode="External"/><Relationship Id="rId14" Type="http://schemas.openxmlformats.org/officeDocument/2006/relationships/hyperlink" Target="https://digitalcommons.kennesaw.edu/ajis/vol14/iss1/3/" TargetMode="External"/><Relationship Id="rId15" Type="http://schemas.openxmlformats.org/officeDocument/2006/relationships/hyperlink" Target="https://csrc.nist.gov/pubs/journal/2001/08/proposed-nist-standard-for-rolebased-access-contro/final" TargetMode="External"/><Relationship Id="rId16" Type="http://schemas.openxmlformats.org/officeDocument/2006/relationships/hyperlink" Target="https://documents.worldbank.org/en/publication/documents-reports/documentdetail/553581622615456276/botswana-digital-economy-diagnostic-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