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expressão,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GO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CONVERT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Assim como</w:t>
      </w:r>
      <w:r>
        <w:t xml:space="preserve"> </w:t>
      </w:r>
      <w:r>
        <w:rPr>
          <w:bCs/>
          <w:b/>
        </w:rPr>
        <w:t xml:space="preserve">CAST</w:t>
      </w:r>
      <w:r>
        <w:t xml:space="preserve">, converte os tipos dos dados, porem com mais recursos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de algum formato de data espefico.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 função mais recomendada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 tipo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códigos dos formatos de date podem ser obtidos na documentação, porem os principais códigos são: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CONVERT</w:t>
      </w:r>
      <w:r>
        <w:t xml:space="preserve">(novo_tipo,</w:t>
      </w:r>
      <w:r>
        <w:t xml:space="preserve"> </w:t>
      </w:r>
      <w:r>
        <w:rPr>
          <w:iCs/>
          <w:i/>
        </w:rPr>
        <w:t xml:space="preserve">@variável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código_do_formato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2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5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5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8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3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3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6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71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7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7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7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7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80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0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4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4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5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5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5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6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8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9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9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91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2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3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4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5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6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7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7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7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7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200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200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201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2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5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7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10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10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2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2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4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4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4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4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2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2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2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21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</w:pPr>
      <w:r>
        <w:t xml:space="preserve">Sobre permissões: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8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8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8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31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3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3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4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4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4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5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5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5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6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6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40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40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2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2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2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3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3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3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4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4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4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4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9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9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9"/>
        </w:numPr>
      </w:pPr>
      <w:r>
        <w:t xml:space="preserve">Desvantagens: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9"/>
        </w:numPr>
      </w:pPr>
      <w:r>
        <w:t xml:space="preserve">Vantagens: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2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2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62" w:name="X4246a1df18fcae87d93343bbfa059b5c581f0a6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estrutura, Conversão de tipos e atribuição de variáveis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Transact-SQL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é uma extensão da linguagem SQL implementada pela</w:t>
      </w:r>
      <w:r>
        <w:t xml:space="preserve"> </w:t>
      </w:r>
      <w:r>
        <w:rPr>
          <w:bCs/>
          <w:b/>
        </w:rPr>
        <w:t xml:space="preserve">Microsoft</w:t>
      </w:r>
      <w:r>
        <w:t xml:space="preserve"> </w:t>
      </w:r>
      <w:r>
        <w:t xml:space="preserve">para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 Ela acrescenta recursos evoluindo as seguintes características do SQL: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Controle de fluxo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Variáveis locais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Várias funções de suporte ao processamento de strings, datas, matemáticas, etc.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Condicionais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adiciona recursos de programação ao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5"/>
        </w:numPr>
      </w:pPr>
      <w:r>
        <w:t xml:space="preserve">Engloba uma série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de modo que um grupo de instruções possa ser executado.</w:t>
      </w:r>
      <w:r>
        <w:br/>
      </w:r>
    </w:p>
    <w:p>
      <w:pPr>
        <w:numPr>
          <w:ilvl w:val="0"/>
          <w:numId w:val="1255"/>
        </w:numPr>
      </w:pP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são palavras-chave da linguagem de controle de fluxo.</w:t>
      </w:r>
      <w:r>
        <w:br/>
      </w:r>
    </w:p>
    <w:p>
      <w:pPr>
        <w:numPr>
          <w:ilvl w:val="0"/>
          <w:numId w:val="1255"/>
        </w:numPr>
      </w:pPr>
      <w:r>
        <w:t xml:space="preserve">Dentro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vem o bloco de instruções de programação.</w:t>
      </w:r>
      <w:r>
        <w:br/>
      </w:r>
    </w:p>
    <w:p>
      <w:pPr>
        <w:numPr>
          <w:ilvl w:val="0"/>
          <w:numId w:val="1255"/>
        </w:numPr>
      </w:pPr>
      <w:r>
        <w:t xml:space="preserve">O bloco de instruções, por boas práticas, deve ser indentado dentro do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55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[bloco de instruções SQL]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sinaliza o final de um lote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para os utilitários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6"/>
        </w:numPr>
      </w:pPr>
      <w:r>
        <w:t xml:space="preserve">No caso de usar instruções</w:t>
      </w:r>
      <w:r>
        <w:t xml:space="preserve"> </w:t>
      </w:r>
      <w:r>
        <w:rPr>
          <w:bCs/>
          <w:b/>
        </w:rPr>
        <w:t xml:space="preserve">TSQL</w:t>
      </w:r>
      <w:r>
        <w:t xml:space="preserve">,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delimita o lote, memória RAM, logo instruções que forem inseridas após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não serão reconhecidas.</w:t>
      </w:r>
      <w:r>
        <w:br/>
      </w:r>
    </w:p>
    <w:p>
      <w:pPr>
        <w:numPr>
          <w:ilvl w:val="0"/>
          <w:numId w:val="1256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 5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A variável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vai retornar</w:t>
      </w:r>
      <w:r>
        <w:t xml:space="preserve"> </w:t>
      </w:r>
      <w:r>
        <w:rPr>
          <w:bCs/>
          <w:b/>
        </w:rPr>
        <w:t xml:space="preserve">ERROR</w:t>
      </w:r>
      <w:r>
        <w:t xml:space="preserve">, pois não será reconhecida como uma variável declarada, dado que o lote em que a variavel foi declarada é outro.</w:t>
      </w:r>
      <w:r>
        <w:br/>
      </w:r>
    </w:p>
    <w:p>
      <w:r>
        <w:br w:type="page"/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7"/>
        </w:numPr>
      </w:pPr>
      <w:r>
        <w:t xml:space="preserve">Toda variável recebe um tipo, logo para manipular as variaveis é imprescindível a conversão de tipo.</w:t>
      </w:r>
      <w:r>
        <w:br/>
      </w:r>
    </w:p>
    <w:p>
      <w:pPr>
        <w:numPr>
          <w:ilvl w:val="0"/>
          <w:numId w:val="125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é comum o uso de conversão de tipos para trabalhar com variáveis, seja por necessidade de manipular as variáveis, ou imprimir elas na tela.</w:t>
      </w:r>
      <w:r>
        <w:br/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p>
      <w:pPr>
        <w:numPr>
          <w:ilvl w:val="0"/>
          <w:numId w:val="1258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normalmente é a mais utilizada para conversão de tipos.</w:t>
      </w:r>
      <w:r>
        <w:br/>
      </w:r>
    </w:p>
    <w:p>
      <w:pPr>
        <w:numPr>
          <w:ilvl w:val="0"/>
          <w:numId w:val="1258"/>
        </w:numPr>
      </w:pPr>
      <w:r>
        <w:t xml:space="preserve">Exceção de conversão dos tipos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…), nestes casos é mais aconselhavel, por questão de recursos, 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.</w:t>
      </w:r>
      <w:r>
        <w:br/>
      </w:r>
    </w:p>
    <w:p>
      <w:pPr>
        <w:numPr>
          <w:ilvl w:val="0"/>
          <w:numId w:val="1258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pPr>
        <w:numPr>
          <w:ilvl w:val="0"/>
          <w:numId w:val="125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 </w:t>
      </w:r>
      <w:r>
        <w:t xml:space="preserve">também converte os tipos das variáveis, porem oferece mais recursos para conversão dos tipos data para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t xml:space="preserve">O principal recurso é o codigo para formatos de datas especificas.</w:t>
      </w:r>
      <w:r>
        <w:br/>
      </w:r>
    </w:p>
    <w:p>
      <w:pPr>
        <w:numPr>
          <w:ilvl w:val="0"/>
          <w:numId w:val="1259"/>
        </w:numPr>
      </w:pPr>
      <w:r>
        <w:t xml:space="preserve">Converte de um tipo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 para algum formato de data especifico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(Ver documentação para obter os codigos).</w:t>
      </w:r>
      <w:r>
        <w:br/>
      </w:r>
    </w:p>
    <w:p>
      <w:pPr>
        <w:numPr>
          <w:ilvl w:val="0"/>
          <w:numId w:val="1259"/>
        </w:numPr>
      </w:pPr>
      <w:r>
        <w:t xml:space="preserve">Principais códigos: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0"/>
          <w:numId w:val="12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6"/>
    <w:bookmarkEnd w:id="157"/>
    <w:bookmarkStart w:id="158" w:name="atribuição-de-variáveis-em-tsql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Atribuição de variáveis em TSQL</w:t>
      </w:r>
    </w:p>
    <w:p>
      <w:pPr>
        <w:numPr>
          <w:ilvl w:val="0"/>
          <w:numId w:val="1261"/>
        </w:numPr>
        <w:pStyle w:val="Compact"/>
      </w:pPr>
      <w:r>
        <w:t xml:space="preserve">Usando variáveis: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Declaração</w:t>
      </w:r>
      <w:r>
        <w:br/>
      </w:r>
      <w:r>
        <w:t xml:space="preserve">Declaração de variáveis fora de alguma função, ficam armazenada na memoria RAM, pronta para ser usada, mas limitadas ao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tipo [=</w:t>
      </w:r>
      <w:r>
        <w:t xml:space="preserve"> </w:t>
      </w:r>
      <w:r>
        <w:rPr>
          <w:iCs/>
          <w:i/>
        </w:rPr>
        <w:t xml:space="preserve">valor_default</w:t>
      </w:r>
      <w:r>
        <w:t xml:space="preserve">]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Atribuição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Retornar valor (ou outra forma de atribuição)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[</w:t>
      </w:r>
      <w:r>
        <w:rPr>
          <w:iCs/>
          <w:i/>
        </w:rPr>
        <w:t xml:space="preserve">tabela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DELETED</w:t>
      </w:r>
      <w:r>
        <w:t xml:space="preserve">]</w:t>
      </w:r>
      <w:r>
        <w:br/>
      </w:r>
    </w:p>
    <w:bookmarkEnd w:id="158"/>
    <w:bookmarkStart w:id="161" w:name="Xe70e658781232e7920afd7402c0ecb986348666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Atribuição de variáveis atraves de consultas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63"/>
        </w:numPr>
      </w:pPr>
      <w:r>
        <w:t xml:space="preserve">Outra forma de atribuir valor, em variáveis, é atraves de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3"/>
        </w:numPr>
      </w:pPr>
      <w:r>
        <w:t xml:space="preserve">O retorno deve ser de uma consulta simples de um só resultado.</w:t>
      </w:r>
      <w:r>
        <w:br/>
      </w:r>
    </w:p>
    <w:p>
      <w:pPr>
        <w:numPr>
          <w:ilvl w:val="0"/>
          <w:numId w:val="1263"/>
        </w:numPr>
      </w:pPr>
      <w:r>
        <w:t xml:space="preserve">As duas formas de atribuição:</w:t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SET</w:t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SELECT</w:t>
      </w:r>
    </w:p>
    <w:bookmarkStart w:id="159" w:name="Xe9ea3a21e90376f8040fc180aeea2bcf4e3d4cd"/>
    <w:p>
      <w:pPr>
        <w:pStyle w:val="Heading3"/>
      </w:pPr>
      <w:r>
        <w:rPr>
          <w:rStyle w:val="SectionNumber"/>
        </w:rPr>
        <w:t xml:space="preserve">17.6.1</w:t>
      </w:r>
      <w:r>
        <w:tab/>
      </w:r>
      <w:r>
        <w:t xml:space="preserve">Atribuição de variável atraves de consultas em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usando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265"/>
        </w:numPr>
      </w:pPr>
      <w:r>
        <w:t xml:space="preserve">No caso de usar há atribuição de variáveis, atraves de consultas, usando o comando</w:t>
      </w:r>
      <w:r>
        <w:t xml:space="preserve"> </w:t>
      </w:r>
      <w:r>
        <w:rPr>
          <w:bCs/>
          <w:b/>
        </w:rPr>
        <w:t xml:space="preserve">SET</w:t>
      </w:r>
      <w:r>
        <w:t xml:space="preserve">, 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deve ficar entre parenteses.</w:t>
      </w:r>
      <w:r>
        <w:br/>
      </w:r>
    </w:p>
    <w:p>
      <w:pPr>
        <w:numPr>
          <w:ilvl w:val="0"/>
          <w:numId w:val="1265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@V_CONT_FORD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@V_CONT_FORD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FABRICANTE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FORD</w:t>
      </w:r>
      <w:r>
        <w:t xml:space="preserve">’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QTD FORD: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@V_CONT_FORD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bCs/>
          <w:b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9"/>
    <w:bookmarkStart w:id="160" w:name="Xb832fd65191c8a070cd94a9e3bd36dc863ab10c"/>
    <w:p>
      <w:pPr>
        <w:pStyle w:val="Heading3"/>
      </w:pPr>
      <w:r>
        <w:rPr>
          <w:rStyle w:val="SectionNumber"/>
        </w:rPr>
        <w:t xml:space="preserve">17.6.2</w:t>
      </w:r>
      <w:r>
        <w:tab/>
      </w:r>
      <w:r>
        <w:t xml:space="preserve">Atribuição de variável atraves de consultas em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usando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266"/>
        </w:numPr>
      </w:pPr>
      <w:r>
        <w:t xml:space="preserve">No caso de usar há atribuição de variáveis, atraves de consultas, usando 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, 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direta.</w:t>
      </w:r>
      <w:r>
        <w:br/>
      </w:r>
    </w:p>
    <w:p>
      <w:pPr>
        <w:numPr>
          <w:ilvl w:val="0"/>
          <w:numId w:val="1266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FABRICANTE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FIAT</w:t>
      </w:r>
      <w:r>
        <w:t xml:space="preserve">’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QTD FIAT: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End w:id="161"/>
    <w:bookmarkEnd w:id="162"/>
    <w:bookmarkStart w:id="165" w:name="Xe6d1ac6f3decf7f40b946e2694ae73a50dc022e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Modulo 29 parte 2 -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condicionais e loop</w:t>
      </w:r>
    </w:p>
    <w:bookmarkStart w:id="163" w:name="condicionais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Condicionais</w:t>
      </w:r>
    </w:p>
    <w:bookmarkEnd w:id="163"/>
    <w:bookmarkStart w:id="164" w:name="loop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Loop</w:t>
      </w:r>
    </w:p>
    <w:p>
      <w:r>
        <w:br w:type="page"/>
      </w:r>
    </w:p>
    <w:bookmarkEnd w:id="164"/>
    <w:bookmarkEnd w:id="165"/>
    <w:bookmarkStart w:id="173" w:name="categorias-de-coman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Categorias de comandos</w:t>
      </w:r>
    </w:p>
    <w:bookmarkStart w:id="166" w:name="X270a1cfe695a38f2810d4be4d20506698cbbf4b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67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7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7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66"/>
    <w:bookmarkStart w:id="167" w:name="X86641bc228d5beeb1a104189fb64d745b5ac3fa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73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7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7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77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78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77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79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80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80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80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81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82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1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1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8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1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85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87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87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7"/>
    <w:bookmarkStart w:id="171" w:name="Xcfe9bd57e3508e272920d3f8feac053a34a9b28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68" w:name="login"/>
    <w:p>
      <w:pPr>
        <w:pStyle w:val="Heading3"/>
      </w:pPr>
      <w:r>
        <w:rPr>
          <w:rStyle w:val="SectionNumber"/>
        </w:rPr>
        <w:t xml:space="preserve">19.3.1</w:t>
      </w:r>
      <w:r>
        <w:tab/>
      </w:r>
      <w:r>
        <w:t xml:space="preserve">Login</w:t>
      </w:r>
    </w:p>
    <w:p>
      <w:pPr>
        <w:numPr>
          <w:ilvl w:val="0"/>
          <w:numId w:val="1289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9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90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90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91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91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1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1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9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93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93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t xml:space="preserve">Etc.</w:t>
      </w:r>
      <w:r>
        <w:br/>
      </w:r>
    </w:p>
    <w:p>
      <w:pPr>
        <w:numPr>
          <w:ilvl w:val="0"/>
          <w:numId w:val="1289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9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8"/>
    <w:bookmarkStart w:id="169" w:name="user---usuário"/>
    <w:p>
      <w:pPr>
        <w:pStyle w:val="Heading3"/>
      </w:pPr>
      <w:r>
        <w:rPr>
          <w:rStyle w:val="SectionNumber"/>
        </w:rPr>
        <w:t xml:space="preserve">19.3.2</w:t>
      </w:r>
      <w:r>
        <w:tab/>
      </w:r>
      <w:r>
        <w:t xml:space="preserve">USER - Usuário</w:t>
      </w:r>
    </w:p>
    <w:p>
      <w:pPr>
        <w:numPr>
          <w:ilvl w:val="0"/>
          <w:numId w:val="1296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8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98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96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6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6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9"/>
    <w:bookmarkStart w:id="170" w:name="permissões"/>
    <w:p>
      <w:pPr>
        <w:pStyle w:val="Heading3"/>
      </w:pPr>
      <w:r>
        <w:rPr>
          <w:rStyle w:val="SectionNumber"/>
        </w:rPr>
        <w:t xml:space="preserve">19.3.3</w:t>
      </w:r>
      <w:r>
        <w:tab/>
      </w:r>
      <w:r>
        <w:t xml:space="preserve">Permissões</w:t>
      </w:r>
    </w:p>
    <w:p>
      <w:pPr>
        <w:numPr>
          <w:ilvl w:val="0"/>
          <w:numId w:val="1302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303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304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304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3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2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305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3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302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306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2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307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70"/>
    <w:bookmarkEnd w:id="171"/>
    <w:bookmarkStart w:id="172" w:name="X6dd0b6ee3177a5c44bd4c55c53edca139ce990a"/>
    <w:p>
      <w:pPr>
        <w:pStyle w:val="Heading2"/>
      </w:pPr>
      <w:r>
        <w:rPr>
          <w:rStyle w:val="SectionNumber"/>
        </w:rPr>
        <w:t xml:space="preserve">19.4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308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3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308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8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311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3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2"/>
    <w:bookmarkEnd w:id="173"/>
    <w:bookmarkStart w:id="177" w:name="observaçõ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Observações</w:t>
      </w:r>
    </w:p>
    <w:bookmarkStart w:id="174" w:name="problemas-para-fazer-login-o-ssms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312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313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313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313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313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74"/>
    <w:bookmarkStart w:id="175" w:name="X5efb11d18397f622013015cd11d8b4aea8210ed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314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314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75"/>
    <w:bookmarkStart w:id="176" w:name="formato-da-data-no-sistema"/>
    <w:p>
      <w:pPr>
        <w:pStyle w:val="Heading2"/>
      </w:pPr>
      <w:r>
        <w:rPr>
          <w:rStyle w:val="SectionNumber"/>
        </w:rPr>
        <w:t xml:space="preserve">20.3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76"/>
    <w:bookmarkEnd w:id="177"/>
    <w:bookmarkStart w:id="179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78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29 - AULA 115.</w:t>
      </w:r>
      <w:r>
        <w:br/>
      </w:r>
    </w:p>
    <w:bookmarkEnd w:id="178"/>
    <w:bookmarkEnd w:id="1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2022-08-10T20:58:06Z</dcterms:created>
  <dcterms:modified xsi:type="dcterms:W3CDTF">2022-08-10T20:58:06Z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