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52" w:name="X438fc47b43cc543ef2c280a29951ee24f99c712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127 (Parte 2) a 130 - Estatística com Banco de dados</w:t>
      </w:r>
    </w:p>
    <w:bookmarkStart w:id="140" w:name="arredondamento-round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0"/>
    <w:bookmarkStart w:id="146" w:name="medidas-de-posição-1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Medidas de posição</w:t>
      </w:r>
    </w:p>
    <w:bookmarkStart w:id="141" w:name="média-av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nos dados, em um banco de dados, são necessários um conjunto de comandos.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 principal é a função de agregação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que serve justamente para calcular a média dos valores de uma determinada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o comando</w:t>
      </w:r>
      <w:r>
        <w:t xml:space="preserve"> </w:t>
      </w:r>
      <w:r>
        <w:rPr>
          <w:bCs/>
          <w:b/>
        </w:rPr>
        <w:t xml:space="preserve">AVG</w:t>
      </w:r>
      <w:r>
        <w:t xml:space="preserve"> </w:t>
      </w:r>
      <w:r>
        <w:t xml:space="preserve">sozinho não seja suficiente para explorar os dados. Em conjunto com filtro (</w:t>
      </w:r>
      <w:r>
        <w:rPr>
          <w:bCs/>
          <w:b/>
        </w:rPr>
        <w:t xml:space="preserve">WHERE</w:t>
      </w:r>
      <w:r>
        <w:t xml:space="preserve">), agrupar os dados (</w:t>
      </w:r>
      <w:r>
        <w:rPr>
          <w:bCs/>
          <w:b/>
        </w:rPr>
        <w:t xml:space="preserve">GROUP BY</w:t>
      </w:r>
      <w:r>
        <w:t xml:space="preserve">) e ordernar os dados (</w:t>
      </w:r>
      <w:r>
        <w:rPr>
          <w:bCs/>
          <w:b/>
        </w:rPr>
        <w:t xml:space="preserve">ORDER BY</w:t>
      </w:r>
      <w:r>
        <w:t xml:space="preserve">) seja uma melhor forma de ter um resumo de informações da média desses dados.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Colune_1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1"/>
    <w:bookmarkStart w:id="142" w:name="moda-count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dos dados, em um banco de dados, são necessários um conjunto de comandos.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Diferente da</w:t>
      </w:r>
      <w:r>
        <w:t xml:space="preserve"> </w:t>
      </w:r>
      <w:r>
        <w:rPr>
          <w:bCs/>
          <w:b/>
        </w:rPr>
        <w:t xml:space="preserve">média</w:t>
      </w:r>
      <w:r>
        <w:t xml:space="preserve">,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são os valores de maior frenquencia no conjunto de dados, podendo assim existir mais de uma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(multimodal).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 que os comandos pegam no caso da</w:t>
      </w:r>
      <w:r>
        <w:t xml:space="preserve"> </w:t>
      </w:r>
      <w:r>
        <w:rPr>
          <w:bCs/>
          <w:b/>
        </w:rPr>
        <w:t xml:space="preserve">moda</w:t>
      </w:r>
      <w:r>
        <w:t xml:space="preserve">, é a frequencia de repetição dos dados (atraves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), filtrar (</w:t>
      </w:r>
      <w:r>
        <w:rPr>
          <w:bCs/>
          <w:b/>
        </w:rPr>
        <w:t xml:space="preserve">WHERE</w:t>
      </w:r>
      <w:r>
        <w:t xml:space="preserve">), agrupar (</w:t>
      </w:r>
      <w:r>
        <w:rPr>
          <w:bCs/>
          <w:b/>
        </w:rPr>
        <w:t xml:space="preserve">GROUP BY</w:t>
      </w:r>
      <w:r>
        <w:t xml:space="preserve">) e por fim ordernar os dados (</w:t>
      </w:r>
      <w:r>
        <w:rPr>
          <w:bCs/>
          <w:b/>
        </w:rPr>
        <w:t xml:space="preserve">ORDER BY</w:t>
      </w:r>
      <w:r>
        <w:t xml:space="preserve">) priorizando as maiores frequencias (</w:t>
      </w:r>
      <w:r>
        <w:rPr>
          <w:bCs/>
          <w:b/>
        </w:rPr>
        <w:t xml:space="preserve">DESC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Com o uso do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, para limitar a aprofundidade da investigação dos dados. Por exemplo, podemos querer apenas as três principais modas, sendo essas informções suficiente sobre as modas.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QTD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QTD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3;</w:t>
      </w:r>
      <w:r>
        <w:br/>
      </w:r>
    </w:p>
    <w:bookmarkEnd w:id="142"/>
    <w:bookmarkStart w:id="143" w:name="moda-alternativa"/>
    <w:p>
      <w:pPr>
        <w:pStyle w:val="Heading3"/>
      </w:pPr>
      <w:r>
        <w:rPr>
          <w:rStyle w:val="SectionNumber"/>
        </w:rPr>
        <w:t xml:space="preserve">13.2.3</w:t>
      </w:r>
      <w:r>
        <w:tab/>
      </w:r>
      <w:r>
        <w:t xml:space="preserve">Moda alternativa</w:t>
      </w:r>
    </w:p>
    <w:p>
      <w:pPr>
        <w:numPr>
          <w:ilvl w:val="0"/>
          <w:numId w:val="1157"/>
        </w:numPr>
        <w:pStyle w:val="Compact"/>
      </w:pPr>
      <w:r>
        <w:t xml:space="preserve">Outra forma alternativa para achar a</w:t>
      </w:r>
      <w:r>
        <w:t xml:space="preserve"> </w:t>
      </w:r>
      <w:r>
        <w:rPr>
          <w:iCs/>
          <w:i/>
        </w:rPr>
        <w:t xml:space="preserve">moda</w:t>
      </w:r>
      <w:r>
        <w:t xml:space="preserve"> </w:t>
      </w:r>
      <w:r>
        <w:t xml:space="preserve">é atraves da expressão:</w:t>
      </w:r>
      <w:r>
        <w:br/>
      </w:r>
      <w:r>
        <w:rPr>
          <w:bCs/>
          <w:b/>
        </w:rPr>
        <w:t xml:space="preserve">MODE</w:t>
      </w:r>
      <w:r>
        <w:t xml:space="preserve">()</w:t>
      </w:r>
      <w:r>
        <w:t xml:space="preserve"> </w:t>
      </w:r>
      <w:r>
        <w:rPr>
          <w:bCs/>
          <w:b/>
        </w:rPr>
        <w:t xml:space="preserve">WITHIN</w:t>
      </w:r>
      <w:r>
        <w:t xml:space="preserve"> </w:t>
      </w:r>
      <w:r>
        <w:rPr>
          <w:bCs/>
          <w:b/>
        </w:rPr>
        <w:t xml:space="preserve">GROUP</w:t>
      </w:r>
      <w:r>
        <w:t xml:space="preserve">(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</w:t>
      </w:r>
      <w:r>
        <w:t xml:space="preserve">)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MODE</w:t>
      </w:r>
      <w:r>
        <w:t xml:space="preserve">(), na expressão, não recebe argumento.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O argumento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é relativo ao campo, que contém os valores do qual se quer achar a</w:t>
      </w:r>
      <w:r>
        <w:t xml:space="preserve"> </w:t>
      </w:r>
      <w:r>
        <w:rPr>
          <w:iCs/>
          <w:i/>
        </w:rPr>
        <w:t xml:space="preserve">moda</w:t>
      </w:r>
      <w:r>
        <w:t xml:space="preserve">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Essa expressão tem por caracteristica (defeito) de achar apenas uma</w:t>
      </w:r>
      <w:r>
        <w:t xml:space="preserve"> </w:t>
      </w:r>
      <w:r>
        <w:rPr>
          <w:iCs/>
          <w:i/>
        </w:rPr>
        <w:t xml:space="preserve">moda</w:t>
      </w:r>
      <w:r>
        <w:t xml:space="preserve">, não retorna as outras modas, se o campo for multimodal.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MODE</w:t>
      </w:r>
      <w:r>
        <w:t xml:space="preserve">()</w:t>
      </w:r>
      <w:r>
        <w:t xml:space="preserve"> </w:t>
      </w:r>
      <w:r>
        <w:rPr>
          <w:bCs/>
          <w:b/>
        </w:rPr>
        <w:t xml:space="preserve">WITHIN</w:t>
      </w:r>
      <w:r>
        <w:t xml:space="preserve"> </w:t>
      </w:r>
      <w:r>
        <w:rPr>
          <w:bCs/>
          <w:b/>
        </w:rPr>
        <w:t xml:space="preserve">GROUP</w:t>
      </w:r>
      <w:r>
        <w:t xml:space="preserve">(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t xml:space="preserve">;</w:t>
      </w:r>
      <w:r>
        <w:br/>
      </w:r>
    </w:p>
    <w:p>
      <w:r>
        <w:br w:type="page"/>
      </w:r>
    </w:p>
    <w:bookmarkEnd w:id="143"/>
    <w:bookmarkStart w:id="145" w:name="mediana"/>
    <w:p>
      <w:pPr>
        <w:pStyle w:val="Heading3"/>
      </w:pPr>
      <w:r>
        <w:rPr>
          <w:rStyle w:val="SectionNumber"/>
        </w:rPr>
        <w:t xml:space="preserve">13.2.4</w:t>
      </w:r>
      <w:r>
        <w:tab/>
      </w:r>
      <w:r>
        <w:t xml:space="preserve">Mediana</w:t>
      </w:r>
    </w:p>
    <w:p>
      <w:pPr>
        <w:numPr>
          <w:ilvl w:val="0"/>
          <w:numId w:val="1158"/>
        </w:numPr>
        <w:pStyle w:val="Compact"/>
      </w:pPr>
      <w:r>
        <w:t xml:space="preserve">É o valor que divide o conjunto de dados em duas partes iguais.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No caso de número de elementos impar, a mediana é o elemento central.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No caso de número de elementos par, a mediana é a média aritmética simples dos valores centrais.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Não tem uma função pré-programada para a mediana 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porém basta implementar o código (comentários entre colchetes):</w:t>
      </w:r>
      <w:r>
        <w:br/>
      </w:r>
      <w:r>
        <w:rPr>
          <w:bCs/>
          <w:b/>
        </w:rPr>
        <w:t xml:space="preserve">CREATE OR REPLACE FUNCTION</w:t>
      </w:r>
      <w:r>
        <w:t xml:space="preserve"> </w:t>
      </w:r>
      <w:r>
        <w:t xml:space="preserve">_final_median (</w:t>
      </w:r>
      <w:r>
        <w:rPr>
          <w:bCs/>
          <w:b/>
        </w:rPr>
        <w:t xml:space="preserve">NUMERIC</w:t>
      </w:r>
      <w:r>
        <w:t xml:space="preserve">[])</w:t>
      </w:r>
      <w:r>
        <w:br/>
      </w:r>
      <w:r>
        <w:rPr>
          <w:bCs/>
          <w:b/>
        </w:rPr>
        <w:t xml:space="preserve">RETURNS NUMERIC AS</w:t>
      </w:r>
      <w:r>
        <w:br/>
      </w:r>
      <w:r>
        <w:t xml:space="preserve">$$ [BLOCO DE PROGRAMACAO, ALTERA DELIMITADOR ATE ACHAR ELE NOVAMENTE]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unnest</w:t>
      </w:r>
      <w:r>
        <w:t xml:space="preserve">($1)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2 -</w:t>
      </w:r>
      <w:r>
        <w:t xml:space="preserve"> </w:t>
      </w:r>
      <w:r>
        <w:rPr>
          <w:bCs/>
          <w:b/>
        </w:rPr>
        <w:t xml:space="preserve">MOD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1), 2)</w:t>
      </w:r>
      <w:r>
        <w:br/>
      </w:r>
      <w:r>
        <w:rPr>
          <w:bCs/>
          <w:b/>
        </w:rPr>
        <w:t xml:space="preserve">OFFSET CEIL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 / 2.0) - 1</w:t>
      </w:r>
      <w:r>
        <w:br/>
      </w:r>
      <w:r>
        <w:t xml:space="preserve">)</w:t>
      </w:r>
      <w:r>
        <w:t xml:space="preserve"> </w:t>
      </w:r>
      <w:r>
        <w:rPr>
          <w:iCs/>
          <w:i/>
        </w:rPr>
        <w:t xml:space="preserve">sub</w:t>
      </w:r>
      <w:r>
        <w:t xml:space="preserve">;</w:t>
      </w:r>
      <w:r>
        <w:br/>
      </w:r>
      <w:r>
        <w:t xml:space="preserve">$$ [FIM DO BLOCO]</w:t>
      </w:r>
      <w:r>
        <w:br/>
      </w:r>
      <w:r>
        <w:rPr>
          <w:bCs/>
          <w:b/>
        </w:rPr>
        <w:t xml:space="preserve">LANGUAGE</w:t>
      </w:r>
      <w:r>
        <w:t xml:space="preserve"> </w:t>
      </w:r>
      <w:r>
        <w:t xml:space="preserve">‘</w:t>
      </w:r>
      <w:r>
        <w:t xml:space="preserve">sql</w:t>
      </w:r>
      <w:r>
        <w:t xml:space="preserve">’</w:t>
      </w:r>
      <w:r>
        <w:t xml:space="preserve"> </w:t>
      </w:r>
      <w:r>
        <w:rPr>
          <w:bCs/>
          <w:b/>
        </w:rPr>
        <w:t xml:space="preserve">IMMUTABLE</w:t>
      </w:r>
      <w:r>
        <w:t xml:space="preserve">; [DEFINE A LINGUAGEM NO BLOCO DE PROGRAMACAO]</w:t>
      </w:r>
      <w:r>
        <w:br/>
      </w:r>
      <w:r>
        <w:rPr>
          <w:bCs/>
          <w:b/>
        </w:rPr>
        <w:t xml:space="preserve">CREATE AGGREGATE</w:t>
      </w:r>
      <w:r>
        <w:t xml:space="preserve"> </w:t>
      </w:r>
      <w:r>
        <w:rPr>
          <w:iCs/>
          <w:i/>
        </w:rPr>
        <w:t xml:space="preserve">median</w:t>
      </w:r>
      <w:r>
        <w:t xml:space="preserve">(</w:t>
      </w:r>
      <w:r>
        <w:rPr>
          <w:bCs/>
          <w:b/>
        </w:rPr>
        <w:t xml:space="preserve">NUMERIC</w:t>
      </w:r>
      <w:r>
        <w:t xml:space="preserve">) (</w:t>
      </w:r>
      <w:r>
        <w:br/>
      </w:r>
      <w:r>
        <w:t xml:space="preserve">SFUNC=</w:t>
      </w:r>
      <w:r>
        <w:rPr>
          <w:iCs/>
          <w:i/>
        </w:rPr>
        <w:t xml:space="preserve">array_append</w:t>
      </w:r>
      <w:r>
        <w:t xml:space="preserve">,</w:t>
      </w:r>
      <w:r>
        <w:br/>
      </w:r>
      <w:r>
        <w:t xml:space="preserve">STYPE=</w:t>
      </w:r>
      <w:r>
        <w:rPr>
          <w:bCs/>
          <w:b/>
        </w:rPr>
        <w:t xml:space="preserve">NUMERIC</w:t>
      </w:r>
      <w:r>
        <w:t xml:space="preserve">[],</w:t>
      </w:r>
      <w:r>
        <w:br/>
      </w:r>
      <w:r>
        <w:t xml:space="preserve">FINALFUNC=_final_median,</w:t>
      </w:r>
      <w:r>
        <w:br/>
      </w:r>
      <w:r>
        <w:t xml:space="preserve">INITCOND=</w:t>
      </w:r>
      <w:r>
        <w:t xml:space="preserve">‘</w:t>
      </w:r>
      <w:r>
        <w:t xml:space="preserve">{}</w:t>
      </w:r>
      <w:r>
        <w:t xml:space="preserve">’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Após implementado o código, a função da mediana passa a ser</w:t>
      </w:r>
      <w:r>
        <w:t xml:space="preserve"> </w:t>
      </w:r>
      <w:r>
        <w:rPr>
          <w:bCs/>
          <w:b/>
        </w:rPr>
        <w:t xml:space="preserve">MEDIAN</w:t>
      </w:r>
      <w:r>
        <w:t xml:space="preserve">().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Link da wiki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da funcionalidade</w:t>
      </w:r>
      <w:r>
        <w:t xml:space="preserve"> </w:t>
      </w:r>
      <w:r>
        <w:rPr>
          <w:iCs/>
          <w:i/>
        </w:rPr>
        <w:t xml:space="preserve">mediana</w:t>
      </w:r>
      <w:r>
        <w:t xml:space="preserve"> </w:t>
      </w:r>
      <w:r>
        <w:t xml:space="preserve">e que contém código:</w:t>
      </w:r>
      <w:r>
        <w:br/>
      </w:r>
      <w:hyperlink r:id="rId144">
        <w:r>
          <w:rPr>
            <w:rStyle w:val="Hyperlink"/>
          </w:rPr>
          <w:t xml:space="preserve">https://wiki.postgresql.org/wiki/Aggregate_Median</w:t>
        </w:r>
      </w:hyperlink>
      <w:r>
        <w:br/>
      </w:r>
    </w:p>
    <w:p>
      <w:r>
        <w:br w:type="page"/>
      </w:r>
    </w:p>
    <w:bookmarkEnd w:id="145"/>
    <w:bookmarkEnd w:id="146"/>
    <w:bookmarkStart w:id="151" w:name="medidas-de-dispersão-1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Medidas de dispersão</w:t>
      </w:r>
    </w:p>
    <w:bookmarkStart w:id="147" w:name="amplitude-de-um-set-de-dados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Amplitude de um Set de dados</w:t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Amplitude</w:t>
      </w:r>
      <w:r>
        <w:t xml:space="preserve"> </w:t>
      </w:r>
      <w:r>
        <w:t xml:space="preserve">é uma medida de dispersão.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O cálculo da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é a diferença entre o valor máximo e mínimo, por consequência, as funções aplicada ao banco de dados para o cálculo são: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  <w:r>
        <w:t xml:space="preserve">Retorna o valor máximo de determinada coluna.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  <w:r>
        <w:t xml:space="preserve">Retorna o valor mínimo de determinada coluna.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Para ajudar na sumariazação dos dados, em função do cálculo da amplitude, outros comandos usados são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VALOR_MAX,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VALOR_MIN,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4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7"/>
    <w:bookmarkStart w:id="148" w:name="variância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Variância</w:t>
      </w:r>
    </w:p>
    <w:p>
      <w:pPr>
        <w:numPr>
          <w:ilvl w:val="0"/>
          <w:numId w:val="1161"/>
        </w:numPr>
      </w:pPr>
      <w:r>
        <w:t xml:space="preserve">Relaciona os desvios em torno da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(destancias dos valores ate a média).</w:t>
      </w:r>
      <w:r>
        <w:br/>
      </w:r>
    </w:p>
    <w:p>
      <w:pPr>
        <w:numPr>
          <w:ilvl w:val="0"/>
          <w:numId w:val="1161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VAR_POP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VARIANCE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1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VAR_POP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VARIANCIA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8"/>
    <w:bookmarkStart w:id="149" w:name="desvio-padrão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Desvio-padrão</w:t>
      </w:r>
    </w:p>
    <w:p>
      <w:pPr>
        <w:numPr>
          <w:ilvl w:val="0"/>
          <w:numId w:val="1163"/>
        </w:numPr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, porem com os dados na unidade original (diferente da variância que é a unidade ao quadrado).</w:t>
      </w:r>
      <w:r>
        <w:br/>
      </w:r>
    </w:p>
    <w:p>
      <w:pPr>
        <w:numPr>
          <w:ilvl w:val="0"/>
          <w:numId w:val="1163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STDDEV_POP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STDDEV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DESV_PAD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9"/>
    <w:bookmarkStart w:id="150" w:name="coeficiente-de-variação"/>
    <w:p>
      <w:pPr>
        <w:pStyle w:val="Heading3"/>
      </w:pPr>
      <w:r>
        <w:rPr>
          <w:rStyle w:val="SectionNumber"/>
        </w:rPr>
        <w:t xml:space="preserve">13.3.4</w:t>
      </w:r>
      <w:r>
        <w:tab/>
      </w:r>
      <w:r>
        <w:t xml:space="preserve">Coeficiente de variação</w:t>
      </w:r>
    </w:p>
    <w:p>
      <w:pPr>
        <w:numPr>
          <w:ilvl w:val="0"/>
          <w:numId w:val="1165"/>
        </w:numPr>
      </w:pPr>
      <w:r>
        <w:t xml:space="preserve">O cálculo do</w:t>
      </w:r>
      <w:r>
        <w:t xml:space="preserve"> </w:t>
      </w:r>
      <w:r>
        <w:rPr>
          <w:iCs/>
          <w:i/>
        </w:rPr>
        <w:t xml:space="preserve">coeficiente de variação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Passando o cálculo para funções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:</w:t>
      </w:r>
      <w:r>
        <w:br/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</w:t>
      </w:r>
      <w:r>
        <w:t xml:space="preserve">)/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</w:t>
      </w:r>
      <w:r>
        <w:t xml:space="preserve">))*100</w:t>
      </w:r>
      <w:r>
        <w:br/>
      </w:r>
    </w:p>
    <w:p>
      <w:pPr>
        <w:numPr>
          <w:ilvl w:val="0"/>
          <w:numId w:val="1165"/>
        </w:numPr>
      </w:pPr>
      <w:r>
        <w:t xml:space="preserve">Analise do</w:t>
      </w:r>
      <w:r>
        <w:t xml:space="preserve"> </w:t>
      </w:r>
      <w:r>
        <w:rPr>
          <w:iCs/>
          <w:i/>
        </w:rPr>
        <w:t xml:space="preserve">coeficiente de variação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66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66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(((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Coluna_2</w:t>
      </w:r>
      <w:r>
        <w:t xml:space="preserve">)/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))*100),2)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COEF.VAR.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50"/>
    <w:bookmarkEnd w:id="151"/>
    <w:bookmarkEnd w:id="152"/>
    <w:bookmarkStart w:id="157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54" w:name="Xe905c48ead57695f6acee3458bfda7f5825cda5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Wiki para pesquisar funcionalidades do</w:t>
      </w:r>
      <w:r>
        <w:t xml:space="preserve"> </w:t>
      </w:r>
      <w:r>
        <w:rPr>
          <w:bCs/>
          <w:b/>
        </w:rPr>
        <w:t xml:space="preserve">PostgreSQL</w:t>
      </w:r>
    </w:p>
    <w:p>
      <w:pPr>
        <w:pStyle w:val="FirstParagraph"/>
      </w:pPr>
      <w:hyperlink r:id="rId153">
        <w:r>
          <w:rPr>
            <w:rStyle w:val="Hyperlink"/>
          </w:rPr>
          <w:t xml:space="preserve">https://wiki.postgresql.org/wiki/Main_Page/pt</w:t>
        </w:r>
      </w:hyperlink>
      <w:r>
        <w:br/>
      </w:r>
    </w:p>
    <w:bookmarkEnd w:id="154"/>
    <w:bookmarkStart w:id="155" w:name="exportação-de-dado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Exportação de dados</w:t>
      </w:r>
    </w:p>
    <w:p>
      <w:pPr>
        <w:numPr>
          <w:ilvl w:val="0"/>
          <w:numId w:val="1167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55"/>
    <w:bookmarkStart w:id="156" w:name="Xa8bf588064960458c5d85f6667a5ef7152c8394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69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56"/>
    <w:bookmarkEnd w:id="157"/>
    <w:bookmarkStart w:id="159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58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131.</w:t>
      </w:r>
      <w:r>
        <w:br/>
      </w:r>
    </w:p>
    <w:bookmarkEnd w:id="158"/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144" Target="https://wiki.postgresql.org/wiki/Aggregate_Median" TargetMode="External" /><Relationship Type="http://schemas.openxmlformats.org/officeDocument/2006/relationships/hyperlink" Id="rId153" Target="https://wiki.postgresql.org/wiki/Main_Page/pt" TargetMode="Externa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4" Target="https://wiki.postgresql.org/wiki/Aggregate_Median" TargetMode="External" /><Relationship Type="http://schemas.openxmlformats.org/officeDocument/2006/relationships/hyperlink" Id="rId153" Target="https://wiki.postgresql.org/wiki/Main_Page/pt" TargetMode="Externa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2022-10-17T06:17:38Z</dcterms:created>
  <dcterms:modified xsi:type="dcterms:W3CDTF">2022-10-17T06:17:38Z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