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50" w:name="X9deffed7f4173ac9bd20f0fcf837fb3c72d998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128 e 127 Parte 2 - Estatística com Banco de dados</w:t>
      </w:r>
    </w:p>
    <w:bookmarkStart w:id="140" w:name="arredondamento-round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0"/>
    <w:bookmarkStart w:id="144" w:name="medidas-de-posição-1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Medidas de posição</w:t>
      </w:r>
    </w:p>
    <w:bookmarkStart w:id="141" w:name="média-av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1"/>
    <w:bookmarkStart w:id="142" w:name="moda-count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6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2"/>
    <w:bookmarkStart w:id="143" w:name="mediana"/>
    <w:p>
      <w:pPr>
        <w:pStyle w:val="Heading3"/>
      </w:pPr>
      <w:r>
        <w:rPr>
          <w:rStyle w:val="SectionNumber"/>
        </w:rPr>
        <w:t xml:space="preserve">13.2.3</w:t>
      </w:r>
      <w:r>
        <w:tab/>
      </w:r>
      <w:r>
        <w:t xml:space="preserve">Mediana</w:t>
      </w:r>
    </w:p>
    <w:p>
      <w:r>
        <w:br w:type="page"/>
      </w:r>
    </w:p>
    <w:bookmarkEnd w:id="143"/>
    <w:bookmarkEnd w:id="144"/>
    <w:bookmarkStart w:id="149" w:name="medidas-de-dispersão-1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Medidas de dispersão</w:t>
      </w:r>
    </w:p>
    <w:bookmarkStart w:id="145" w:name="amplitude-de-um-set-de-dados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Amplitude de um Set de dados</w:t>
      </w:r>
    </w:p>
    <w:p>
      <w:pPr>
        <w:numPr>
          <w:ilvl w:val="0"/>
          <w:numId w:val="1157"/>
        </w:numPr>
        <w:pStyle w:val="Compact"/>
      </w:pPr>
      <w:r>
        <w:rPr>
          <w:bCs/>
          <w:b/>
        </w:rPr>
        <w:t xml:space="preserve">Amplitude</w:t>
      </w:r>
      <w:r>
        <w:t xml:space="preserve"> </w:t>
      </w:r>
      <w:r>
        <w:t xml:space="preserve">é uma medida de dispersão.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 cálculo da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é a diferença entre o valor máximo e mínimo, por consequência, as funções aplicada ao banco de dados para o cálculo 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  <w:r>
        <w:t xml:space="preserve">Retorna o valor máximo de determinada coluna.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  <w:r>
        <w:t xml:space="preserve">Retorna o valor mínimo de determinada coluna.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Para ajudar na sumariazação dos dados, em função do cálculo da amplitude, outros comandos usados são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VALOR_MAX,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VALOR_MIN,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Coluna_2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Coluna_2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5"/>
    <w:bookmarkStart w:id="146" w:name="variância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Variância</w:t>
      </w:r>
    </w:p>
    <w:p>
      <w:pPr>
        <w:numPr>
          <w:ilvl w:val="0"/>
          <w:numId w:val="1159"/>
        </w:numPr>
      </w:pPr>
      <w:r>
        <w:t xml:space="preserve">Relaciona os desvios em torno da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(destancias dos valores ate a média).</w:t>
      </w:r>
      <w:r>
        <w:br/>
      </w:r>
    </w:p>
    <w:p>
      <w:pPr>
        <w:numPr>
          <w:ilvl w:val="0"/>
          <w:numId w:val="1159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VAR_POP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VARIANCE</w:t>
      </w:r>
      <w:r>
        <w:t xml:space="preserve">()</w:t>
      </w:r>
      <w:r>
        <w:br/>
      </w:r>
      <w:r>
        <w:t xml:space="preserve">Para cálcular a</w:t>
      </w:r>
      <w:r>
        <w:t xml:space="preserve"> </w:t>
      </w:r>
      <w:r>
        <w:rPr>
          <w:iCs/>
          <w:i/>
        </w:rPr>
        <w:t xml:space="preserve">variância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59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VAR_POP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VARIANCIA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6"/>
    <w:bookmarkStart w:id="147" w:name="desvio-padrão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Desvio-padrão</w:t>
      </w:r>
    </w:p>
    <w:p>
      <w:pPr>
        <w:numPr>
          <w:ilvl w:val="0"/>
          <w:numId w:val="1161"/>
        </w:numPr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, porem com os dados na unidade original (diferente da variância que é a unidade ao quadrado).</w:t>
      </w:r>
      <w:r>
        <w:br/>
      </w:r>
    </w:p>
    <w:p>
      <w:pPr>
        <w:numPr>
          <w:ilvl w:val="0"/>
          <w:numId w:val="1161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existem funções 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 campo/coluna: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STDDEV_POP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população</w:t>
      </w:r>
      <w:r>
        <w:t xml:space="preserve">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STDDEV</w:t>
      </w:r>
      <w:r>
        <w:t xml:space="preserve">()</w:t>
      </w:r>
      <w:r>
        <w:br/>
      </w:r>
      <w:r>
        <w:t xml:space="preserve">Para cálcular o</w:t>
      </w:r>
      <w:r>
        <w:t xml:space="preserve"> </w:t>
      </w:r>
      <w:r>
        <w:rPr>
          <w:iCs/>
          <w:i/>
        </w:rPr>
        <w:t xml:space="preserve">desvio-padrão</w:t>
      </w:r>
      <w:r>
        <w:t xml:space="preserve"> </w:t>
      </w:r>
      <w:r>
        <w:t xml:space="preserve">de uma</w:t>
      </w:r>
      <w:r>
        <w:t xml:space="preserve"> </w:t>
      </w:r>
      <w:r>
        <w:rPr>
          <w:iCs/>
          <w:i/>
        </w:rPr>
        <w:t xml:space="preserve">amostra</w:t>
      </w:r>
      <w:r>
        <w:t xml:space="preserve">.</w:t>
      </w:r>
      <w:r>
        <w:br/>
      </w:r>
    </w:p>
    <w:p>
      <w:pPr>
        <w:numPr>
          <w:ilvl w:val="0"/>
          <w:numId w:val="1161"/>
        </w:numPr>
      </w:pPr>
      <w:r>
        <w:t xml:space="preserve">Para ajudar na sumarização dos dados, os comandos de filtro (</w:t>
      </w:r>
      <w:r>
        <w:rPr>
          <w:bCs/>
          <w:b/>
        </w:rPr>
        <w:t xml:space="preserve">WHERE</w:t>
      </w:r>
      <w:r>
        <w:t xml:space="preserve">), agrupamento dos dados (</w:t>
      </w:r>
      <w:r>
        <w:rPr>
          <w:bCs/>
          <w:b/>
        </w:rPr>
        <w:t xml:space="preserve">GROUP BY</w:t>
      </w:r>
      <w:r>
        <w:t xml:space="preserve">) e ordenamento dos dados (</w:t>
      </w:r>
      <w:r>
        <w:rPr>
          <w:bCs/>
          <w:b/>
        </w:rPr>
        <w:t xml:space="preserve">ORDER BY</w:t>
      </w:r>
      <w:r>
        <w:t xml:space="preserve">) ainda de mostram importantes.</w:t>
      </w:r>
      <w:r>
        <w:br/>
      </w:r>
    </w:p>
    <w:p>
      <w:pPr>
        <w:numPr>
          <w:ilvl w:val="0"/>
          <w:numId w:val="116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MAXIMO,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MINIMO,</w:t>
      </w:r>
      <w:r>
        <w:br/>
      </w:r>
      <w:r>
        <w:t xml:space="preserve">(</w:t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QTD</w:t>
      </w:r>
      <w:r>
        <w:t xml:space="preserve">) -</w:t>
      </w:r>
      <w:r>
        <w:t xml:space="preserve"> </w:t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QTD</w:t>
      </w:r>
      <w:r>
        <w:t xml:space="preserve">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AMPLITUDE,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STDDEV_POP</w:t>
      </w:r>
      <w:r>
        <w:t xml:space="preserve">(</w:t>
      </w:r>
      <w:r>
        <w:rPr>
          <w:iCs/>
          <w:i/>
        </w:rPr>
        <w:t xml:space="preserve">QTD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DESV_PAD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6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7"/>
    <w:bookmarkStart w:id="148" w:name="coeficiente-de-variação"/>
    <w:p>
      <w:pPr>
        <w:pStyle w:val="Heading3"/>
      </w:pPr>
      <w:r>
        <w:rPr>
          <w:rStyle w:val="SectionNumber"/>
        </w:rPr>
        <w:t xml:space="preserve">13.3.4</w:t>
      </w:r>
      <w:r>
        <w:tab/>
      </w:r>
      <w:r>
        <w:t xml:space="preserve">Coeficiente de variação</w:t>
      </w:r>
    </w:p>
    <w:p>
      <w:r>
        <w:br w:type="page"/>
      </w:r>
    </w:p>
    <w:bookmarkEnd w:id="148"/>
    <w:bookmarkEnd w:id="149"/>
    <w:bookmarkEnd w:id="150"/>
    <w:bookmarkStart w:id="153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51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63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51"/>
    <w:bookmarkStart w:id="152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65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52"/>
    <w:bookmarkEnd w:id="153"/>
    <w:bookmarkStart w:id="155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54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130.</w:t>
      </w:r>
      <w:r>
        <w:br/>
      </w:r>
    </w:p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2022-10-12T03:13:33Z</dcterms:created>
  <dcterms:modified xsi:type="dcterms:W3CDTF">2022-10-12T03:13:33Z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