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data.table).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argumento</w:t>
      </w:r>
      <w:r>
        <w:t xml:space="preserve">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vetor</w:t>
      </w:r>
      <w:r>
        <w:t xml:space="preserve">),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iCs/>
          <w:i/>
        </w:rPr>
        <w:t xml:space="preserve">L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variavel_1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is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iCs/>
          <w:i/>
        </w:rPr>
        <w:t xml:space="preserve">nome_do_vetor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</w:t>
      </w:r>
      <w:r>
        <w:t xml:space="preserve">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]][</w:t>
      </w:r>
      <w:r>
        <w:rPr>
          <w:iCs/>
          <w:i/>
        </w:rPr>
        <w:t xml:space="preserve">posição_dento_da_lista_ou_vetor_do_elemento</w:t>
      </w:r>
      <w:r>
        <w:t xml:space="preserve">]</w:t>
      </w:r>
      <w:r>
        <w:br/>
      </w:r>
    </w:p>
    <w:p>
      <w:r>
        <w:br w:type="page"/>
      </w:r>
    </w:p>
    <w:bookmarkEnd w:id="53"/>
    <w:bookmarkEnd w:id="54"/>
    <w:bookmarkStart w:id="55" w:name="aula-12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12 - Matrizes e Data.frames</w:t>
      </w:r>
    </w:p>
    <w:p>
      <w:r>
        <w:br w:type="page"/>
      </w:r>
    </w:p>
    <w:bookmarkEnd w:id="55"/>
    <w:bookmarkStart w:id="56" w:name="aula-13--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13 -</w:t>
      </w:r>
    </w:p>
    <w:p>
      <w:r>
        <w:br w:type="page"/>
      </w:r>
    </w:p>
    <w:bookmarkEnd w:id="56"/>
    <w:bookmarkStart w:id="57" w:name="aula-14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14 -</w:t>
      </w:r>
    </w:p>
    <w:p>
      <w:r>
        <w:br w:type="page"/>
      </w:r>
    </w:p>
    <w:bookmarkEnd w:id="57"/>
    <w:bookmarkStart w:id="58" w:name="aula-15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15 -</w:t>
      </w:r>
    </w:p>
    <w:p>
      <w:r>
        <w:br w:type="page"/>
      </w:r>
    </w:p>
    <w:bookmarkEnd w:id="58"/>
    <w:bookmarkStart w:id="59" w:name="aula-16--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16 -</w:t>
      </w:r>
    </w:p>
    <w:p>
      <w:r>
        <w:br w:type="page"/>
      </w:r>
    </w:p>
    <w:bookmarkEnd w:id="59"/>
    <w:bookmarkStart w:id="60" w:name="aula-17--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Aula 17 -</w:t>
      </w:r>
    </w:p>
    <w:p>
      <w:r>
        <w:br w:type="page"/>
      </w:r>
    </w:p>
    <w:bookmarkEnd w:id="60"/>
    <w:bookmarkStart w:id="62" w:name="andamento-dos-estu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Andamento dos Estudos</w:t>
      </w:r>
    </w:p>
    <w:bookmarkStart w:id="61" w:name="assunto-em-andamento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11.</w:t>
      </w:r>
      <w:r>
        <w:br/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2022-05-23T04:33:10Z</dcterms:created>
  <dcterms:modified xsi:type="dcterms:W3CDTF">2022-05-23T04:33:10Z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2022-05-23</vt:lpwstr>
  </property>
  <property fmtid="{D5CDD505-2E9C-101B-9397-08002B2CF9AE}" pid="3" name="output">
    <vt:lpwstr/>
  </property>
</Properties>
</file>