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2022-03-20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8" w:name="módulo-3---comandos"/>
    <w:p>
      <w:pPr>
        <w:pStyle w:val="Heading1"/>
      </w:pPr>
      <w:r>
        <w:t xml:space="preserve">Módulo 3 - Comandos</w:t>
      </w:r>
    </w:p>
    <w:bookmarkStart w:id="25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25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Colocando as colunas. </w:t>
      </w:r>
    </w:p>
    <w:p>
      <w:pPr>
        <w:numPr>
          <w:ilvl w:val="2"/>
          <w:numId w:val="1028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5"/>
    <w:bookmarkStart w:id="26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30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31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30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6"/>
    <w:bookmarkStart w:id="27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33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27"/>
    <w:bookmarkEnd w:id="28"/>
    <w:bookmarkStart w:id="32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29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41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46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49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49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50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50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29"/>
    <w:bookmarkStart w:id="30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53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53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5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53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0"/>
    <w:bookmarkStart w:id="31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57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57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57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1"/>
    <w:bookmarkEnd w:id="32"/>
    <w:bookmarkStart w:id="35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3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59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Existe como voltar atrás de um</w:t>
      </w:r>
      <w:r>
        <w:t xml:space="preserve"> </w:t>
      </w:r>
      <w:r>
        <w:rPr>
          <w:bCs/>
          <w:b/>
        </w:rPr>
        <w:t xml:space="preserve">UPDATE</w:t>
      </w:r>
      <w:r>
        <w:t xml:space="preserve">, desfazer um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ROLLBACK</w:t>
      </w:r>
      <w:r>
        <w:br/>
      </w:r>
    </w:p>
    <w:p>
      <w:r>
        <w:br w:type="page"/>
      </w:r>
    </w:p>
    <w:bookmarkEnd w:id="33"/>
    <w:bookmarkStart w:id="34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63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4"/>
    <w:bookmarkEnd w:id="35"/>
    <w:bookmarkStart w:id="36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67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68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68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36"/>
    <w:bookmarkStart w:id="38" w:name="andamento-dos-estudos"/>
    <w:p>
      <w:pPr>
        <w:pStyle w:val="Heading1"/>
      </w:pPr>
      <w:r>
        <w:t xml:space="preserve">Andamento dos Estudos</w:t>
      </w:r>
    </w:p>
    <w:bookmarkStart w:id="37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Seção 8.</w:t>
      </w:r>
      <w:r>
        <w:br/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2022-03-20T17:59:28Z</dcterms:created>
  <dcterms:modified xsi:type="dcterms:W3CDTF">2022-03-20T17:59:28Z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2022-03-20</vt:lpwstr>
  </property>
  <property fmtid="{D5CDD505-2E9C-101B-9397-08002B2CF9AE}" pid="3" name="output">
    <vt:lpwstr/>
  </property>
</Properties>
</file>