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2022-03-23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5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6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5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8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8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6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6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1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8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8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8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0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2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2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2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8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4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Existe como voltar atrás de um</w:t>
      </w:r>
      <w:r>
        <w:t xml:space="preserve"> </w:t>
      </w:r>
      <w:r>
        <w:rPr>
          <w:bCs/>
          <w:b/>
        </w:rPr>
        <w:t xml:space="preserve">UPDATE</w:t>
      </w:r>
      <w:r>
        <w:t xml:space="preserve">, desfazer um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077"/>
        </w:numPr>
        <w:pStyle w:val="Compact"/>
      </w:pPr>
      <w:r>
        <w:rPr>
          <w:bCs/>
          <w:b/>
        </w:rPr>
        <w:t xml:space="preserve">ROLLBACK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End w:id="38"/>
    <w:bookmarkStart w:id="42" w:name="módulo-8---modelagem"/>
    <w:p>
      <w:pPr>
        <w:pStyle w:val="Heading1"/>
      </w:pPr>
      <w:r>
        <w:t xml:space="preserve">Módulo 8 - Modelagem</w:t>
      </w:r>
    </w:p>
    <w:bookmarkStart w:id="39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2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89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0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0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0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89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1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1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1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39"/>
    <w:bookmarkStart w:id="40" w:name="segunda-forma-normal"/>
    <w:p>
      <w:pPr>
        <w:pStyle w:val="Heading2"/>
      </w:pPr>
      <w:r>
        <w:t xml:space="preserve">Segunda forma normal</w:t>
      </w:r>
    </w:p>
    <w:bookmarkEnd w:id="40"/>
    <w:bookmarkStart w:id="41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1"/>
    <w:bookmarkEnd w:id="42"/>
    <w:bookmarkStart w:id="43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9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93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93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43"/>
    <w:bookmarkStart w:id="45" w:name="andamento-dos-estudos"/>
    <w:p>
      <w:pPr>
        <w:pStyle w:val="Heading1"/>
      </w:pPr>
      <w:r>
        <w:t xml:space="preserve">Andamento dos Estudos</w:t>
      </w:r>
    </w:p>
    <w:bookmarkStart w:id="44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8.</w:t>
      </w:r>
      <w:r>
        <w:br/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6">
    <w:abstractNumId w:val="991"/>
  </w:num>
  <w:num w:numId="108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2022-03-23T03:22:01Z</dcterms:created>
  <dcterms:modified xsi:type="dcterms:W3CDTF">2022-03-23T03:22:01Z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2022-03-23</vt:lpwstr>
  </property>
  <property fmtid="{D5CDD505-2E9C-101B-9397-08002B2CF9AE}" pid="3" name="output">
    <vt:lpwstr/>
  </property>
</Properties>
</file>