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9.png" ContentType="image/png"/>
  <Override PartName="/word/media/rId517.png" ContentType="image/png"/>
  <Override PartName="/word/media/rId520.png" ContentType="image/png"/>
  <Override PartName="/word/media/rId526.png" ContentType="image/png"/>
  <Override PartName="/word/media/rId523.png" ContentType="image/png"/>
  <Override PartName="/word/media/rId505.png" ContentType="image/png"/>
  <Override PartName="/word/media/rId531.png" ContentType="image/png"/>
  <Override PartName="/word/media/rId540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11</w:t>
      </w:r>
      <w:r>
        <w:t xml:space="preserve"> </w:t>
      </w:r>
      <w:r>
        <w:t xml:space="preserve">novembro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44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 (prefixo + função).</w:t>
      </w:r>
      <w:r>
        <w:br/>
      </w:r>
      <w:r>
        <w:t xml:space="preserve">Os paramêtros da função</w:t>
      </w:r>
      <w:r>
        <w:t xml:space="preserve"> </w:t>
      </w:r>
      <w:r>
        <w:rPr>
          <w:rStyle w:val="VerbatimChar"/>
        </w:rPr>
        <w:t xml:space="preserve">norm</w:t>
      </w:r>
      <w:r>
        <w:t xml:space="preserve"> </w:t>
      </w:r>
      <w:r>
        <w:t xml:space="preserve">são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</w:t>
      </w:r>
      <w:r>
        <w:rPr>
          <w:rStyle w:val="VerbatimChar"/>
        </w:rPr>
        <w:t xml:space="preserve">mean</w:t>
      </w:r>
      <w:r>
        <w:t xml:space="preserve">, símbolo</w:t>
      </w:r>
      <w:r>
        <w:t xml:space="preserve"> </w:t>
      </w:r>
      <m:oMath>
        <m:r>
          <m:t>μ</m:t>
        </m:r>
      </m:oMath>
      <w:r>
        <w:t xml:space="preserve">) e o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(</w:t>
      </w:r>
      <w:r>
        <w:rPr>
          <w:rStyle w:val="VerbatimChar"/>
        </w:rPr>
        <w:t xml:space="preserve">sd</w:t>
      </w:r>
      <w:r>
        <w:t xml:space="preserve">, símbolo</w:t>
      </w:r>
      <w:r>
        <w:t xml:space="preserve"> </w:t>
      </w:r>
      <m:oMath>
        <m:r>
          <m:t>σ</m:t>
        </m:r>
      </m:oMath>
      <w:r>
        <w:t xml:space="preserve">).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media, desvio-padrão)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8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  <w:pStyle w:val="Compact"/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  <w:pStyle w:val="Compact"/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desvio-padrão da variável.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1"/>
          <w:numId w:val="1504"/>
        </w:numPr>
        <w:pStyle w:val="Compact"/>
      </w:pP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br/>
      </w:r>
      <w:r>
        <w:t xml:space="preserve">Representa a variância da variável (grau de dispersão).</w:t>
      </w:r>
      <w:r>
        <w:br/>
      </w:r>
    </w:p>
    <w:p>
      <w:pPr>
        <w:numPr>
          <w:ilvl w:val="2"/>
          <w:numId w:val="1505"/>
        </w:numPr>
        <w:pStyle w:val="Compact"/>
      </w:pPr>
      <w:r>
        <w:t xml:space="preserve">Variância populacional: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2"/>
          <w:numId w:val="1505"/>
        </w:numPr>
        <w:pStyle w:val="Compact"/>
      </w:pPr>
      <w:r>
        <w:t xml:space="preserve">Variância amostral: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pStyle w:val="FirstParagraph"/>
      </w:pPr>
      <w:r>
        <w:t xml:space="preserve">Seja a área sob a curva no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a probabilidade de algo ocorrer entre os valores de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até</w:t>
      </w:r>
      <w:r>
        <w:t xml:space="preserve"> </w:t>
      </w:r>
      <m:oMath>
        <m:r>
          <m:t>b</m:t>
        </m:r>
      </m:oMath>
      <w:r>
        <w:t xml:space="preserve">. É importante salientar que o valor da densidade, ou seja os valores de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representam as densidades, enquanto que a área sob essas densidades é a probabilidade.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Probabilidade ou área sobre a curva." title="" id="506" name="Picture"/>
            <a:graphic>
              <a:graphicData uri="http://schemas.openxmlformats.org/drawingml/2006/picture">
                <pic:pic>
                  <pic:nvPicPr>
                    <pic:cNvPr descr="./Cap10-Distribuicoes_de_probabilidade/Imagens/distribuicao_normal-area_sob_a_curva-probabilidade.png" id="507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Probabilidade ou área sobre a curva.</w:t>
      </w:r>
    </w:p>
    <w:p>
      <w:pPr>
        <w:numPr>
          <w:ilvl w:val="0"/>
          <w:numId w:val="1506"/>
        </w:numPr>
        <w:pStyle w:val="Compact"/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Probabilidade acumulada num intervalo (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b</m:t>
            </m:r>
          </m:e>
        </m:d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f</m:t>
              </m:r>
              <m:r>
                <m:t>i</m:t>
              </m:r>
              <m:r>
                <m:t>n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  <m:r>
            <m:rPr>
              <m:sty m:val="p"/>
            </m:rPr>
            <m:t>−</m:t>
          </m:r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n</m:t>
              </m:r>
              <m:r>
                <m:t>i</m:t>
              </m:r>
              <m:r>
                <m:t>c</m:t>
              </m:r>
              <m:r>
                <m:t>i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Ex.: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40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55</m:t>
            </m:r>
          </m:e>
        </m:d>
      </m:oMath>
      <w:r>
        <w:t xml:space="preserve">, sendo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50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br/>
      </w:r>
      <w:r>
        <w:rPr>
          <w:rStyle w:val="VerbatimChar"/>
        </w:rPr>
        <w:t xml:space="preserve">pnorm(55,50,1) - pnorm(40,50,1)</w:t>
      </w:r>
      <w:r>
        <w:br/>
      </w:r>
      <w:r>
        <w:rPr>
          <w:rStyle w:val="VerbatimChar"/>
        </w:rPr>
        <w:t xml:space="preserve">[1] 0.9999997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Percentil</w:t>
      </w:r>
      <w:r>
        <w:t xml:space="preserve"> </w:t>
      </w:r>
      <m:oMath>
        <m:r>
          <m:t>97</m:t>
        </m:r>
        <m:r>
          <m:rPr>
            <m:sty m:val="p"/>
          </m:rPr>
          <m:t>,</m:t>
        </m:r>
        <m:r>
          <m:t>5</m:t>
        </m:r>
      </m:oMath>
      <w:r>
        <w:t xml:space="preserve"> </w:t>
      </w:r>
      <w:r>
        <w:t xml:space="preserve">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  <w:r>
        <w:rPr>
          <w:rStyle w:val="VerbatimChar"/>
        </w:rPr>
        <w:t xml:space="preserve">qnorm(0.975,0,1)</w:t>
      </w:r>
      <w:r>
        <w:br/>
      </w:r>
      <w:r>
        <w:rPr>
          <w:rStyle w:val="VerbatimChar"/>
        </w:rPr>
        <w:t xml:space="preserve">[1] 1.959964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20 números aletórios 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set.seed(30)</w:t>
      </w:r>
      <w:r>
        <w:br/>
      </w:r>
      <w:r>
        <w:rPr>
          <w:rStyle w:val="VerbatimChar"/>
        </w:rPr>
        <w:t xml:space="preserve">y &lt;- rnorm(20,0,1)</w:t>
      </w:r>
      <w:r>
        <w:br/>
      </w:r>
      <w:r>
        <w:br/>
      </w:r>
      <w:r>
        <w:rPr>
          <w:rStyle w:val="VerbatimChar"/>
        </w:rPr>
        <w:t xml:space="preserve">[1] -1.28851820 -0.34768941 -0.52162885  1.27347316  1.82452060 -1.51130794</w:t>
      </w:r>
      <w:r>
        <w:br/>
      </w:r>
      <w:r>
        <w:rPr>
          <w:rStyle w:val="VerbatimChar"/>
        </w:rPr>
        <w:t xml:space="preserve">[7]  0.11050805 -0.76079623 -0.66989702  0.27451969 -1.02327202 -1.81939791</w:t>
      </w:r>
      <w:r>
        <w:br/>
      </w:r>
      <w:r>
        <w:rPr>
          <w:rStyle w:val="VerbatimChar"/>
        </w:rPr>
        <w:t xml:space="preserve">[13] -0.66778981 -0.05929799  0.88016591  0.26851292 -0.01957938 -0.52494697</w:t>
      </w:r>
      <w:r>
        <w:br/>
      </w:r>
      <w:r>
        <w:rPr>
          <w:rStyle w:val="VerbatimChar"/>
        </w:rPr>
        <w:t xml:space="preserve">[19] -1.40933143 -1.83398921</w:t>
      </w:r>
    </w:p>
    <w:p>
      <w:pPr>
        <w:numPr>
          <w:ilvl w:val="0"/>
          <w:numId w:val="1506"/>
        </w:numPr>
        <w:pStyle w:val="Compact"/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8"/>
    <w:bookmarkStart w:id="512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8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8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8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8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3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</w:t>
      </w:r>
      <w:r>
        <w:br/>
      </w:r>
      <w:r>
        <w:rPr>
          <w:rStyle w:val="VerbatimChar"/>
        </w:rPr>
        <w:t xml:space="preserve">          args.curve = list(expr = "dnorm(x, mean(y), sd(y))",</w:t>
      </w:r>
      <w:r>
        <w:br/>
      </w:r>
      <w:r>
        <w:rPr>
          <w:rStyle w:val="VerbatimChar"/>
        </w:rPr>
        <w:t xml:space="preserve">          col = "Black"),</w:t>
      </w:r>
      <w:r>
        <w:br/>
      </w:r>
      <w:r>
        <w:rPr>
          <w:rStyle w:val="VerbatimChar"/>
        </w:rPr>
        <w:t xml:space="preserve">          args.dens = list(col = "gray"),</w:t>
      </w:r>
      <w:r>
        <w:br/>
      </w:r>
      <w:r>
        <w:rPr>
          <w:rStyle w:val="VerbatimChar"/>
        </w:rPr>
        <w:t xml:space="preserve">          #args.boxplot = NA,</w:t>
      </w:r>
      <w:r>
        <w:br/>
      </w:r>
      <w:r>
        <w:rPr>
          <w:rStyle w:val="VerbatimChar"/>
        </w:rPr>
        <w:t xml:space="preserve">          args.ecdf = NA,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10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11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12"/>
    <w:bookmarkStart w:id="513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4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4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4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6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7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3"/>
    <w:bookmarkStart w:id="514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8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4"/>
    <w:bookmarkStart w:id="515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21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21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3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4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5"/>
    <w:bookmarkStart w:id="516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5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5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5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7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6"/>
    <w:bookmarkStart w:id="529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30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31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2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3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4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5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8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3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9"/>
    <w:bookmarkStart w:id="539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30" w:name="o-que-são-dados-normaisnormalizados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normais/normalizados?</w:t>
      </w:r>
    </w:p>
    <w:bookmarkEnd w:id="530"/>
    <w:bookmarkStart w:id="538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36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36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36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r>
        <w:br w:type="page"/>
      </w:r>
    </w:p>
    <w:bookmarkStart w:id="534" w:name="distribuição-normal-padronizada"/>
    <w:p>
      <w:pPr>
        <w:pStyle w:val="Heading4"/>
      </w:pPr>
      <w:r>
        <w:rPr>
          <w:rStyle w:val="SectionNumber"/>
        </w:rPr>
        <w:t xml:space="preserve">13.9.2.1</w:t>
      </w:r>
      <w:r>
        <w:tab/>
      </w:r>
      <w:r>
        <w:t xml:space="preserve">Distribuição normal padronizada</w:t>
      </w:r>
    </w:p>
    <w:p>
      <w:pPr>
        <w:numPr>
          <w:ilvl w:val="0"/>
          <w:numId w:val="1537"/>
        </w:numPr>
      </w:pPr>
      <w:r>
        <w:t xml:space="preserve">A distribuição normal padronizada é a distribuição normal sempre com os mesmos parâmetros, que são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e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pPr>
        <w:numPr>
          <w:ilvl w:val="0"/>
          <w:numId w:val="1537"/>
        </w:numPr>
      </w:pPr>
      <w:r>
        <w:t xml:space="preserve">Para transformar uma normal qualquer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em uma normal padrão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  <w:r>
        <w:t xml:space="preserve">, basta seguir a seguinte forma:</w:t>
      </w:r>
      <w:r>
        <w:br/>
      </w:r>
    </w:p>
    <w:p>
      <w:pPr>
        <w:numPr>
          <w:ilvl w:val="1"/>
          <w:numId w:val="1538"/>
        </w:numPr>
        <w:pStyle w:val="Compact"/>
      </w:pPr>
      <w:r>
        <w:t xml:space="preserve">Como passar uma normal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(média) em</w:t>
      </w:r>
      <w:r>
        <w:t xml:space="preserve"> </w:t>
      </w:r>
      <m:oMath>
        <m:r>
          <m:t>0</m:t>
        </m:r>
      </m:oMath>
      <w:r>
        <w:t xml:space="preserve">:</w:t>
      </w:r>
      <w:r>
        <w:br/>
      </w:r>
      <w:r>
        <w:t xml:space="preserve">Basta pegar todos os valores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e subtrair</w:t>
      </w:r>
      <w:r>
        <w:t xml:space="preserve"> </w:t>
      </w:r>
      <m:oMath>
        <m:r>
          <m:t>10</m:t>
        </m:r>
      </m:oMath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μ</m:t>
          </m:r>
        </m:oMath>
      </m:oMathPara>
    </w:p>
    <w:p>
      <w:pPr>
        <w:numPr>
          <w:ilvl w:val="1"/>
          <w:numId w:val="1538"/>
        </w:numPr>
        <w:pStyle w:val="Compact"/>
      </w:pPr>
      <w:r>
        <w:t xml:space="preserve">Para o desvio-padrão(</w:t>
      </w:r>
      <m:oMath>
        <m:r>
          <m:t>σ</m:t>
        </m:r>
      </m:oMath>
      <w:r>
        <w:t xml:space="preserve">) se tornar 1:</w:t>
      </w:r>
      <w:r>
        <w:br/>
      </w:r>
      <w:r>
        <w:t xml:space="preserve">Seja qual for o valor de</w:t>
      </w:r>
      <w:r>
        <w:t xml:space="preserve"> </w:t>
      </w:r>
      <m:oMath>
        <m:r>
          <m:t>σ</m:t>
        </m:r>
      </m:oMath>
      <w:r>
        <w:t xml:space="preserve">, basta dividir por ele mesmo.</w:t>
      </w:r>
      <w:r>
        <w:br/>
      </w:r>
    </w:p>
    <w:p>
      <w:pPr>
        <w:numPr>
          <w:ilvl w:val="1"/>
          <w:numId w:val="1538"/>
        </w:numPr>
        <w:pStyle w:val="Compact"/>
      </w:pPr>
      <w:r>
        <w:t xml:space="preserve">Assim qualquer distribuição normal pode ser padronizada, de forma que no processo de padronização dos valores da variável aleatória (</w:t>
      </w:r>
      <m:oMath>
        <m:r>
          <m:t>X</m:t>
        </m:r>
      </m:oMath>
      <w:r>
        <w:t xml:space="preserve">) os parâmetros se tornem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 Essa abordagem é dada pela definição de uma nova variável aleatória</w:t>
      </w:r>
      <w:r>
        <w:t xml:space="preserve"> </w:t>
      </w:r>
      <m:oMath>
        <m:r>
          <m:t>Z</m:t>
        </m:r>
      </m:oMath>
      <w:r>
        <w:t xml:space="preserve">, chamada de</w:t>
      </w:r>
      <w:r>
        <w:t xml:space="preserve"> </w:t>
      </w:r>
      <w:r>
        <w:rPr>
          <w:bCs/>
          <w:b/>
        </w:rPr>
        <w:t xml:space="preserve">variável aleatória normal padronizada</w:t>
      </w:r>
      <w:r>
        <w:t xml:space="preserve">, dada pela função linaer</w:t>
      </w:r>
      <w:r>
        <w:t xml:space="preserve"> </w:t>
      </w:r>
      <m:oMath>
        <m:r>
          <m:t>Z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X</m:t>
              </m:r>
              <m:r>
                <m:rPr>
                  <m:sty m:val="p"/>
                </m:rPr>
                <m:t>−</m:t>
              </m:r>
              <m:r>
                <m:t>μ</m:t>
              </m:r>
            </m:num>
            <m:den>
              <m:r>
                <m:t>σ</m:t>
              </m:r>
            </m:den>
          </m:f>
        </m:oMath>
      </m:oMathPara>
    </w:p>
    <w:p>
      <w:pPr>
        <w:pStyle w:val="CaptionedFigure"/>
      </w:pPr>
      <w:r>
        <w:drawing>
          <wp:inline>
            <wp:extent cx="5334000" cy="3810000"/>
            <wp:effectExtent b="0" l="0" r="0" t="0"/>
            <wp:docPr descr="Distribuição normal padronizada, X \sim N(\mu = 0, \sigma^2 = 1)" title="" id="532" name="Picture"/>
            <a:graphic>
              <a:graphicData uri="http://schemas.openxmlformats.org/drawingml/2006/picture">
                <pic:pic>
                  <pic:nvPicPr>
                    <pic:cNvPr descr="./Cap10-Distribuicoes_de_probabilidade/Imagens/norm_padronizada.png" id="533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Distribuição normal padronizada,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</w:p>
    <w:p>
      <w:r>
        <w:br w:type="page"/>
      </w:r>
    </w:p>
    <w:bookmarkEnd w:id="534"/>
    <w:bookmarkStart w:id="535" w:name="transformação-logarítmica"/>
    <w:p>
      <w:pPr>
        <w:pStyle w:val="Heading4"/>
      </w:pPr>
      <w:r>
        <w:rPr>
          <w:rStyle w:val="SectionNumber"/>
        </w:rPr>
        <w:t xml:space="preserve">13.9.2.2</w:t>
      </w:r>
      <w:r>
        <w:tab/>
      </w:r>
      <w:r>
        <w:t xml:space="preserve">Transformação logarítmica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logarítmica</w:t>
      </w:r>
      <w:r>
        <w:br/>
      </w:r>
      <w:r>
        <w:rPr>
          <w:rStyle w:val="VerbatimChar"/>
        </w:rPr>
        <w:t xml:space="preserve">transx &lt;- log(x)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4.607368 4.393090 4.323338 5.721393 4.795708 3.328268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0.9739, p-value = 0.7811</w:t>
      </w:r>
    </w:p>
    <w:p>
      <w:pPr>
        <w:pStyle w:val="FirstParagraph"/>
      </w:pP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</w:t>
      </w:r>
      <w:r>
        <w:br/>
      </w:r>
    </w:p>
    <w:p>
      <w:r>
        <w:br w:type="page"/>
      </w:r>
    </w:p>
    <w:bookmarkEnd w:id="535"/>
    <w:bookmarkStart w:id="536" w:name="transformação-raiz-quadrada"/>
    <w:p>
      <w:pPr>
        <w:pStyle w:val="Heading4"/>
      </w:pPr>
      <w:r>
        <w:rPr>
          <w:rStyle w:val="SectionNumber"/>
        </w:rPr>
        <w:t xml:space="preserve">13.9.2.3</w:t>
      </w:r>
      <w:r>
        <w:tab/>
      </w:r>
      <w:r>
        <w:t xml:space="preserve">Transformação raiz quadrada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raiz quadrada</w:t>
      </w:r>
      <w:r>
        <w:br/>
      </w:r>
      <w:r>
        <w:rPr>
          <w:rStyle w:val="VerbatimChar"/>
        </w:rPr>
        <w:t xml:space="preserve">transx &lt;- sqrt(x)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10.010994  8.993887  8.685620 17.473695 10.999545  5.281098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0.92395, p-value = 0.08097</w:t>
      </w:r>
    </w:p>
    <w:p>
      <w:pPr>
        <w:pStyle w:val="FirstParagraph"/>
      </w:pP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r>
        <w:br w:type="page"/>
      </w:r>
    </w:p>
    <w:bookmarkEnd w:id="536"/>
    <w:bookmarkStart w:id="537" w:name="transformação-box-cox"/>
    <w:p>
      <w:pPr>
        <w:pStyle w:val="Heading4"/>
      </w:pPr>
      <w:r>
        <w:rPr>
          <w:rStyle w:val="SectionNumber"/>
        </w:rPr>
        <w:t xml:space="preserve">13.9.2.4</w:t>
      </w:r>
      <w:r>
        <w:tab/>
      </w:r>
      <w:r>
        <w:t xml:space="preserve">Transformação Box-Cox</w:t>
      </w:r>
    </w:p>
    <w:p>
      <w:pPr>
        <w:numPr>
          <w:ilvl w:val="0"/>
          <w:numId w:val="1539"/>
        </w:numPr>
        <w:pStyle w:val="Compact"/>
      </w:pPr>
      <w:r>
        <w:t xml:space="preserve">A transformação</w:t>
      </w:r>
      <w:r>
        <w:t xml:space="preserve"> </w:t>
      </w:r>
      <w:r>
        <w:rPr>
          <w:rStyle w:val="VerbatimChar"/>
        </w:rPr>
        <w:t xml:space="preserve">BoxCox</w:t>
      </w:r>
      <w:r>
        <w:t xml:space="preserve"> </w:t>
      </w:r>
      <w:r>
        <w:t xml:space="preserve">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#Lambda ótimo da transformação BoxCox</w:t>
      </w:r>
      <w:r>
        <w:br/>
      </w:r>
      <w:r>
        <w:rPr>
          <w:rStyle w:val="VerbatimChar"/>
        </w:rPr>
        <w:t xml:space="preserve">lambda &lt;- BoxCoxLambda(x)</w:t>
      </w:r>
      <w:r>
        <w:br/>
      </w:r>
      <w:r>
        <w:rPr>
          <w:rStyle w:val="VerbatimChar"/>
        </w:rPr>
        <w:t xml:space="preserve">lambda</w:t>
      </w:r>
      <w:r>
        <w:br/>
      </w:r>
      <w:r>
        <w:rPr>
          <w:rStyle w:val="VerbatimChar"/>
        </w:rPr>
        <w:t xml:space="preserve">#[1] -0.05260669</w:t>
      </w:r>
      <w:r>
        <w:br/>
      </w:r>
      <w:r>
        <w:br/>
      </w:r>
      <w:r>
        <w:rPr>
          <w:rStyle w:val="VerbatimChar"/>
        </w:rPr>
        <w:t xml:space="preserve">#Aplicando a transformação ao vetor</w:t>
      </w:r>
      <w:r>
        <w:br/>
      </w:r>
      <w:r>
        <w:rPr>
          <w:rStyle w:val="VerbatimChar"/>
        </w:rPr>
        <w:t xml:space="preserve">transx &lt;- BoxCox(x, lambda)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4.091510 3.922403 3.866941 4.940628 4.238582 3.053183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0.96909, p-value = 0.6672</w:t>
      </w:r>
    </w:p>
    <w:p>
      <w:pPr>
        <w:numPr>
          <w:ilvl w:val="0"/>
          <w:numId w:val="1540"/>
        </w:numPr>
        <w:pStyle w:val="Compact"/>
      </w:pPr>
      <w:r>
        <w:t xml:space="preserve">Neste exemplo o valor do parâmetro</w:t>
      </w:r>
      <w:r>
        <w:t xml:space="preserve"> </w:t>
      </w:r>
      <w:r>
        <w:rPr>
          <w:iCs/>
          <w:i/>
        </w:rPr>
        <w:t xml:space="preserve">lambda</w:t>
      </w:r>
      <w:r>
        <w:t xml:space="preserve"> </w:t>
      </w:r>
      <w:r>
        <w:t xml:space="preserve">foi obtido pela função</w:t>
      </w:r>
      <w:r>
        <w:t xml:space="preserve"> </w:t>
      </w:r>
      <w:r>
        <w:rPr>
          <w:rStyle w:val="VerbatimChar"/>
        </w:rPr>
        <w:t xml:space="preserve">BoxCoxLambda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que produz uma seleção automática para o parâmetro através do método de Guerrero. Para obter os detalhes dos métodos utilizados na obtenção do parâmetro consultar documentação (</w:t>
      </w:r>
      <w:r>
        <w:rPr>
          <w:rStyle w:val="VerbatimChar"/>
        </w:rPr>
        <w:t xml:space="preserve">?BoxCoxLambda</w:t>
      </w:r>
      <w:r>
        <w:t xml:space="preserve">).</w:t>
      </w:r>
      <w:r>
        <w:br/>
      </w:r>
    </w:p>
    <w:p>
      <w:pPr>
        <w:numPr>
          <w:ilvl w:val="0"/>
          <w:numId w:val="1540"/>
        </w:numPr>
        <w:pStyle w:val="Compact"/>
      </w:pPr>
      <w:r>
        <w:t xml:space="preserve">Após a transformação BoxCox com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0.0526</m:t>
        </m:r>
      </m:oMath>
      <w:r>
        <w:t xml:space="preserve"> </w:t>
      </w:r>
      <w:r>
        <w:t xml:space="preserve">a variável valor de compra transformada apresenta distribuição normal com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=</m:t>
        </m:r>
        <m:r>
          <m:t>0.6672</m:t>
        </m:r>
      </m:oMath>
      <w:r>
        <w:t xml:space="preserve">.</w:t>
      </w:r>
      <w:r>
        <w:br/>
      </w:r>
    </w:p>
    <w:p>
      <w:r>
        <w:br w:type="page"/>
      </w:r>
    </w:p>
    <w:bookmarkEnd w:id="537"/>
    <w:bookmarkEnd w:id="538"/>
    <w:bookmarkEnd w:id="539"/>
    <w:bookmarkStart w:id="543" w:name="plot-dois-gráficos-ou-mais"/>
    <w:p>
      <w:pPr>
        <w:pStyle w:val="Heading2"/>
      </w:pPr>
      <w:r>
        <w:rPr>
          <w:rStyle w:val="SectionNumber"/>
        </w:rPr>
        <w:t xml:space="preserve">13.10</w:t>
      </w:r>
      <w:r>
        <w:tab/>
      </w:r>
      <w:r>
        <w:t xml:space="preserve">Plot dois gráficos ou mais</w:t>
      </w:r>
    </w:p>
    <w:p>
      <w:pPr>
        <w:numPr>
          <w:ilvl w:val="0"/>
          <w:numId w:val="1541"/>
        </w:numPr>
      </w:pPr>
      <w:r>
        <w:t xml:space="preserve">Para plotar dois ou gráficos ou mais ao mesmo tempo podemos usar a função</w:t>
      </w:r>
      <w:r>
        <w:t xml:space="preserve"> </w:t>
      </w:r>
      <w:r>
        <w:rPr>
          <w:rStyle w:val="VerbatimChar"/>
        </w:rPr>
        <w:t xml:space="preserve">par(mfrow = c(l,c))</w:t>
      </w:r>
      <w:r>
        <w:t xml:space="preserve">, onde os parametros l é referente ao número de linhas e o c ao número de colunas.</w:t>
      </w:r>
      <w:r>
        <w:br/>
      </w:r>
    </w:p>
    <w:p>
      <w:pPr>
        <w:numPr>
          <w:ilvl w:val="0"/>
          <w:numId w:val="1541"/>
        </w:numPr>
      </w:pPr>
      <w:r>
        <w:t xml:space="preserve">Os gráficos devem ficar logo na sequência do comando</w:t>
      </w:r>
      <w:r>
        <w:t xml:space="preserve"> </w:t>
      </w:r>
      <w:r>
        <w:rPr>
          <w:rStyle w:val="VerbatimChar"/>
        </w:rPr>
        <w:t xml:space="preserve">par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#mu = 50, sigma = 2 (plot 1,1)</w:t>
      </w:r>
      <w:r>
        <w:br/>
      </w:r>
      <w:r>
        <w:rPr>
          <w:rStyle w:val="VerbatimChar"/>
        </w:rPr>
        <w:t xml:space="preserve">curve(dnorm(x,50,2), </w:t>
      </w:r>
      <w:r>
        <w:br/>
      </w:r>
      <w:r>
        <w:rPr>
          <w:rStyle w:val="VerbatimChar"/>
        </w:rPr>
        <w:t xml:space="preserve">      xlim = c(20,80),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#mu = 50, sigma = 2 (plot 1,2)</w:t>
      </w:r>
      <w:r>
        <w:br/>
      </w:r>
      <w:r>
        <w:rPr>
          <w:rStyle w:val="VerbatimChar"/>
        </w:rPr>
        <w:t xml:space="preserve">curve(dnorm(x,50,2),</w:t>
      </w:r>
      <w:r>
        <w:br/>
      </w:r>
      <w:r>
        <w:rPr>
          <w:rStyle w:val="VerbatimChar"/>
        </w:rPr>
        <w:t xml:space="preserve">      xlim = c(20,80),</w:t>
      </w:r>
      <w:r>
        <w:br/>
      </w:r>
      <w:r>
        <w:rPr>
          <w:rStyle w:val="VerbatimChar"/>
        </w:rPr>
        <w:t xml:space="preserve">      main = "Gráfico 2")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Plotando dois ou mais gráficos de distribuição de probabilidade ao mesmo tempo, usando a função par(mfrow = c(1,2))" title="" id="54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plot_par_plot.png" id="542" name="Picture"/>
                    <pic:cNvPicPr>
                      <a:picLocks noChangeArrowheads="1" noChangeAspect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Plotando dois ou mais gráficos de distribuição de probabilidade ao mesmo tempo, usando a função</w:t>
      </w:r>
      <w:r>
        <w:t xml:space="preserve"> </w:t>
      </w:r>
      <w:r>
        <w:rPr>
          <w:rStyle w:val="VerbatimChar"/>
        </w:rPr>
        <w:t xml:space="preserve">par(mfrow = c(1,2))</w:t>
      </w:r>
    </w:p>
    <w:p>
      <w:r>
        <w:br w:type="page"/>
      </w:r>
    </w:p>
    <w:bookmarkEnd w:id="543"/>
    <w:bookmarkEnd w:id="544"/>
    <w:bookmarkStart w:id="545" w:name="X1a13e84189f5d0ae45f4a75603441588b2273a2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CAP. 11 - MODELANDO A RELAÇÃO ENTRE DUAS VARIÁVEIS</w:t>
      </w:r>
    </w:p>
    <w:p>
      <w:r>
        <w:br w:type="page"/>
      </w:r>
    </w:p>
    <w:bookmarkEnd w:id="545"/>
    <w:bookmarkStart w:id="546" w:name="andamento-dos-estudo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46"/>
    <w:bookmarkStart w:id="550" w:name="referências"/>
    <w:p>
      <w:pPr>
        <w:pStyle w:val="Heading1"/>
      </w:pPr>
      <w:r>
        <w:t xml:space="preserve">REFERÊNCIAS</w:t>
      </w:r>
    </w:p>
    <w:bookmarkStart w:id="549" w:name="refs"/>
    <w:bookmarkStart w:id="548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47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48"/>
    <w:bookmarkEnd w:id="549"/>
    <w:bookmarkEnd w:id="5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1"/>
  </w:num>
  <w:num w:numId="1515">
    <w:abstractNumId w:val="991"/>
  </w:num>
  <w:num w:numId="15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1"/>
  </w:num>
  <w:num w:numId="1530">
    <w:abstractNumId w:val="991"/>
  </w:num>
  <w:num w:numId="15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3">
    <w:abstractNumId w:val="991"/>
  </w:num>
  <w:num w:numId="15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6">
    <w:abstractNumId w:val="991"/>
  </w:num>
  <w:num w:numId="1537">
    <w:abstractNumId w:val="991"/>
  </w:num>
  <w:num w:numId="1538">
    <w:abstractNumId w:val="991"/>
  </w:num>
  <w:num w:numId="1539">
    <w:abstractNumId w:val="991"/>
  </w:num>
  <w:num w:numId="1540">
    <w:abstractNumId w:val="991"/>
  </w:num>
  <w:num w:numId="154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9" Target="media/rId509.png" /><Relationship Type="http://schemas.openxmlformats.org/officeDocument/2006/relationships/image" Id="rId517" Target="media/rId517.png" /><Relationship Type="http://schemas.openxmlformats.org/officeDocument/2006/relationships/image" Id="rId520" Target="media/rId520.png" /><Relationship Type="http://schemas.openxmlformats.org/officeDocument/2006/relationships/image" Id="rId526" Target="media/rId526.png" /><Relationship Type="http://schemas.openxmlformats.org/officeDocument/2006/relationships/image" Id="rId523" Target="media/rId523.png" /><Relationship Type="http://schemas.openxmlformats.org/officeDocument/2006/relationships/image" Id="rId505" Target="media/rId505.png" /><Relationship Type="http://schemas.openxmlformats.org/officeDocument/2006/relationships/image" Id="rId531" Target="media/rId531.png" /><Relationship Type="http://schemas.openxmlformats.org/officeDocument/2006/relationships/image" Id="rId540" Target="media/rId540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4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4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2023-11-11T23:44:20Z</dcterms:created>
  <dcterms:modified xsi:type="dcterms:W3CDTF">2023-11-11T23:44:20Z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11 novembro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