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6.png" ContentType="image/png"/>
  <Override PartName="/word/media/rId514.png" ContentType="image/png"/>
  <Override PartName="/word/media/rId517.png" ContentType="image/png"/>
  <Override PartName="/word/media/rId523.png" ContentType="image/png"/>
  <Override PartName="/word/media/rId520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18</w:t>
      </w:r>
      <w:r>
        <w:t xml:space="preserve"> </w:t>
      </w:r>
      <w:r>
        <w:t xml:space="preserve">outubro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30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função. (prefixo + função)</w:t>
      </w:r>
      <w:r>
        <w:br/>
      </w:r>
      <w:r>
        <w:t xml:space="preserve">Sintaxe: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parâmetros)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5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 padrão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numPr>
          <w:ilvl w:val="0"/>
          <w:numId w:val="1503"/>
        </w:numPr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5"/>
    <w:bookmarkStart w:id="509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6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6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6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6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1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</w:t>
      </w:r>
      <w:r>
        <w:br/>
      </w:r>
      <w:r>
        <w:rPr>
          <w:rStyle w:val="VerbatimChar"/>
        </w:rPr>
        <w:t xml:space="preserve">          args.curve = list(expr = "dnorm(x, mean(y), sd(y))",</w:t>
      </w:r>
      <w:r>
        <w:br/>
      </w:r>
      <w:r>
        <w:rPr>
          <w:rStyle w:val="VerbatimChar"/>
        </w:rPr>
        <w:t xml:space="preserve">          col = "Black"),</w:t>
      </w:r>
      <w:r>
        <w:br/>
      </w:r>
      <w:r>
        <w:rPr>
          <w:rStyle w:val="VerbatimChar"/>
        </w:rPr>
        <w:t xml:space="preserve">          args.dens = list(col = "gray"),</w:t>
      </w:r>
      <w:r>
        <w:br/>
      </w:r>
      <w:r>
        <w:rPr>
          <w:rStyle w:val="VerbatimChar"/>
        </w:rPr>
        <w:t xml:space="preserve">          #args.boxplot = NA,</w:t>
      </w:r>
      <w:r>
        <w:br/>
      </w:r>
      <w:r>
        <w:rPr>
          <w:rStyle w:val="VerbatimChar"/>
        </w:rPr>
        <w:t xml:space="preserve">          args.ecdf = NA,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0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08" name="Picture"/>
                    <pic:cNvPicPr>
                      <a:picLocks noChangeArrowheads="1" noChangeAspect="1"/>
                    </pic:cNvPicPr>
                  </pic:nvPicPr>
                  <pic:blipFill>
                    <a:blip r:embed="rId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09"/>
    <w:bookmarkStart w:id="510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2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2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2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4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4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4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5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0"/>
    <w:bookmarkStart w:id="511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6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6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7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7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6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1"/>
    <w:bookmarkStart w:id="512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19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0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0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19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1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870"/>
        <w:gridCol w:w="304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power.prop.test(n = NULL, p1 = NULL, p2 = NULL, sig.level = 0.05, power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one.sided</w:t>
            </w:r>
            <w:r>
              <w:t xml:space="preserve">’</w:t>
            </w:r>
            <w:r>
              <w:t xml:space="preserve">), strict = FALSE, tol = .Machine</w:t>
            </w:r>
            <m:oMath>
              <m:r>
                <m:t>d</m:t>
              </m:r>
              <m:r>
                <m:t>o</m:t>
              </m:r>
              <m:r>
                <m:t>u</m:t>
              </m:r>
              <m:r>
                <m:t>b</m:t>
              </m:r>
              <m:r>
                <m:t>l</m:t>
              </m:r>
              <m:r>
                <m:t>e</m:t>
              </m:r>
              <m:r>
                <m:rPr>
                  <m:sty m:val="p"/>
                </m:rPr>
                <m:t>.</m:t>
              </m:r>
              <m:r>
                <m:t>e</m:t>
              </m:r>
              <m:r>
                <m:t>p</m:t>
              </m:r>
              <m:sSup>
                <m:e>
                  <m:r>
                    <m:t>s</m:t>
                  </m:r>
                </m:e>
                <m:sup>
                  <m:r>
                    <m:t>0.25</m:t>
                  </m:r>
                </m:sup>
              </m:sSup>
              <m:r>
                <m:rPr>
                  <m:sty m:val="p"/>
                </m:rPr>
                <m:t>)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t>C</m:t>
                  </m:r>
                  <m:r>
                    <m:t>a</m:t>
                  </m:r>
                  <m:r>
                    <m:t>l</m:t>
                  </m:r>
                  <m:r>
                    <m:t>c</m:t>
                  </m:r>
                  <m:r>
                    <m:t>u</m:t>
                  </m:r>
                  <m:r>
                    <m:t>l</m:t>
                  </m:r>
                  <m:r>
                    <m:t>a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d</m:t>
                  </m:r>
                  <m:r>
                    <m:t>e</m:t>
                  </m:r>
                  <m:r>
                    <m:t>r</m:t>
                  </m:r>
                  <m:r>
                    <m:t>d</m:t>
                  </m:r>
                  <m:r>
                    <m:t>o</m:t>
                  </m:r>
                  <m:r>
                    <m:t>t</m:t>
                  </m:r>
                  <m:r>
                    <m:t>e</m:t>
                  </m:r>
                  <m:r>
                    <m:t>s</m:t>
                  </m:r>
                  <m:r>
                    <m:t>t</m:t>
                  </m:r>
                  <m:r>
                    <m:t>e</m:t>
                  </m:r>
                  <m:r>
                    <m:t>d</m:t>
                  </m:r>
                  <m:r>
                    <m:t>e</m:t>
                  </m:r>
                  <m:r>
                    <m:t>p</m:t>
                  </m:r>
                  <m:r>
                    <m:t>r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r</m:t>
                  </m:r>
                  <m:r>
                    <m:t>ç</m:t>
                  </m:r>
                  <m:r>
                    <m:t>ã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</m:e>
              </m:d>
              <m:r>
                <m:rPr>
                  <m:sty m:val="p"/>
                </m:rPr>
                <m:t>|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t>e</m:t>
              </m:r>
              <m:r>
                <m:t>s</m:t>
              </m:r>
              <m:r>
                <m:t>t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d</m:t>
              </m:r>
              <m:r>
                <m:t>e</m:t>
              </m:r>
              <m:r>
                <m:t>l</m:t>
              </m:r>
              <m:r>
                <m:t>t</m:t>
              </m:r>
              <m:r>
                <m:t>a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i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l</m:t>
              </m:r>
              <m:r>
                <m:t>e</m:t>
              </m:r>
              <m:r>
                <m:t>v</m:t>
              </m:r>
              <m:r>
                <m:t>e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t>0.05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y</m:t>
              </m:r>
              <m:r>
                <m:t>p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p</m:t>
                  </m:r>
                  <m:r>
                    <m:t>a</m:t>
                  </m:r>
                  <m:r>
                    <m:t>i</m:t>
                  </m:r>
                  <m:r>
                    <m:t>r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a</m:t>
              </m:r>
              <m:r>
                <m:t>l</m:t>
              </m:r>
              <m:r>
                <m:t>t</m:t>
              </m:r>
              <m:r>
                <m:t>e</m:t>
              </m:r>
              <m:r>
                <m:t>r</m:t>
              </m:r>
              <m:r>
                <m:t>n</m:t>
              </m:r>
              <m:r>
                <m:t>a</m:t>
              </m:r>
              <m:r>
                <m:t>t</m:t>
              </m:r>
              <m:r>
                <m:t>i</m:t>
              </m:r>
              <m:r>
                <m:t>v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s</m:t>
              </m:r>
              <m:r>
                <m:t>t</m:t>
              </m:r>
              <m:r>
                <m:t>r</m:t>
              </m:r>
              <m:r>
                <m:t>i</m:t>
              </m:r>
              <m:r>
                <m:t>c</m:t>
              </m:r>
              <m:r>
                <m:t>t</m:t>
              </m:r>
              <m:r>
                <m:rPr>
                  <m:sty m:val="p"/>
                </m:rPr>
                <m:t>=</m:t>
              </m:r>
              <m:r>
                <m:t>F</m:t>
              </m:r>
              <m:r>
                <m:t>A</m:t>
              </m:r>
              <m:r>
                <m:t>L</m:t>
              </m:r>
              <m:r>
                <m:t>S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o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.</m:t>
              </m:r>
              <m:r>
                <m:t>M</m:t>
              </m:r>
              <m:r>
                <m:t>a</m:t>
              </m:r>
              <m:r>
                <m:t>c</m:t>
              </m:r>
              <m:r>
                <m:t>h</m:t>
              </m:r>
              <m:r>
                <m:t>i</m:t>
              </m:r>
              <m:r>
                <m:t>n</m:t>
              </m:r>
              <m:r>
                <m:t>e</m:t>
              </m:r>
            </m:oMath>
            <w:r>
              <w:t xml:space="preserve">double.eps^0.25)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PP.test(x, lshort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prop.test(x, n, p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prop.trend.test(x, n, score = seq_along(x))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t.test(x, y,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TukeyHSD(x, which, ordered = FALSE, conf.level = 0.95,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2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2"/>
    <w:bookmarkStart w:id="513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p>
      <w:pPr>
        <w:numPr>
          <w:ilvl w:val="0"/>
          <w:numId w:val="1523"/>
        </w:numPr>
      </w:pPr>
      <w:r>
        <w:t xml:space="preserve">Os principais testes estatísticos têm como suposição a normalidade dos dados, que deve ser verificada antes da realização das análises principais.</w:t>
      </w:r>
      <w:r>
        <w:br/>
      </w:r>
    </w:p>
    <w:p>
      <w:pPr>
        <w:numPr>
          <w:ilvl w:val="0"/>
          <w:numId w:val="1523"/>
        </w:numPr>
      </w:pPr>
      <w:r>
        <w:t xml:space="preserve">Um teste de normalidade pressupõe duas hipóteses estatísticas sobre a distribuição de probabilidade de uma variável aleatória X:</w:t>
      </w:r>
      <w:r>
        <w:br/>
      </w:r>
    </w:p>
    <w:p>
      <w:pPr>
        <w:numPr>
          <w:ilvl w:val="1"/>
          <w:numId w:val="1524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A distribuição de probabilidade de X é normal.</w:t>
      </w:r>
      <w:r>
        <w:br/>
      </w:r>
    </w:p>
    <w:p>
      <w:pPr>
        <w:numPr>
          <w:ilvl w:val="1"/>
          <w:numId w:val="1524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A distribuição de probabilidade de X não é normal.</w:t>
      </w:r>
      <w:r>
        <w:br/>
      </w:r>
    </w:p>
    <w:p>
      <w:pPr>
        <w:numPr>
          <w:ilvl w:val="0"/>
          <w:numId w:val="1523"/>
        </w:numPr>
      </w:pPr>
      <w:r>
        <w:t xml:space="preserve">O teste de Shapiro-Wilk é um teste indicado para essa finalidade e sua aplicação no R é muito simples:</w:t>
      </w:r>
      <w:r>
        <w:br/>
      </w:r>
    </w:p>
    <w:p>
      <w:pPr>
        <w:pStyle w:val="SourceCode"/>
      </w:pPr>
      <w:r>
        <w:rPr>
          <w:rStyle w:val="VerbatimChar"/>
        </w:rPr>
        <w:t xml:space="preserve">x &lt;- dados$valor_compra</w:t>
      </w:r>
      <w:r>
        <w:br/>
      </w:r>
      <w:r>
        <w:br/>
      </w: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shapiro.test(x)</w:t>
      </w:r>
      <w:r>
        <w:br/>
      </w:r>
      <w:r>
        <w:br/>
      </w:r>
      <w:r>
        <w:rPr>
          <w:rStyle w:val="VerbatimChar"/>
        </w:rPr>
        <w:t xml:space="preserve">#   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x</w:t>
      </w:r>
      <w:r>
        <w:br/>
      </w:r>
      <w:r>
        <w:rPr>
          <w:rStyle w:val="VerbatimChar"/>
        </w:rPr>
        <w:t xml:space="preserve">#W = 0.79892, p-value = 0.0003682</w:t>
      </w:r>
    </w:p>
    <w:p>
      <w:pPr>
        <w:numPr>
          <w:ilvl w:val="0"/>
          <w:numId w:val="1525"/>
        </w:numPr>
        <w:pStyle w:val="Compact"/>
      </w:pPr>
      <w:r>
        <w:t xml:space="preserve">Analisando</w:t>
      </w:r>
      <w:r>
        <w:t xml:space="preserve"> </w:t>
      </w:r>
      <w:r>
        <w:rPr>
          <w:iCs/>
          <w:i/>
        </w:rPr>
        <w:t xml:space="preserve">p-value</w:t>
      </w:r>
      <w:r>
        <w:t xml:space="preserve">:</w:t>
      </w:r>
      <w:r>
        <w:br/>
      </w:r>
    </w:p>
    <w:p>
      <w:pPr>
        <w:numPr>
          <w:ilvl w:val="1"/>
          <w:numId w:val="1526"/>
        </w:numPr>
        <w:pStyle w:val="Compact"/>
      </w:pPr>
      <w:r>
        <w:t xml:space="preserve">Como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&lt;</m:t>
        </m:r>
        <m:r>
          <m:t>0.05</m:t>
        </m:r>
      </m:oMath>
      <w:r>
        <w:t xml:space="preserve">, conclui-se que pela rejeição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, logo, assume-se que a distribuição de probabilidade da variável</w:t>
      </w:r>
      <w:r>
        <w:t xml:space="preserve"> </w:t>
      </w:r>
      <w:r>
        <w:rPr>
          <w:iCs/>
          <w:i/>
        </w:rPr>
        <w:t xml:space="preserve">valor_compra</w:t>
      </w:r>
      <w:r>
        <w:t xml:space="preserve"> </w:t>
      </w:r>
      <w:r>
        <w:t xml:space="preserve">não segue um modelo normal.</w:t>
      </w:r>
      <w:r>
        <w:br/>
      </w:r>
    </w:p>
    <w:p>
      <w:pPr>
        <w:numPr>
          <w:ilvl w:val="1"/>
          <w:numId w:val="1526"/>
        </w:numPr>
        <w:pStyle w:val="Compact"/>
      </w:pPr>
      <w:r>
        <w:t xml:space="preserve">Caso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w:r>
        <w:t xml:space="preserve">seja maior ou igual a</w:t>
      </w:r>
      <w:r>
        <w:t xml:space="preserve"> </w:t>
      </w:r>
      <m:oMath>
        <m:r>
          <m:t>0.05</m:t>
        </m:r>
      </m:oMath>
      <w:r>
        <w:t xml:space="preserve">, conclui-se pela aceitação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526"/>
        </w:numPr>
        <w:pStyle w:val="Compact"/>
      </w:pPr>
      <w:r>
        <w:t xml:space="preserve">Desse modo, ao aplicar o teste de Shapiro-Wilk, deve-se verificar 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nesse caso, aceita-se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 Caso contrário, rejeita-se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527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</w:t>
      </w:r>
      <w:r>
        <w:br/>
      </w:r>
    </w:p>
    <w:p>
      <w:pPr>
        <w:numPr>
          <w:ilvl w:val="2"/>
          <w:numId w:val="1527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≤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;</w:t>
      </w:r>
      <w:r>
        <w:br/>
      </w:r>
    </w:p>
    <w:p>
      <w:r>
        <w:br w:type="page"/>
      </w:r>
    </w:p>
    <w:bookmarkEnd w:id="513"/>
    <w:bookmarkStart w:id="526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p>
      <w:pPr>
        <w:numPr>
          <w:ilvl w:val="0"/>
          <w:numId w:val="1528"/>
        </w:numPr>
        <w:pStyle w:val="Compact"/>
      </w:pPr>
      <w:r>
        <w:t xml:space="preserve">Juntamente com o teste de Shapiro, é importante realizar a inspeção gráfica através do histograma da variável que pode ser produzido de diversas formas e com diferentes pacotes:</w:t>
      </w:r>
      <w:r>
        <w:br/>
      </w:r>
    </w:p>
    <w:p>
      <w:pPr>
        <w:numPr>
          <w:ilvl w:val="1"/>
          <w:numId w:val="1529"/>
        </w:numPr>
        <w:pStyle w:val="Compact"/>
      </w:pPr>
      <w:r>
        <w:t xml:space="preserve">Pacote básico:</w:t>
      </w:r>
      <w:r>
        <w:br/>
      </w:r>
      <w:r>
        <w:rPr>
          <w:rStyle w:val="VerbatimChar"/>
        </w:rPr>
        <w:t xml:space="preserve">hist(x)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básico." title="" id="515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basico.png" id="516" name="Picture"/>
                    <pic:cNvPicPr>
                      <a:picLocks noChangeArrowheads="1" noChangeAspect="1"/>
                    </pic:cNvPicPr>
                  </pic:nvPicPr>
                  <pic:blipFill>
                    <a:blip r:embed="rId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 básico.</w:t>
      </w:r>
    </w:p>
    <w:p>
      <w:pPr>
        <w:numPr>
          <w:ilvl w:val="1"/>
          <w:numId w:val="1530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 %&gt;% </w:t>
      </w:r>
      <w:r>
        <w:br/>
      </w:r>
      <w:r>
        <w:rPr>
          <w:rStyle w:val="VerbatimChar"/>
        </w:rPr>
        <w:t xml:space="preserve">ggplot(aes(x))+</w:t>
      </w:r>
      <w:r>
        <w:br/>
      </w:r>
      <w:r>
        <w:rPr>
          <w:rStyle w:val="VerbatimChar"/>
        </w:rPr>
        <w:t xml:space="preserve">geom_histogram(position = "identity", bins = 5)+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ggplot2." title="" id="518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ggplot2.png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r>
        <w:br w:type="page"/>
      </w:r>
    </w:p>
    <w:p>
      <w:pPr>
        <w:numPr>
          <w:ilvl w:val="0"/>
          <w:numId w:val="1531"/>
        </w:numPr>
        <w:pStyle w:val="Compact"/>
      </w:pPr>
      <w:r>
        <w:t xml:space="preserve">O gráfico</w:t>
      </w:r>
      <w:r>
        <w:t xml:space="preserve"> </w:t>
      </w:r>
      <w:r>
        <w:rPr>
          <w:rStyle w:val="VerbatimChar"/>
        </w:rPr>
        <w:t xml:space="preserve">qqplot</w:t>
      </w:r>
      <w:r>
        <w:t xml:space="preserve"> </w:t>
      </w:r>
      <w:r>
        <w:t xml:space="preserve">produz uma análise de comparação entre percentil da amostra e percentil teórico da distribuição normal. Os pontos devem estar próximos da reta, indicando que os dados seguem a mesma distribuição normal.</w:t>
      </w:r>
      <w:r>
        <w:br/>
      </w:r>
    </w:p>
    <w:p>
      <w:pPr>
        <w:numPr>
          <w:ilvl w:val="1"/>
          <w:numId w:val="1532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ggplot(dados, aes(sample = valor_compra))+</w:t>
      </w:r>
      <w:r>
        <w:br/>
      </w:r>
      <w:r>
        <w:rPr>
          <w:rStyle w:val="VerbatimChar"/>
        </w:rPr>
        <w:t xml:space="preserve">stat_qq()+</w:t>
      </w:r>
      <w:r>
        <w:br/>
      </w:r>
      <w:r>
        <w:rPr>
          <w:rStyle w:val="VerbatimChar"/>
        </w:rPr>
        <w:t xml:space="preserve">stat_qq_line()+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ggplot2." title="" id="52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ggplot2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pPr>
        <w:numPr>
          <w:ilvl w:val="1"/>
          <w:numId w:val="1533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:</w:t>
      </w:r>
      <w:r>
        <w:br/>
      </w:r>
      <w:r>
        <w:rPr>
          <w:rStyle w:val="VerbatimChar"/>
        </w:rPr>
        <w:t xml:space="preserve">PlotQQ(x, args.cband = list(col = SetAlpha("grey", 0.25)))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DescTools." title="" id="524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DescTools.png" id="525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pPr>
        <w:numPr>
          <w:ilvl w:val="0"/>
          <w:numId w:val="1531"/>
        </w:numPr>
        <w:pStyle w:val="Compact"/>
      </w:pPr>
      <w:r>
        <w:t xml:space="preserve">Pode-se ainda usar a função</w:t>
      </w:r>
      <w:r>
        <w:t xml:space="preserve"> </w:t>
      </w:r>
      <w:r>
        <w:rPr>
          <w:rStyle w:val="VerbatimChar"/>
        </w:rPr>
        <w:t xml:space="preserve">PlotFDist</w:t>
      </w:r>
      <w:r>
        <w:t xml:space="preserve"> </w:t>
      </w:r>
      <w:r>
        <w:t xml:space="preserve">para comparar as curvas teóricas e empíricas dos dados, observando a aderência das curvas.</w:t>
      </w:r>
      <w:r>
        <w:br/>
      </w:r>
    </w:p>
    <w:p>
      <w:r>
        <w:br w:type="page"/>
      </w:r>
    </w:p>
    <w:bookmarkEnd w:id="526"/>
    <w:bookmarkStart w:id="529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bookmarkStart w:id="527" w:name="o-que-são-dados-normaisnormalizados"/>
    <w:p>
      <w:pPr>
        <w:pStyle w:val="Heading3"/>
      </w:pPr>
      <w:r>
        <w:rPr>
          <w:rStyle w:val="SectionNumber"/>
        </w:rPr>
        <w:t xml:space="preserve">13.9.1</w:t>
      </w:r>
      <w:r>
        <w:tab/>
      </w:r>
      <w:r>
        <w:t xml:space="preserve">O que são dados normais/normalizados?</w:t>
      </w:r>
    </w:p>
    <w:bookmarkEnd w:id="527"/>
    <w:bookmarkStart w:id="528" w:name="normalização-de-dados"/>
    <w:p>
      <w:pPr>
        <w:pStyle w:val="Heading3"/>
      </w:pPr>
      <w:r>
        <w:rPr>
          <w:rStyle w:val="SectionNumber"/>
        </w:rPr>
        <w:t xml:space="preserve">13.9.2</w:t>
      </w:r>
      <w:r>
        <w:tab/>
      </w:r>
      <w:r>
        <w:t xml:space="preserve">Normalização de dados</w:t>
      </w:r>
    </w:p>
    <w:p>
      <w:pPr>
        <w:numPr>
          <w:ilvl w:val="0"/>
          <w:numId w:val="1534"/>
        </w:numPr>
      </w:pPr>
      <w:r>
        <w:t xml:space="preserve">Dizemos que os dados não são normais quando eles não apresentam uma distribuição compatível com as características de uma distribuição normal.</w:t>
      </w:r>
      <w:r>
        <w:br/>
      </w:r>
    </w:p>
    <w:p>
      <w:pPr>
        <w:numPr>
          <w:ilvl w:val="0"/>
          <w:numId w:val="1534"/>
        </w:numPr>
      </w:pPr>
      <w:r>
        <w:t xml:space="preserve">A normalidade dos dados é importante para atender os pressupostos de muitos testes de hipóteses, especialmente os testes conhecidos na estatística clássica como testes paramétricos.</w:t>
      </w:r>
      <w:r>
        <w:br/>
      </w:r>
    </w:p>
    <w:p>
      <w:pPr>
        <w:numPr>
          <w:ilvl w:val="0"/>
          <w:numId w:val="1534"/>
        </w:numPr>
      </w:pPr>
      <w:r>
        <w:t xml:space="preserve">Quando o pessuposto da normalidade não é atendido, o analista pode tentaruma transformação da variável original como, por exemplo, aplicar uma tranformação logarítmica ou transformação polinomial, ou ainda técnicas consagradas como é o caso da transformação</w:t>
      </w:r>
      <w:r>
        <w:t xml:space="preserve"> </w:t>
      </w:r>
      <w:r>
        <w:rPr>
          <w:bCs/>
          <w:b/>
        </w:rPr>
        <w:t xml:space="preserve">Box-Cox</w:t>
      </w:r>
      <w:r>
        <w:t xml:space="preserve">.</w:t>
      </w:r>
      <w:r>
        <w:br/>
      </w:r>
    </w:p>
    <w:p>
      <w:pPr>
        <w:numPr>
          <w:ilvl w:val="1"/>
          <w:numId w:val="1535"/>
        </w:numPr>
        <w:pStyle w:val="Compact"/>
      </w:pPr>
      <w:r>
        <w:t xml:space="preserve">Transformação logarítmica:</w:t>
      </w:r>
      <w:r>
        <w:br/>
      </w:r>
      <w:r>
        <w:t xml:space="preserve">Ao aplicarmos a transformação logarítmica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o logaritmo do valor da compra possui distribuição normal. </w:t>
      </w:r>
    </w:p>
    <w:p>
      <w:pPr>
        <w:numPr>
          <w:ilvl w:val="1"/>
          <w:numId w:val="1535"/>
        </w:numPr>
        <w:pStyle w:val="Compact"/>
      </w:pPr>
      <w:r>
        <w:t xml:space="preserve">Transformação raiz quadrada:</w:t>
      </w:r>
      <w:r>
        <w:br/>
      </w:r>
      <w:r>
        <w:t xml:space="preserve">Ao aplicarmos a transformação raiz quadrada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a raiz quadrada do valor da compra possui distribuição normal.</w:t>
      </w:r>
      <w:r>
        <w:br/>
      </w:r>
    </w:p>
    <w:p>
      <w:pPr>
        <w:numPr>
          <w:ilvl w:val="1"/>
          <w:numId w:val="1535"/>
        </w:numPr>
        <w:pStyle w:val="Compact"/>
      </w:pPr>
      <w:r>
        <w:t xml:space="preserve">Transformação Box-Cox:</w:t>
      </w:r>
      <w:r>
        <w:br/>
      </w:r>
      <w:r>
        <w:t xml:space="preserve">A transformação BoxCox consiste em transformar os dados de acordo com a expressão: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t</m:t>
          </m:r>
          <m:r>
            <m:t>r</m:t>
          </m:r>
          <m:r>
            <m:t>a</m:t>
          </m:r>
          <m:r>
            <m:t>n</m:t>
          </m:r>
          <m:r>
            <m:t>s</m:t>
          </m:r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x</m:t>
                  </m:r>
                </m:e>
                <m:sup>
                  <m:r>
                    <m:t>λ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1</m:t>
              </m:r>
            </m:num>
            <m:den>
              <m:r>
                <m:t>λ</m:t>
              </m:r>
            </m:den>
          </m:f>
          <m:r>
            <m:rPr>
              <m:sty m:val="p"/>
            </m:rPr>
            <m:t>,</m:t>
          </m:r>
          <m:r>
            <m:t>λ</m:t>
          </m:r>
          <m:r>
            <m:rPr>
              <m:sty m:val="p"/>
            </m:rPr>
            <m:t>≠</m:t>
          </m:r>
          <m:r>
            <m:t>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é um parâmetro a ser estimado pelos dados.</w:t>
      </w:r>
      <w:r>
        <w:br/>
      </w:r>
      <w:r>
        <w:t xml:space="preserve">Se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a equação acima se reduz a</w:t>
      </w:r>
      <w:r>
        <w:t xml:space="preserve"> </w:t>
      </w:r>
      <m:oMath>
        <m:r>
          <m:t>t</m:t>
        </m:r>
        <m:r>
          <m:t>r</m:t>
        </m:r>
        <m:r>
          <m:t>a</m:t>
        </m:r>
        <m:r>
          <m:t>n</m:t>
        </m:r>
        <m:r>
          <m:t>s</m:t>
        </m:r>
        <m:r>
          <m:t>x</m:t>
        </m:r>
        <m:r>
          <m:rPr>
            <m:sty m:val="p"/>
          </m:rPr>
          <m:t>=</m:t>
        </m:r>
        <m:r>
          <m:rPr>
            <m:sty m:val="p"/>
          </m:rPr>
          <m:t>log</m:t>
        </m:r>
        <m:r>
          <m:t>x</m:t>
        </m:r>
      </m:oMath>
      <w:r>
        <w:t xml:space="preserve">.</w:t>
      </w:r>
    </w:p>
    <w:p>
      <w:r>
        <w:br w:type="page"/>
      </w:r>
    </w:p>
    <w:bookmarkEnd w:id="528"/>
    <w:bookmarkEnd w:id="529"/>
    <w:bookmarkEnd w:id="530"/>
    <w:bookmarkStart w:id="531" w:name="andamento-dos-estudos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31"/>
    <w:bookmarkStart w:id="535" w:name="referências"/>
    <w:p>
      <w:pPr>
        <w:pStyle w:val="Heading1"/>
      </w:pPr>
      <w:r>
        <w:t xml:space="preserve">REFERÊNCIAS</w:t>
      </w:r>
    </w:p>
    <w:bookmarkStart w:id="534" w:name="refs"/>
    <w:bookmarkStart w:id="533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32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33"/>
    <w:bookmarkEnd w:id="534"/>
    <w:bookmarkEnd w:id="5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5">
    <w:abstractNumId w:val="991"/>
  </w:num>
  <w:num w:numId="1516">
    <w:abstractNumId w:val="991"/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  <w:num w:numId="1523">
    <w:abstractNumId w:val="991"/>
  </w:num>
  <w:num w:numId="1524">
    <w:abstractNumId w:val="991"/>
  </w:num>
  <w:num w:numId="1525">
    <w:abstractNumId w:val="991"/>
  </w:num>
  <w:num w:numId="1526">
    <w:abstractNumId w:val="991"/>
  </w:num>
  <w:num w:numId="1527">
    <w:abstractNumId w:val="991"/>
  </w:num>
  <w:num w:numId="1528">
    <w:abstractNumId w:val="991"/>
  </w:num>
  <w:num w:numId="15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1">
    <w:abstractNumId w:val="991"/>
  </w:num>
  <w:num w:numId="15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4">
    <w:abstractNumId w:val="991"/>
  </w:num>
  <w:num w:numId="153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6" Target="media/rId506.png" /><Relationship Type="http://schemas.openxmlformats.org/officeDocument/2006/relationships/image" Id="rId514" Target="media/rId514.png" /><Relationship Type="http://schemas.openxmlformats.org/officeDocument/2006/relationships/image" Id="rId517" Target="media/rId517.png" /><Relationship Type="http://schemas.openxmlformats.org/officeDocument/2006/relationships/image" Id="rId523" Target="media/rId523.png" /><Relationship Type="http://schemas.openxmlformats.org/officeDocument/2006/relationships/image" Id="rId520" Target="media/rId520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32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32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2023-10-18T09:10:23Z</dcterms:created>
  <dcterms:modified xsi:type="dcterms:W3CDTF">2023-10-18T09:10:23Z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18 outubro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