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select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pull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filter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distinct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arrange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mutate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transmute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summarise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group_by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add_column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add_row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rename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intersect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union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setdiff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complete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drop_na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replace_na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e histograma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histograma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p>
      <w:pPr>
        <w:pStyle w:val="FirstParagraph"/>
      </w:pPr>
      <w:r>
        <w:t xml:space="preserve">Cap7_basic_graficos-grafico_histograma.R</w:t>
      </w:r>
      <w:r>
        <w:br/>
      </w:r>
    </w:p>
    <w:bookmarkEnd w:id="24"/>
    <w:bookmarkStart w:id="25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18"/>
        </w:numPr>
        <w:pStyle w:val="Compact"/>
      </w:pPr>
      <w:r>
        <w:t xml:space="preserve">Cap7_basic_graficos-grafico_histograma.R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Cap7_basic_graficos-grafico_boxplot.R</w:t>
      </w:r>
      <w:r>
        <w:br/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19"/>
        </w:numPr>
        <w:pStyle w:val="Compact"/>
      </w:pPr>
      <w:r>
        <w:t xml:space="preserve">Cap5_tibble-intersect__union__setdiff.R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Cap5_tibble-left_join.R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Cap5_tibble-right_join.R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Cap5_tidyr-complete.R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Cap5_tidyr-drop_na__replace_na.R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Cap7_basic_graficos-grafico_de_linhas.R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Cap7_basic_graficos-grafico_de_linhas-cores.R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Cap7_basic_graficos-grafico_de_linhas-comparar_series.R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Cap7_basic_graficos-grafico_de_dispersao.R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2022-02-18T05:34:33Z</dcterms:created>
  <dcterms:modified xsi:type="dcterms:W3CDTF">2022-02-18T05:34:33Z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