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6.png" ContentType="image/png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03</w:t>
      </w:r>
      <w:r>
        <w:t xml:space="preserve"> </w:t>
      </w:r>
      <w:r>
        <w:t xml:space="preserve">outubro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16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função. (prefixo + função)</w:t>
      </w:r>
      <w:r>
        <w:br/>
      </w:r>
      <w:r>
        <w:t xml:space="preserve">Sintaxe:</w:t>
      </w:r>
      <w:r>
        <w:rPr>
          <w:rStyle w:val="VerbatimChar"/>
        </w:rPr>
        <w:t xml:space="preserve">ddist(x, parâmetros)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pnorm(x, parâmetros)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5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p>
      <w:pPr>
        <w:numPr>
          <w:ilvl w:val="0"/>
          <w:numId w:val="1503"/>
        </w:numPr>
      </w:pPr>
      <w:r>
        <w:t xml:space="preserve">A distribuição normal esta entre uma das mais importantes e conhecidas distribuições de probabilidade pela sua enorme aplicabilidade em diversas áreas do conhecimento representando o comportamento de diversas variáveis aleatórias, em especial, quando se trata de descrever o comportamento da média amostral.</w:t>
      </w:r>
      <w:r>
        <w:br/>
      </w:r>
    </w:p>
    <w:p>
      <w:pPr>
        <w:numPr>
          <w:ilvl w:val="0"/>
          <w:numId w:val="1503"/>
        </w:numPr>
      </w:pPr>
      <w:r>
        <w:t xml:space="preserve">A função de densidade de probabilidade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dessa natureza é dada por: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0"/>
          <w:numId w:val="1503"/>
        </w:numPr>
      </w:pPr>
      <w:r>
        <w:t xml:space="preserve">Notação: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 </w:t>
      </w:r>
      <w:r>
        <w:t xml:space="preserve">que dizer que 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distribuição normal com os parâmetros especificados entre parênteses.</w:t>
      </w:r>
      <w:r>
        <w:br/>
      </w:r>
    </w:p>
    <w:p>
      <w:pPr>
        <w:numPr>
          <w:ilvl w:val="0"/>
          <w:numId w:val="1503"/>
        </w:numPr>
      </w:pPr>
      <w:r>
        <w:t xml:space="preserve">Os parâmetros dessa distribuição são: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μ</m:t>
        </m:r>
      </m:oMath>
      <w:r>
        <w:br/>
      </w:r>
      <w:r>
        <w:t xml:space="preserve">Representa a média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σ</m:t>
        </m:r>
      </m:oMath>
      <w:r>
        <w:br/>
      </w:r>
      <w:r>
        <w:t xml:space="preserve">Representa o desvio padrão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br/>
      </w:r>
      <w:r>
        <w:t xml:space="preserve">Representa a função densidade de probabilidade no ponto</w:t>
      </w:r>
      <w:r>
        <w:t xml:space="preserve"> </w:t>
      </w:r>
      <m:oMath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No caso contínua, avalia-se a probabilidade para intervalos de valores da variável</w:t>
      </w:r>
      <w:r>
        <w:t xml:space="preserve"> </w:t>
      </w:r>
      <m:oMath>
        <m:r>
          <m:t>X</m:t>
        </m:r>
      </m:oMath>
      <w:r>
        <w:t xml:space="preserve">, que é dada pela área sob a curva da função de densidade restrita aos limites do intervalo. Em notação matemática representamos a probabilidade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pertencer ao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da seguinte forma: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</m:oMath>
      </m:oMathPara>
    </w:p>
    <w:p>
      <w:pPr>
        <w:numPr>
          <w:ilvl w:val="0"/>
          <w:numId w:val="1503"/>
        </w:numPr>
      </w:pPr>
      <w:r>
        <w:t xml:space="preserve">Funções</w:t>
      </w:r>
      <w:r>
        <w:t xml:space="preserve"> </w:t>
      </w:r>
      <w:r>
        <w:rPr>
          <w:rStyle w:val="VerbatimChar"/>
        </w:rPr>
        <w:t xml:space="preserve">norm()</w:t>
      </w:r>
      <w:r>
        <w:t xml:space="preserve">: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Avaliamos a função de densidade de probabilidade no ponto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usando a função</w:t>
      </w:r>
      <w:r>
        <w:t xml:space="preserve"> </w:t>
      </w:r>
      <m:oMath>
        <m:r>
          <m:t>d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avaliar a probabilidade acumulada no ponto</w:t>
      </w:r>
      <w:r>
        <w:t xml:space="preserve"> </w:t>
      </w:r>
      <m:oMath>
        <m:r>
          <m:t>x</m:t>
        </m:r>
      </m:oMath>
      <w:r>
        <w:t xml:space="preserve">, isto é,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≤</m:t>
            </m:r>
            <m:r>
              <m:t>x</m:t>
            </m:r>
          </m:e>
        </m:d>
      </m:oMath>
      <w:r>
        <w:t xml:space="preserve">, usamos a função</w:t>
      </w:r>
      <w:r>
        <w:t xml:space="preserve"> </w:t>
      </w:r>
      <m:oMath>
        <m:r>
          <m:t>p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obter o percentil de ordem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da distribuição usamos</w:t>
      </w:r>
      <w:r>
        <w:t xml:space="preserve"> </w:t>
      </w:r>
      <m:oMath>
        <m:r>
          <m:t>q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gerar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números aleatórios usamos</w:t>
      </w:r>
      <w:r>
        <w:t xml:space="preserve"> </w:t>
      </w:r>
      <m:oMath>
        <m:r>
          <m:t>r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O gráfico da distribuição normal é simétrico em relação ao parâmetro</w:t>
      </w:r>
      <w:r>
        <w:t xml:space="preserve"> </w:t>
      </w:r>
      <m:oMath>
        <m:r>
          <m:t>μ</m:t>
        </m:r>
      </m:oMath>
      <w:r>
        <w:t xml:space="preserve">, em forma de sino e sua escala depende do parâmetro</w:t>
      </w:r>
      <w:r>
        <w:t xml:space="preserve"> </w:t>
      </w:r>
      <m:oMath>
        <m:r>
          <m:t>σ</m:t>
        </m:r>
      </m:oMath>
      <w:r>
        <w:t xml:space="preserve">, quanto menor o valor de</w:t>
      </w:r>
      <w:r>
        <w:t xml:space="preserve"> </w:t>
      </w:r>
      <m:oMath>
        <m:r>
          <m:t>σ</m:t>
        </m:r>
      </m:oMath>
      <w:r>
        <w:t xml:space="preserve">, maior será a área em torno de</w:t>
      </w:r>
      <w:r>
        <w:t xml:space="preserve"> </w:t>
      </w:r>
      <m:oMath>
        <m:r>
          <m:t>μ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A distribuição normal é dita padronizada quando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, 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r>
        <w:br w:type="page"/>
      </w:r>
    </w:p>
    <w:bookmarkEnd w:id="505"/>
    <w:bookmarkStart w:id="509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p>
      <w:pPr>
        <w:numPr>
          <w:ilvl w:val="0"/>
          <w:numId w:val="1506"/>
        </w:numPr>
      </w:pPr>
      <w:r>
        <w:t xml:space="preserve">Grande parte das ferramentas de inferência estatística passa pelo teste de aderência quanto a normalidade dos dados, isto é, analisa-se a partir da distribuição de densidade empírica da amostra se ela pode ser considerada proveniente de uma população com distribuição normal.</w:t>
      </w:r>
      <w:r>
        <w:br/>
      </w:r>
    </w:p>
    <w:p>
      <w:pPr>
        <w:numPr>
          <w:ilvl w:val="0"/>
          <w:numId w:val="1506"/>
        </w:numPr>
      </w:pPr>
      <w:r>
        <w:t xml:space="preserve">O início dessa análise parte do princípio de que os dados seguem a distribuição normal e após análise gráficas (histograma, boxplot, densidade empírica) e testes de aderência (teste de shapiro, teste Kolmogorov-Smirnov, entre outros), conclui-se por aceitar, ou não, a distribuição normal dos dados.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Análise gráfica: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Histograma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Boxplot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Densidade empírica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Testes de aderência: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Teste de shapiro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Teste de Kolmogorov-Smirnov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506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fornece uma representação gráfica univariada para um vetor numérico mostrando num único gráfico um histograma, a curva de densidade, um boxplot e uma distribuição acumulada empírica, sendo que a curva normal estimada pode ser sobreposta a esses gráficos baseados na amostra.</w:t>
      </w:r>
      <w:r>
        <w:br/>
      </w:r>
    </w:p>
    <w:p>
      <w:pPr>
        <w:numPr>
          <w:ilvl w:val="0"/>
          <w:numId w:val="1506"/>
        </w:numPr>
      </w:pPr>
      <w:r>
        <w:t xml:space="preserve">Desse modo, para análise de qualidade de aproximação da distribuição estimada da variável com a distribuição normal, usamos 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No primeiro argumento informamos o nome do vetor que contém os dados da variável.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No segundo argumento os dados da distribuição teórica (distribuição normal) e seus argumentos respectivos como média e desvio-padrão.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Para omitir o gráfico boxplot e a distribuição acumulada, acrescente:</w:t>
      </w:r>
      <w:r>
        <w:br/>
      </w:r>
      <w:r>
        <w:rPr>
          <w:rStyle w:val="VerbatimChar"/>
        </w:rPr>
        <w:t xml:space="preserve">arg.boxplot = NA</w:t>
      </w:r>
      <w:r>
        <w:br/>
      </w:r>
      <w:r>
        <w:rPr>
          <w:rStyle w:val="VerbatimChar"/>
        </w:rPr>
        <w:t xml:space="preserve">args.ecdf = NA</w:t>
      </w:r>
      <w:r>
        <w:br/>
      </w:r>
    </w:p>
    <w:p>
      <w:r>
        <w:br w:type="page"/>
      </w:r>
    </w:p>
    <w:p>
      <w:pPr>
        <w:numPr>
          <w:ilvl w:val="0"/>
          <w:numId w:val="1511"/>
        </w:numPr>
        <w:pStyle w:val="Compact"/>
      </w:pPr>
      <w:r>
        <w:t xml:space="preserve">Exemplo - Aderência de distribuição normal:</w:t>
      </w:r>
      <w:r>
        <w:br/>
      </w:r>
    </w:p>
    <w:p>
      <w:pPr>
        <w:pStyle w:val="SourceCode"/>
      </w:pP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= read.csv2(file = "~/Programacao/R/Dados/Dados_de_importacao/vendas.csv")</w:t>
      </w:r>
      <w:r>
        <w:br/>
      </w:r>
      <w:r>
        <w:rPr>
          <w:rStyle w:val="VerbatimChar"/>
        </w:rPr>
        <w:t xml:space="preserve">dados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#Ajuste da distribuição normal para vetor y</w:t>
      </w:r>
      <w:r>
        <w:br/>
      </w:r>
      <w:r>
        <w:rPr>
          <w:rStyle w:val="VerbatimChar"/>
        </w:rPr>
        <w:t xml:space="preserve">y &lt;- dados$valor_compra</w:t>
      </w:r>
      <w:r>
        <w:br/>
      </w:r>
      <w:r>
        <w:rPr>
          <w:rStyle w:val="VerbatimChar"/>
        </w:rPr>
        <w:t xml:space="preserve">PlotFdist(y,</w:t>
      </w:r>
      <w:r>
        <w:br/>
      </w:r>
      <w:r>
        <w:rPr>
          <w:rStyle w:val="VerbatimChar"/>
        </w:rPr>
        <w:t xml:space="preserve">          args.curve = list(expr = "dnorm(x, mean(y), sd(y))",</w:t>
      </w:r>
      <w:r>
        <w:br/>
      </w:r>
      <w:r>
        <w:rPr>
          <w:rStyle w:val="VerbatimChar"/>
        </w:rPr>
        <w:t xml:space="preserve">          col = "Black"),</w:t>
      </w:r>
      <w:r>
        <w:br/>
      </w:r>
      <w:r>
        <w:rPr>
          <w:rStyle w:val="VerbatimChar"/>
        </w:rPr>
        <w:t xml:space="preserve">          args.dens = list(col = "gray"),</w:t>
      </w:r>
      <w:r>
        <w:br/>
      </w:r>
      <w:r>
        <w:rPr>
          <w:rStyle w:val="VerbatimChar"/>
        </w:rPr>
        <w:t xml:space="preserve">          #args.boxplot = NA,</w:t>
      </w:r>
      <w:r>
        <w:br/>
      </w:r>
      <w:r>
        <w:rPr>
          <w:rStyle w:val="VerbatimChar"/>
        </w:rPr>
        <w:t xml:space="preserve">          args.ecdf = NA,</w:t>
      </w:r>
      <w:r>
        <w:br/>
      </w:r>
      <w:r>
        <w:rPr>
          <w:rStyle w:val="VerbatimChar"/>
        </w:rPr>
        <w:t xml:space="preserve">          xlim = c(-500, 1000))</w:t>
      </w:r>
      <w:r>
        <w:br/>
      </w:r>
      <w:r>
        <w:br/>
      </w:r>
      <w:r>
        <w:rPr>
          <w:rStyle w:val="VerbatimChar"/>
        </w:rPr>
        <w:t xml:space="preserve">#Organizando a legenda</w:t>
      </w:r>
      <w:r>
        <w:br/>
      </w:r>
      <w:r>
        <w:rPr>
          <w:rStyle w:val="VerbatimChar"/>
        </w:rPr>
        <w:t xml:space="preserve">legend(x = "topright",</w:t>
      </w:r>
      <w:r>
        <w:br/>
      </w:r>
      <w:r>
        <w:rPr>
          <w:rStyle w:val="VerbatimChar"/>
        </w:rPr>
        <w:t xml:space="preserve">       legend = c("kernel density", #Legenda 1</w:t>
      </w:r>
      <w:r>
        <w:br/>
      </w:r>
      <w:r>
        <w:rPr>
          <w:rStyle w:val="VerbatimChar"/>
        </w:rPr>
        <w:t xml:space="preserve">                  expression(X%~%N(mu==31.75, sigma==7.94))), </w:t>
      </w:r>
      <w:r>
        <w:br/>
      </w:r>
      <w:r>
        <w:rPr>
          <w:rStyle w:val="VerbatimChar"/>
        </w:rPr>
        <w:t xml:space="preserve">       #Legenda 2 - Expressão matemática</w:t>
      </w:r>
      <w:r>
        <w:br/>
      </w:r>
      <w:r>
        <w:rPr>
          <w:rStyle w:val="VerbatimChar"/>
        </w:rPr>
        <w:t xml:space="preserve">       fill = c("gray80","black"),</w:t>
      </w:r>
      <w:r>
        <w:br/>
      </w:r>
      <w:r>
        <w:rPr>
          <w:rStyle w:val="VerbatimChar"/>
        </w:rPr>
        <w:t xml:space="preserve">       text.width = 0.2) #Tamanho da caixa de legenda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897481"/>
            <wp:effectExtent b="0" l="0" r="0" t="0"/>
            <wp:docPr descr="Análise gráfica (histograma, boxplot, densidade empírica) através da função PlotFdist(), do pacote DescTools." title="" id="507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derencia_distribuicao_normal-Analise_grafica-variavel_continua.png" id="508" name="Picture"/>
                    <pic:cNvPicPr>
                      <a:picLocks noChangeArrowheads="1" noChangeAspect="1"/>
                    </pic:cNvPicPr>
                  </pic:nvPicPr>
                  <pic:blipFill>
                    <a:blip r:embed="rId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Análise gráfica (histograma, boxplot, densidade empírica) através da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p>
      <w:pPr>
        <w:pStyle w:val="BodyText"/>
      </w:pPr>
      <w:r>
        <w:t xml:space="preserve">Ao observar o gráfico, percebe-se que não é adequado a aproximação entre as curvas, a distribuição teórica esta abaixo da distribuição empírica (kernel density) na maior parte do intervalo de valores do eixo x, há uma forte assimetria à direita, assim como presença de de</w:t>
      </w:r>
      <w:r>
        <w:t xml:space="preserve"> </w:t>
      </w:r>
      <w:r>
        <w:rPr>
          <w:iCs/>
          <w:i/>
        </w:rPr>
        <w:t xml:space="preserve">outliers</w:t>
      </w:r>
      <w:r>
        <w:t xml:space="preserve">, de acordo com o que vemos no boxplot.</w:t>
      </w:r>
      <w:r>
        <w:br/>
      </w:r>
    </w:p>
    <w:p>
      <w:pPr>
        <w:pStyle w:val="BodyText"/>
      </w:pPr>
      <w:r>
        <w:t xml:space="preserve">A partir dessa análise gráfica da aproximação entre curvas de densidade, o próximo passo é realizar um teste de aderência da normalidade, como o teste Shapiro. Se o teste confirmar a aderência, torna-se possível avaliar probabilidades para essa variável, gerar números aleatórios simulando a obtenção de amostras dessa população bem como avaliar percentis para a variável, com base na distribuição normal.</w:t>
      </w:r>
      <w:r>
        <w:br/>
      </w:r>
    </w:p>
    <w:p>
      <w:r>
        <w:br w:type="page"/>
      </w:r>
    </w:p>
    <w:bookmarkEnd w:id="509"/>
    <w:bookmarkStart w:id="510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bookmarkEnd w:id="510"/>
    <w:bookmarkStart w:id="511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bookmarkEnd w:id="511"/>
    <w:bookmarkStart w:id="512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bookmarkEnd w:id="512"/>
    <w:bookmarkStart w:id="513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bookmarkEnd w:id="513"/>
    <w:bookmarkStart w:id="514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bookmarkEnd w:id="514"/>
    <w:bookmarkStart w:id="515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p>
      <w:r>
        <w:br w:type="page"/>
      </w:r>
    </w:p>
    <w:bookmarkEnd w:id="515"/>
    <w:bookmarkEnd w:id="516"/>
    <w:bookmarkStart w:id="517" w:name="andamento-dos-estudos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10 - Distribuições de probabilidade.</w:t>
      </w:r>
      <w:r>
        <w:br/>
      </w:r>
    </w:p>
    <w:p>
      <w:r>
        <w:br w:type="page"/>
      </w:r>
    </w:p>
    <w:bookmarkEnd w:id="517"/>
    <w:bookmarkStart w:id="521" w:name="referências"/>
    <w:p>
      <w:pPr>
        <w:pStyle w:val="Heading1"/>
      </w:pPr>
      <w:r>
        <w:t xml:space="preserve">REFERÊNCIAS</w:t>
      </w:r>
    </w:p>
    <w:bookmarkStart w:id="520" w:name="refs"/>
    <w:bookmarkStart w:id="519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18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19"/>
    <w:bookmarkEnd w:id="520"/>
    <w:bookmarkEnd w:id="52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  <w:num w:numId="1503">
    <w:abstractNumId w:val="991"/>
  </w:num>
  <w:num w:numId="1504">
    <w:abstractNumId w:val="991"/>
  </w:num>
  <w:num w:numId="1505">
    <w:abstractNumId w:val="991"/>
  </w:num>
  <w:num w:numId="1506">
    <w:abstractNumId w:val="991"/>
  </w:num>
  <w:num w:numId="1507">
    <w:abstractNumId w:val="991"/>
  </w:num>
  <w:num w:numId="1508">
    <w:abstractNumId w:val="991"/>
  </w:num>
  <w:num w:numId="1509">
    <w:abstractNumId w:val="991"/>
  </w:num>
  <w:num w:numId="1510">
    <w:abstractNumId w:val="991"/>
  </w:num>
  <w:num w:numId="151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6" Target="media/rId506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1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1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2023-10-03T22:30:51Z</dcterms:created>
  <dcterms:modified xsi:type="dcterms:W3CDTF">2023-10-03T22:30:51Z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03 outubro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