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Março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9" w:name="assuntos-por-capitulos-e-resumos"/>
    <w:p>
      <w:pPr>
        <w:pStyle w:val="Heading1"/>
      </w:pPr>
      <w:r>
        <w:t xml:space="preserve">Assuntos por capitulos e resumos</w:t>
      </w:r>
    </w:p>
    <w:bookmarkStart w:id="22" w:name="cap-1---instalação-do-r-e-rstudio"/>
    <w:p>
      <w:pPr>
        <w:pStyle w:val="Heading2"/>
      </w:pP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2"/>
      </w:pP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2"/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2"/>
      </w:pPr>
      <w:r>
        <w:t xml:space="preserve">Cap 4 - R Markdown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2"/>
      </w:pP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0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identificando: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06"/>
        </w:numPr>
      </w:pPr>
      <w:r>
        <w:t xml:space="preserve">pacotes do Tidyverse: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left_join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right_join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full_join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2"/>
      </w:pPr>
      <w:r>
        <w:t xml:space="preserve">Cap 6 - Pacote data.table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modificando dados com set:</w:t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2"/>
      </w:pPr>
      <w:r>
        <w:t xml:space="preserve">Cap 7 - Gráficos basicos e pacote ggplot2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Gráficos basicos: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barras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linhas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Histograma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Boxplot (diagrama de caixa)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exercicios de gráficos basicos.</w:t>
      </w:r>
      <w:r>
        <w:br/>
      </w:r>
    </w:p>
    <w:bookmarkEnd w:id="30"/>
    <w:bookmarkStart w:id="31" w:name="em-andamento"/>
    <w:p>
      <w:pPr>
        <w:pStyle w:val="Heading2"/>
      </w:pPr>
      <w:r>
        <w:t xml:space="preserve">Em andamento:</w:t>
      </w:r>
    </w:p>
    <w:bookmarkEnd w:id="31"/>
    <w:bookmarkStart w:id="32" w:name="vazios"/>
    <w:p>
      <w:pPr>
        <w:pStyle w:val="Heading2"/>
      </w:pPr>
      <w:r>
        <w:t xml:space="preserve">Vazios:</w:t>
      </w:r>
    </w:p>
    <w:bookmarkEnd w:id="32"/>
    <w:bookmarkStart w:id="33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19"/>
        </w:numPr>
        <w:pStyle w:val="Compact"/>
      </w:pPr>
      <w:r>
        <w:t xml:space="preserve">Cap5_tidyr-pivot_longer__gather_ex1.R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Cap5_tidyr-pivot_longer__gather_ex2.R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Cap5_tidyr-pivot_wider__spread.R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Cap5_tidyr-separate.R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Cap5_tidyr-unite.R</w:t>
      </w:r>
      <w:r>
        <w:br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2022-03-03T16:20:14Z</dcterms:created>
  <dcterms:modified xsi:type="dcterms:W3CDTF">2022-03-03T16:20:14Z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Março de 2022</vt:lpwstr>
  </property>
  <property fmtid="{D5CDD505-2E9C-101B-9397-08002B2CF9AE}" pid="3" name="output">
    <vt:lpwstr/>
  </property>
</Properties>
</file>