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9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p>
      <w:pPr>
        <w:numPr>
          <w:ilvl w:val="0"/>
          <w:numId w:val="141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1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15"/>
        </w:numPr>
        <w:pStyle w:val="Compact"/>
      </w:pPr>
      <w:r>
        <w:t xml:space="preserve">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16"/>
        </w:numPr>
        <w:pStyle w:val="Compact"/>
      </w:pPr>
      <w:r>
        <w:t xml:space="preserve">Tabela de frequência para variável numérica (continua):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25"/>
    <w:bookmarkStart w:id="426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End w:id="426"/>
    <w:bookmarkStart w:id="427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27"/>
    <w:bookmarkStart w:id="428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28"/>
    <w:bookmarkEnd w:id="429"/>
    <w:bookmarkStart w:id="430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30"/>
    <w:bookmarkStart w:id="434" w:name="referências"/>
    <w:p>
      <w:pPr>
        <w:pStyle w:val="Heading1"/>
      </w:pPr>
      <w:r>
        <w:t xml:space="preserve">REFERÊNCIAS</w:t>
      </w:r>
    </w:p>
    <w:bookmarkStart w:id="433" w:name="refs"/>
    <w:bookmarkStart w:id="432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31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32"/>
    <w:bookmarkEnd w:id="433"/>
    <w:bookmarkEnd w:id="4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2023-08-18T07:06:26Z</dcterms:created>
  <dcterms:modified xsi:type="dcterms:W3CDTF">2023-08-18T07:06:26Z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18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