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  <w:r>
        <w:t xml:space="preserve">Renomeia uma coluna.</w:t>
      </w:r>
      <w:r>
        <w:br/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3"/>
        </w:numPr>
      </w:pPr>
      <w:r>
        <w:rPr>
          <w:rStyle w:val="VerbatimChar"/>
        </w:rPr>
        <w:t xml:space="preserve">bind_cols()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0"/>
          <w:numId w:val="1153"/>
        </w:numPr>
      </w:pPr>
      <w:r>
        <w:rPr>
          <w:rStyle w:val="VerbatimChar"/>
        </w:rPr>
        <w:t xml:space="preserve">bind_rows()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3"/>
        </w:numPr>
      </w:pPr>
      <w:r>
        <w:rPr>
          <w:rStyle w:val="VerbatimChar"/>
        </w:rPr>
        <w:t xml:space="preserve">inner_join()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0"/>
          <w:numId w:val="1153"/>
        </w:numPr>
      </w:pPr>
      <w:r>
        <w:rPr>
          <w:rStyle w:val="VerbatimChar"/>
        </w:rPr>
        <w:t xml:space="preserve">left_join()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3"/>
        </w:numPr>
      </w:pPr>
      <w:r>
        <w:rPr>
          <w:rStyle w:val="VerbatimChar"/>
        </w:rPr>
        <w:t xml:space="preserve">right_join()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3"/>
        </w:numPr>
      </w:pPr>
      <w:r>
        <w:rPr>
          <w:rStyle w:val="VerbatimChar"/>
        </w:rPr>
        <w:t xml:space="preserve">full_join()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3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0"/>
          <w:numId w:val="1153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0"/>
          <w:numId w:val="1153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0"/>
          <w:numId w:val="1153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57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modificando dados com set:</w:t>
      </w:r>
    </w:p>
    <w:p>
      <w:pPr>
        <w:numPr>
          <w:ilvl w:val="2"/>
          <w:numId w:val="1158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58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58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58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60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60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60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61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60"/>
        </w:numPr>
      </w:pPr>
      <w:r>
        <w:t xml:space="preserve">Gráfico de dispersão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60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66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66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67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68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4">
    <w:abstractNumId w:val="991"/>
  </w:num>
  <w:num w:numId="1165">
    <w:abstractNumId w:val="991"/>
  </w:num>
  <w:num w:numId="116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8">
    <w:abstractNumId w:val="991"/>
  </w:num>
  <w:num w:numId="116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2023-03-23T07:42:09Z</dcterms:created>
  <dcterms:modified xsi:type="dcterms:W3CDTF">2023-03-23T07:42:09Z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23 março 2023</vt:lpwstr>
  </property>
  <property fmtid="{D5CDD505-2E9C-101B-9397-08002B2CF9AE}" pid="5" name="output">
    <vt:lpwstr/>
  </property>
</Properties>
</file>