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40"/>
          <w:szCs w:val="40"/>
        </w:rPr>
        <w:t xml:space="preserve">Nikola Šepić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Full-Stack Web Developer | Next.js · Nuxt · Laravel · Google Ads · SEO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Belgrade, Serbia | sepicnikola@gmail.com | +381 63 7624 555 | sepic.me | linkedin.com/in/sepicn | github.com/sepicn</w:t>
      </w:r>
    </w:p>
    <w:p>
      <w:pPr>
        <w:pStyle w:val="Heading2"/>
        <w:pBdr>
          <w:bottom w:val="single" w:color="C9D3DE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Full-stack developer with 1.5 years on production systems (Nuxt and Laravel, ASP.NET Core, Rails) and measurable digital marketing results: 8 Google Ads campaigns for a private hospital and technical SEO that raised Site Health from 90% to 98%. Strongest on the front end: TypeScript, React, Next.js, Vue. I work with AI agents every day (Claude Code, Codex): phased plans, written decisions and a review of every step.</w:t>
      </w:r>
    </w:p>
    <w:p>
      <w:pPr>
        <w:pStyle w:val="Heading2"/>
        <w:pBdr>
          <w:bottom w:val="single" w:color="C9D3DE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TypeScript, JavaScript, PHP,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sz w:val="20"/>
          <w:szCs w:val="20"/>
        </w:rPr>
        <w:t xml:space="preserve">React, Next.js, Vue, Nuxt, Tailwind CSS, HTML, 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Back-end: </w:t>
      </w:r>
      <w:r>
        <w:rPr>
          <w:rFonts w:ascii="Calibri" w:cs="Calibri" w:eastAsia="Calibri" w:hAnsi="Calibri"/>
          <w:sz w:val="20"/>
          <w:szCs w:val="20"/>
        </w:rPr>
        <w:t xml:space="preserve">Node.js, Express, Laravel, ASP.NET Core, Rails, REST APIs, Auth (Better Auth, Clerk, Sanctum)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and tools: </w:t>
      </w:r>
      <w:r>
        <w:rPr>
          <w:rFonts w:ascii="Calibri" w:cs="Calibri" w:eastAsia="Calibri" w:hAnsi="Calibri"/>
          <w:sz w:val="20"/>
          <w:szCs w:val="20"/>
        </w:rPr>
        <w:t xml:space="preserve">PostgreSQL, MySQL, MongoDB, Redis, Prisma, Drizzle, Git, Jira, Vitest, Playwright, GitHub Actions,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workflow: </w:t>
      </w:r>
      <w:r>
        <w:rPr>
          <w:rFonts w:ascii="Calibri" w:cs="Calibri" w:eastAsia="Calibri" w:hAnsi="Calibri"/>
          <w:sz w:val="20"/>
          <w:szCs w:val="20"/>
        </w:rPr>
        <w:t xml:space="preserve">Claude Code, Codex, parallel agent sessions in git worktrees, phased plans and ADRs, review of every step, Claude API, OpenRouter, MCP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Marketing: </w:t>
      </w:r>
      <w:r>
        <w:rPr>
          <w:rFonts w:ascii="Calibri" w:cs="Calibri" w:eastAsia="Calibri" w:hAnsi="Calibri"/>
          <w:sz w:val="20"/>
          <w:szCs w:val="20"/>
        </w:rPr>
        <w:t xml:space="preserve">Google Ads, Meta Ads, GA4, Google Tag Manager, technical SEO, Semrush</w:t>
      </w:r>
    </w:p>
    <w:p>
      <w:pPr>
        <w:pStyle w:val="Heading2"/>
        <w:pBdr>
          <w:bottom w:val="single" w:color="C9D3DE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WORK EXPERIENCE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developer</w:t>
      </w:r>
      <w:r>
        <w:rPr>
          <w:rFonts w:ascii="Calibri" w:cs="Calibri" w:eastAsia="Calibri" w:hAnsi="Calibri"/>
          <w:sz w:val="20"/>
          <w:szCs w:val="20"/>
        </w:rPr>
        <w:t xml:space="preserve"> | Medical Time Hospital</w:t>
      </w:r>
      <w:r>
        <w:rPr>
          <w:rFonts w:ascii="Calibri" w:cs="Calibri" w:eastAsia="Calibri" w:hAnsi="Calibri"/>
          <w:color w:val="5B6470"/>
          <w:sz w:val="19"/>
          <w:szCs w:val="19"/>
        </w:rPr>
        <w:tab/>
        <w:t xml:space="preserve">Feb 2025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Belgrade | Nuxt, Vue, TypeScript, Laravel, MySQL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patient chatbot that answers questions and books appointments, with a switchable AI provider.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Shipped remote consent signing: the front desk sends a document to a tablet and the signature attaches to the order.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Own i18n for a ~400k-line platform in 5 languages with localized URLs.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Raised Semrush Site Health from 90% to 98% in one week: errors 6 → 0, warnings down 87%.</w:t>
      </w:r>
    </w:p>
    <w:p>
      <w:pPr>
        <w:spacing w:after="30"/>
      </w:pP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Front-end developer</w:t>
      </w:r>
      <w:r>
        <w:rPr>
          <w:rFonts w:ascii="Calibri" w:cs="Calibri" w:eastAsia="Calibri" w:hAnsi="Calibri"/>
          <w:sz w:val="20"/>
          <w:szCs w:val="20"/>
        </w:rPr>
        <w:t xml:space="preserve"> | Logistics company</w:t>
      </w:r>
      <w:r>
        <w:rPr>
          <w:rFonts w:ascii="Calibri" w:cs="Calibri" w:eastAsia="Calibri" w:hAnsi="Calibri"/>
          <w:color w:val="5B6470"/>
          <w:sz w:val="19"/>
          <w:szCs w:val="19"/>
        </w:rPr>
        <w:tab/>
        <w:t xml:space="preserve">May 2025 – Jul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Remote (USA) | ASP.NET Core MVC, Razor, Rails, Hotwire, Leaflet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As the UI developer on a two-developer team, redesigned 40+ TMS forms into modular multi-step wizards.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live Leaflet shipment map with stops, truck location and ETA per stop (Rails, Hotwire).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Rebuilt the safety and finance screens as standard grids and modals, via Jira and code review.</w:t>
      </w:r>
    </w:p>
    <w:p>
      <w:pPr>
        <w:spacing w:after="30"/>
      </w:pP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 web developer and digital marketing specialist</w:t>
      </w:r>
      <w:r>
        <w:rPr>
          <w:rFonts w:ascii="Calibri" w:cs="Calibri" w:eastAsia="Calibri" w:hAnsi="Calibri"/>
          <w:sz w:val="20"/>
          <w:szCs w:val="20"/>
        </w:rPr>
        <w:t xml:space="preserve"> | IT Expert</w:t>
      </w:r>
      <w:r>
        <w:rPr>
          <w:rFonts w:ascii="Calibri" w:cs="Calibri" w:eastAsia="Calibri" w:hAnsi="Calibri"/>
          <w:color w:val="5B6470"/>
          <w:sz w:val="19"/>
          <w:szCs w:val="19"/>
        </w:rPr>
        <w:tab/>
        <w:t xml:space="preserve">Mar 2025 – Present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Belgrade | Nuxt, Laravel, Google Ads, Meta Ads, GA4, GTM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Build the IT Expert client platform (Nuxt, Laravel): portal, subscriptions and Raiffeisen billing covered by 133 tests.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Manage 8 Google Ads Search campaigns and Meta Ads for a private hospital, with GA4 and GTM conversion tracking.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Monitor campaigns continuously: added 370+ negative keywords and set CPC caps, so the account no longer pays for clicks costing up to 19× the average.</w:t>
      </w:r>
    </w:p>
    <w:p>
      <w:pPr>
        <w:spacing w:after="30"/>
      </w:pPr>
    </w:p>
    <w:p>
      <w:pPr>
        <w:pStyle w:val="Heading2"/>
        <w:pBdr>
          <w:bottom w:val="single" w:color="C9D3DE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Kafe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| Django, Next.js, Flutter, PostgreSQL: </w:t>
      </w:r>
      <w:r>
        <w:rPr>
          <w:rFonts w:ascii="Calibri" w:cs="Calibri" w:eastAsia="Calibri" w:hAnsi="Calibri"/>
          <w:sz w:val="20"/>
          <w:szCs w:val="20"/>
        </w:rPr>
        <w:t xml:space="preserve">Restaurant SaaS: POS, kitchen display and offline mode; my architecture, built with AI agents, 2,265 tests. sepic.me/projekti/kafe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Makaze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| Go, React, Astro, PostgreSQL: </w:t>
      </w:r>
      <w:r>
        <w:rPr>
          <w:rFonts w:ascii="Calibri" w:cs="Calibri" w:eastAsia="Calibri" w:hAnsi="Calibri"/>
          <w:sz w:val="20"/>
          <w:szCs w:val="20"/>
        </w:rPr>
        <w:t xml:space="preserve">Salon software: no double bookings, IPS deposits, fiscal receipts; my architecture, built with AI agents. sepic.me/projekti/makaze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GymAI</w:t>
      </w:r>
      <w:r>
        <w:rPr>
          <w:rFonts w:ascii="Calibri" w:cs="Calibri" w:eastAsia="Calibri" w:hAnsi="Calibri"/>
          <w:color w:val="5B6470"/>
          <w:sz w:val="20"/>
          <w:szCs w:val="20"/>
        </w:rPr>
        <w:t xml:space="preserve"> | React, Express, Prisma: </w:t>
      </w:r>
      <w:r>
        <w:rPr>
          <w:rFonts w:ascii="Calibri" w:cs="Calibri" w:eastAsia="Calibri" w:hAnsi="Calibri"/>
          <w:sz w:val="20"/>
          <w:szCs w:val="20"/>
        </w:rPr>
        <w:t xml:space="preserve">AI weekly training plans: Zod-checked output, model fallback, rate limits, 44 tests. github.com/sepicn/gym-planner</w:t>
      </w:r>
    </w:p>
    <w:p>
      <w:pPr>
        <w:pStyle w:val="Heading2"/>
        <w:pBdr>
          <w:bottom w:val="single" w:color="C9D3DE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BSc in Information Technology</w:t>
      </w:r>
      <w:r>
        <w:rPr>
          <w:rFonts w:ascii="Calibri" w:cs="Calibri" w:eastAsia="Calibri" w:hAnsi="Calibri"/>
          <w:sz w:val="20"/>
          <w:szCs w:val="20"/>
        </w:rPr>
        <w:t xml:space="preserve"> | Singidunum University, Belgrade</w:t>
      </w:r>
      <w:r>
        <w:rPr>
          <w:rFonts w:ascii="Calibri" w:cs="Calibri" w:eastAsia="Calibri" w:hAnsi="Calibri"/>
          <w:color w:val="5B6470"/>
          <w:sz w:val="19"/>
          <w:szCs w:val="19"/>
        </w:rPr>
        <w:tab/>
        <w:t xml:space="preserve">2020 – 2024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sz w:val="20"/>
          <w:szCs w:val="20"/>
        </w:rPr>
        <w:t xml:space="preserve">React: The Complete Guide (Udemy, 2024); The Complete JavaScript Course (Udemy, 2023); JavaScript Algorithms and Data Structures (freeCodeCamp, 2023)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Serbian (native), English (fluent (C1)), Spanish (basic (A2))</w:t>
      </w:r>
    </w:p>
    <w:sectPr>
      <w:pgSz w:w="11906" w:h="16838" w:orient="portrait"/>
      <w:pgMar w:top="680" w:right="800" w:bottom="6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Nikola Šepić CV</dc:title>
  <dc:creator>Nikola Šepić</dc:creator>
  <cp:lastModifiedBy>Un-named</cp:lastModifiedBy>
  <cp:revision>1</cp:revision>
  <dcterms:created xsi:type="dcterms:W3CDTF">2026-10-20T20:40:23.181Z</dcterms:created>
  <dcterms:modified xsi:type="dcterms:W3CDTF">2026-10-20T20:40:23.181Z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