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keepLines/>
        <w:keepNext/>
      </w:pPr>
      <w:r>
        <w:rPr>
          <w:rFonts w:ascii="Aptos Display" w:hAnsi="Aptos Display"/>
          <w:b/>
          <w:color w:val="234E70"/>
          <w:sz w:val="44"/>
        </w:rPr>
        <w:t>CLIENT ENGAGEMENT LETTER</w:t>
      </w:r>
    </w:p>
    <w:p>
      <w:pPr>
        <w:spacing w:after="240"/>
        <w:keepLines/>
        <w:keepNext/>
      </w:pPr>
      <w:r>
        <w:rPr>
          <w:b/>
          <w:color w:val="4E8493"/>
          <w:sz w:val="18"/>
        </w:rPr>
        <w:t>INTEGRATED SERVICES  •  TERMS OF SERVICE</w:t>
      </w:r>
    </w:p>
    <w:tbl>
      <w:tblPr>
        <w:tblW w:type="auto" w:w="0"/>
        <w:jc w:val="center"/>
        <w:tblLayout w:type="fixed"/>
        <w:tblLook w:firstColumn="1" w:firstRow="1" w:lastColumn="0" w:lastRow="0" w:noHBand="0" w:noVBand="1" w:val="04A0"/>
      </w:tblPr>
      <w:tblGrid>
        <w:gridCol w:w="2592"/>
        <w:gridCol w:w="7560"/>
      </w:tblGrid>
      <w:tr>
        <w:trPr>
          <w:cantSplit/>
        </w:trPr>
        <w:tc>
          <w:tcPr>
            <w:tcW w:type="dxa" w:w="2592"/>
            <w:vAlign w:val="center"/>
            <w:tcMar>
              <w:top w:w="100" w:type="dxa"/>
              <w:start w:w="120" w:type="dxa"/>
              <w:bottom w:w="100" w:type="dxa"/>
              <w:end w:w="120" w:type="dxa"/>
            </w:tcMar>
            <w:shd w:fill="EAF2F5"/>
            <w:tcBorders>
              <w:bottom w:val="single" w:sz="4" w:color="D7E2E8"/>
            </w:tcBorders>
          </w:tcPr>
          <w:p>
            <w:pPr>
              <w:spacing w:after="0"/>
            </w:pPr>
            <w:r/>
            <w:r>
              <w:rPr>
                <w:rFonts w:ascii="Aptos" w:hAnsi="Aptos"/>
                <w:b/>
                <w:color w:val="234E70"/>
                <w:sz w:val="18"/>
              </w:rPr>
              <w:t>SERVICE PROVIDER</w:t>
            </w:r>
          </w:p>
        </w:tc>
        <w:tc>
          <w:tcPr>
            <w:tcW w:type="dxa" w:w="7560"/>
            <w:vAlign w:val="center"/>
            <w:tcMar>
              <w:top w:w="100" w:type="dxa"/>
              <w:start w:w="120" w:type="dxa"/>
              <w:bottom w:w="100" w:type="dxa"/>
              <w:end w:w="120" w:type="dxa"/>
            </w:tcMar>
            <w:tcBorders>
              <w:bottom w:val="single" w:sz="4" w:color="D7E2E8"/>
            </w:tcBorders>
          </w:tcPr>
          <w:p>
            <w:pPr>
              <w:spacing w:after="0"/>
            </w:pPr>
            <w:r/>
            <w:r>
              <w:rPr>
                <w:rFonts w:ascii="Aptos" w:hAnsi="Aptos"/>
                <w:b w:val="0"/>
                <w:color w:val="263640"/>
                <w:sz w:val="18"/>
              </w:rPr>
              <w:t>Lumeo Advisory (Pty) Ltd</w:t>
            </w:r>
          </w:p>
        </w:tc>
      </w:tr>
      <w:tr>
        <w:trPr>
          <w:cantSplit/>
        </w:trPr>
        <w:tc>
          <w:tcPr>
            <w:tcW w:type="dxa" w:w="2592"/>
            <w:vAlign w:val="center"/>
            <w:tcMar>
              <w:top w:w="100" w:type="dxa"/>
              <w:start w:w="120" w:type="dxa"/>
              <w:bottom w:w="100" w:type="dxa"/>
              <w:end w:w="120" w:type="dxa"/>
            </w:tcMar>
            <w:shd w:fill="EAF2F5"/>
            <w:tcBorders>
              <w:bottom w:val="single" w:sz="4" w:color="D7E2E8"/>
            </w:tcBorders>
          </w:tcPr>
          <w:p>
            <w:pPr>
              <w:spacing w:after="0"/>
            </w:pPr>
            <w:r/>
            <w:r>
              <w:rPr>
                <w:rFonts w:ascii="Aptos" w:hAnsi="Aptos"/>
                <w:b/>
                <w:color w:val="234E70"/>
                <w:sz w:val="18"/>
              </w:rPr>
              <w:t>CLIENT</w:t>
            </w:r>
          </w:p>
        </w:tc>
        <w:tc>
          <w:tcPr>
            <w:tcW w:type="dxa" w:w="7560"/>
            <w:vAlign w:val="center"/>
            <w:tcMar>
              <w:top w:w="100" w:type="dxa"/>
              <w:start w:w="120" w:type="dxa"/>
              <w:bottom w:w="100" w:type="dxa"/>
              <w:end w:w="120" w:type="dxa"/>
            </w:tcMar>
            <w:tcBorders>
              <w:bottom w:val="single" w:sz="4" w:color="D7E2E8"/>
            </w:tcBorders>
          </w:tcPr>
          <w:p>
            <w:pPr>
              <w:spacing w:after="0"/>
            </w:pPr>
            <w:r/>
            <w:r>
              <w:rPr>
                <w:rFonts w:ascii="Aptos" w:hAnsi="Aptos"/>
                <w:b w:val="0"/>
                <w:color w:val="263640"/>
                <w:sz w:val="18"/>
              </w:rPr>
              <w:t>[Client business name / individual name]</w:t>
            </w:r>
          </w:p>
        </w:tc>
      </w:tr>
      <w:tr>
        <w:trPr>
          <w:cantSplit/>
        </w:trPr>
        <w:tc>
          <w:tcPr>
            <w:tcW w:type="dxa" w:w="2592"/>
            <w:vAlign w:val="center"/>
            <w:tcMar>
              <w:top w:w="100" w:type="dxa"/>
              <w:start w:w="120" w:type="dxa"/>
              <w:bottom w:w="100" w:type="dxa"/>
              <w:end w:w="120" w:type="dxa"/>
            </w:tcMar>
            <w:shd w:fill="EAF2F5"/>
            <w:tcBorders>
              <w:bottom w:val="single" w:sz="4" w:color="D7E2E8"/>
            </w:tcBorders>
          </w:tcPr>
          <w:p>
            <w:pPr>
              <w:spacing w:after="0"/>
            </w:pPr>
            <w:r/>
            <w:r>
              <w:rPr>
                <w:rFonts w:ascii="Aptos" w:hAnsi="Aptos"/>
                <w:b/>
                <w:color w:val="234E70"/>
                <w:sz w:val="18"/>
              </w:rPr>
              <w:t>REGISTRATION / ID</w:t>
            </w:r>
          </w:p>
        </w:tc>
        <w:tc>
          <w:tcPr>
            <w:tcW w:type="dxa" w:w="7560"/>
            <w:vAlign w:val="center"/>
            <w:tcMar>
              <w:top w:w="100" w:type="dxa"/>
              <w:start w:w="120" w:type="dxa"/>
              <w:bottom w:w="100" w:type="dxa"/>
              <w:end w:w="120" w:type="dxa"/>
            </w:tcMar>
            <w:tcBorders>
              <w:bottom w:val="single" w:sz="4" w:color="D7E2E8"/>
            </w:tcBorders>
          </w:tcPr>
          <w:p>
            <w:pPr>
              <w:spacing w:after="0"/>
            </w:pPr>
            <w:r/>
            <w:r>
              <w:rPr>
                <w:rFonts w:ascii="Aptos" w:hAnsi="Aptos"/>
                <w:b w:val="0"/>
                <w:color w:val="263640"/>
                <w:sz w:val="18"/>
              </w:rPr>
              <w:t>[Company registration number / ID number, if applicable]</w:t>
            </w:r>
          </w:p>
        </w:tc>
      </w:tr>
      <w:tr>
        <w:trPr>
          <w:cantSplit/>
        </w:trPr>
        <w:tc>
          <w:tcPr>
            <w:tcW w:type="dxa" w:w="2592"/>
            <w:vAlign w:val="center"/>
            <w:tcMar>
              <w:top w:w="100" w:type="dxa"/>
              <w:start w:w="120" w:type="dxa"/>
              <w:bottom w:w="100" w:type="dxa"/>
              <w:end w:w="120" w:type="dxa"/>
            </w:tcMar>
            <w:shd w:fill="EAF2F5"/>
            <w:tcBorders>
              <w:bottom w:val="single" w:sz="4" w:color="D7E2E8"/>
            </w:tcBorders>
          </w:tcPr>
          <w:p>
            <w:pPr>
              <w:spacing w:after="0"/>
            </w:pPr>
            <w:r/>
            <w:r>
              <w:rPr>
                <w:rFonts w:ascii="Aptos" w:hAnsi="Aptos"/>
                <w:b/>
                <w:color w:val="234E70"/>
                <w:sz w:val="18"/>
              </w:rPr>
              <w:t>CLIENT ADDRESS</w:t>
            </w:r>
          </w:p>
        </w:tc>
        <w:tc>
          <w:tcPr>
            <w:tcW w:type="dxa" w:w="7560"/>
            <w:vAlign w:val="center"/>
            <w:tcMar>
              <w:top w:w="100" w:type="dxa"/>
              <w:start w:w="120" w:type="dxa"/>
              <w:bottom w:w="100" w:type="dxa"/>
              <w:end w:w="120" w:type="dxa"/>
            </w:tcMar>
            <w:tcBorders>
              <w:bottom w:val="single" w:sz="4" w:color="D7E2E8"/>
            </w:tcBorders>
          </w:tcPr>
          <w:p>
            <w:pPr>
              <w:spacing w:after="0"/>
            </w:pPr>
            <w:r/>
            <w:r>
              <w:rPr>
                <w:rFonts w:ascii="Aptos" w:hAnsi="Aptos"/>
                <w:b w:val="0"/>
                <w:color w:val="263640"/>
                <w:sz w:val="18"/>
              </w:rPr>
              <w:t>[Physical or registered address]</w:t>
            </w:r>
          </w:p>
        </w:tc>
      </w:tr>
      <w:tr>
        <w:trPr>
          <w:cantSplit/>
        </w:trPr>
        <w:tc>
          <w:tcPr>
            <w:tcW w:type="dxa" w:w="2592"/>
            <w:vAlign w:val="center"/>
            <w:tcMar>
              <w:top w:w="100" w:type="dxa"/>
              <w:start w:w="120" w:type="dxa"/>
              <w:bottom w:w="100" w:type="dxa"/>
              <w:end w:w="120" w:type="dxa"/>
            </w:tcMar>
            <w:shd w:fill="EAF2F5"/>
            <w:tcBorders>
              <w:bottom w:val="single" w:sz="4" w:color="D7E2E8"/>
            </w:tcBorders>
          </w:tcPr>
          <w:p>
            <w:pPr>
              <w:spacing w:after="0"/>
            </w:pPr>
            <w:r/>
            <w:r>
              <w:rPr>
                <w:rFonts w:ascii="Aptos" w:hAnsi="Aptos"/>
                <w:b/>
                <w:color w:val="234E70"/>
                <w:sz w:val="18"/>
              </w:rPr>
              <w:t>AGREEMENT DATE</w:t>
            </w:r>
          </w:p>
        </w:tc>
        <w:tc>
          <w:tcPr>
            <w:tcW w:type="dxa" w:w="7560"/>
            <w:vAlign w:val="center"/>
            <w:tcMar>
              <w:top w:w="100" w:type="dxa"/>
              <w:start w:w="120" w:type="dxa"/>
              <w:bottom w:w="100" w:type="dxa"/>
              <w:end w:w="120" w:type="dxa"/>
            </w:tcMar>
            <w:tcBorders>
              <w:bottom w:val="single" w:sz="4" w:color="D7E2E8"/>
            </w:tcBorders>
          </w:tcPr>
          <w:p>
            <w:pPr>
              <w:spacing w:after="0"/>
            </w:pPr>
            <w:r/>
            <w:r>
              <w:rPr>
                <w:rFonts w:ascii="Aptos" w:hAnsi="Aptos"/>
                <w:b w:val="0"/>
                <w:color w:val="263640"/>
                <w:sz w:val="18"/>
              </w:rPr>
              <w:t>[DD / MM / YYYY]</w:t>
            </w:r>
          </w:p>
        </w:tc>
      </w:tr>
      <w:tr>
        <w:trPr>
          <w:cantSplit/>
        </w:trPr>
        <w:tc>
          <w:tcPr>
            <w:tcW w:type="dxa" w:w="2592"/>
            <w:vAlign w:val="center"/>
            <w:tcMar>
              <w:top w:w="100" w:type="dxa"/>
              <w:start w:w="120" w:type="dxa"/>
              <w:bottom w:w="100" w:type="dxa"/>
              <w:end w:w="120" w:type="dxa"/>
            </w:tcMar>
            <w:shd w:fill="EAF2F5"/>
            <w:tcBorders>
              <w:bottom w:val="single" w:sz="4" w:color="D7E2E8"/>
            </w:tcBorders>
          </w:tcPr>
          <w:p>
            <w:pPr>
              <w:spacing w:after="0"/>
            </w:pPr>
            <w:r/>
            <w:r>
              <w:rPr>
                <w:rFonts w:ascii="Aptos" w:hAnsi="Aptos"/>
                <w:b/>
                <w:color w:val="234E70"/>
                <w:sz w:val="18"/>
              </w:rPr>
              <w:t>SELECTED PLAN</w:t>
            </w:r>
          </w:p>
        </w:tc>
        <w:tc>
          <w:tcPr>
            <w:tcW w:type="dxa" w:w="7560"/>
            <w:vAlign w:val="center"/>
            <w:tcMar>
              <w:top w:w="100" w:type="dxa"/>
              <w:start w:w="120" w:type="dxa"/>
              <w:bottom w:w="100" w:type="dxa"/>
              <w:end w:w="120" w:type="dxa"/>
            </w:tcMar>
            <w:tcBorders>
              <w:bottom w:val="single" w:sz="4" w:color="D7E2E8"/>
            </w:tcBorders>
          </w:tcPr>
          <w:p>
            <w:pPr>
              <w:spacing w:after="0"/>
            </w:pPr>
            <w:r/>
            <w:r>
              <w:rPr>
                <w:rFonts w:ascii="Aptos" w:hAnsi="Aptos"/>
                <w:b w:val="0"/>
                <w:color w:val="263640"/>
                <w:sz w:val="18"/>
              </w:rPr>
              <w:t>☐ Starter All-In-One     ☐ Growth All-In-One     ☐ Executive / Custom Scheme</w:t>
            </w:r>
          </w:p>
        </w:tc>
      </w:tr>
      <w:tr>
        <w:trPr>
          <w:cantSplit/>
        </w:trPr>
        <w:tc>
          <w:tcPr>
            <w:tcW w:type="dxa" w:w="2592"/>
            <w:vAlign w:val="center"/>
            <w:tcMar>
              <w:top w:w="100" w:type="dxa"/>
              <w:start w:w="120" w:type="dxa"/>
              <w:bottom w:w="100" w:type="dxa"/>
              <w:end w:w="120" w:type="dxa"/>
            </w:tcMar>
            <w:shd w:fill="EAF2F5"/>
            <w:tcBorders>
              <w:bottom w:val="single" w:sz="4" w:color="D7E2E8"/>
            </w:tcBorders>
          </w:tcPr>
          <w:p>
            <w:pPr>
              <w:spacing w:after="0"/>
            </w:pPr>
            <w:r/>
            <w:r>
              <w:rPr>
                <w:rFonts w:ascii="Aptos" w:hAnsi="Aptos"/>
                <w:b/>
                <w:color w:val="234E70"/>
                <w:sz w:val="18"/>
              </w:rPr>
              <w:t>MONTHLY FEE</w:t>
            </w:r>
          </w:p>
        </w:tc>
        <w:tc>
          <w:tcPr>
            <w:tcW w:type="dxa" w:w="7560"/>
            <w:vAlign w:val="center"/>
            <w:tcMar>
              <w:top w:w="100" w:type="dxa"/>
              <w:start w:w="120" w:type="dxa"/>
              <w:bottom w:w="100" w:type="dxa"/>
              <w:end w:w="120" w:type="dxa"/>
            </w:tcMar>
            <w:tcBorders>
              <w:bottom w:val="single" w:sz="4" w:color="D7E2E8"/>
            </w:tcBorders>
          </w:tcPr>
          <w:p>
            <w:pPr>
              <w:spacing w:after="0"/>
            </w:pPr>
            <w:r/>
            <w:r>
              <w:rPr>
                <w:rFonts w:ascii="Aptos" w:hAnsi="Aptos"/>
                <w:b w:val="0"/>
                <w:color w:val="263640"/>
                <w:sz w:val="18"/>
              </w:rPr>
              <w:t>R[                 ] excluding VAT  |  Custom scope, if applicable: [                         ]</w:t>
            </w:r>
          </w:p>
        </w:tc>
      </w:tr>
      <w:tr>
        <w:trPr>
          <w:cantSplit/>
        </w:trPr>
        <w:tc>
          <w:tcPr>
            <w:tcW w:type="dxa" w:w="2592"/>
            <w:vAlign w:val="center"/>
            <w:tcMar>
              <w:top w:w="100" w:type="dxa"/>
              <w:start w:w="120" w:type="dxa"/>
              <w:bottom w:w="100" w:type="dxa"/>
              <w:end w:w="120" w:type="dxa"/>
            </w:tcMar>
            <w:shd w:fill="EAF2F5"/>
            <w:tcBorders>
              <w:bottom w:val="single" w:sz="4" w:color="D7E2E8"/>
            </w:tcBorders>
          </w:tcPr>
          <w:p>
            <w:pPr>
              <w:spacing w:after="0"/>
            </w:pPr>
            <w:r/>
            <w:r>
              <w:rPr>
                <w:rFonts w:ascii="Aptos" w:hAnsi="Aptos"/>
                <w:b/>
                <w:color w:val="234E70"/>
                <w:sz w:val="18"/>
              </w:rPr>
              <w:t>WEBSITE BUILD</w:t>
            </w:r>
          </w:p>
        </w:tc>
        <w:tc>
          <w:tcPr>
            <w:tcW w:type="dxa" w:w="7560"/>
            <w:vAlign w:val="center"/>
            <w:tcMar>
              <w:top w:w="100" w:type="dxa"/>
              <w:start w:w="120" w:type="dxa"/>
              <w:bottom w:w="100" w:type="dxa"/>
              <w:end w:w="120" w:type="dxa"/>
            </w:tcMar>
            <w:tcBorders>
              <w:bottom w:val="single" w:sz="4" w:color="D7E2E8"/>
            </w:tcBorders>
          </w:tcPr>
          <w:p>
            <w:pPr>
              <w:spacing w:after="0"/>
            </w:pPr>
            <w:r/>
            <w:r>
              <w:rPr>
                <w:rFonts w:ascii="Aptos" w:hAnsi="Aptos"/>
                <w:b w:val="0"/>
                <w:color w:val="263640"/>
                <w:sz w:val="18"/>
              </w:rPr>
              <w:t>☐ Starter: R1,500   ☐ Growth: R4,500   ☐ Executive: custom quote   ☐ Not selected</w:t>
            </w:r>
          </w:p>
        </w:tc>
      </w:tr>
    </w:tbl>
    <w:p>
      <w:pPr>
        <w:spacing w:after="0"/>
      </w:pPr>
    </w:p>
    <w:p>
      <w:pPr>
        <w:pStyle w:val="ContractBody"/>
        <w:keepLines/>
      </w:pPr>
      <w:r>
        <w:t>This Client Engagement Letter and Terms of Service (the “Agreement”) records the terms on which Lumeo Advisory (Pty) Ltd (“Lumeo” or the “Service Provider”) will provide the selected services to the client identified above (“the Client”). The selected plan, agreed fee and any written scope agreed by the parties form part of this Agreement.</w:t>
      </w:r>
    </w:p>
    <w:p>
      <w:pPr>
        <w:pStyle w:val="Heading1"/>
        <w:spacing w:before="240" w:after="100"/>
        <w:keepLines/>
        <w:keepNext/>
      </w:pPr>
      <w:r>
        <w:rPr>
          <w:color w:val="234E70"/>
        </w:rPr>
        <w:t>1.  Scope of Engagement</w:t>
      </w:r>
    </w:p>
    <w:p>
      <w:pPr>
        <w:pStyle w:val="ContractBody"/>
        <w:keepLines/>
      </w:pPr>
      <w:r>
        <w:t>Lumeo will provide the bookkeeping, statutory compliance, Xero subscription and managed digital services listed below for the selected monthly retainer. The Client should mark one plan above. Website build fees are once-off and separate from the monthly retainer.</w:t>
      </w:r>
    </w:p>
    <w:tbl>
      <w:tblPr>
        <w:tblW w:type="auto" w:w="0"/>
        <w:jc w:val="center"/>
        <w:tblLayout w:type="fixed"/>
        <w:tblLook w:firstColumn="1" w:firstRow="1" w:lastColumn="0" w:lastRow="0" w:noHBand="0" w:noVBand="1" w:val="04A0"/>
      </w:tblPr>
      <w:tblGrid>
        <w:gridCol w:w="10152"/>
      </w:tblGrid>
      <w:tr>
        <w:trPr>
          <w:cantSplit/>
        </w:trPr>
        <w:tc>
          <w:tcPr>
            <w:tcW w:type="dxa" w:w="10152"/>
            <w:shd w:fill="EAF2F5"/>
            <w:tcMar>
              <w:top w:w="130" w:type="dxa"/>
              <w:start w:w="180" w:type="dxa"/>
              <w:bottom w:w="130" w:type="dxa"/>
              <w:end w:w="180" w:type="dxa"/>
            </w:tcMar>
            <w:tcBorders>
              <w:bottom w:val="single" w:sz="8" w:color="C8D9E2"/>
            </w:tcBorders>
          </w:tcPr>
          <w:p>
            <w:pPr>
              <w:spacing w:after="40"/>
            </w:pPr>
            <w:r/>
            <w:r>
              <w:rPr>
                <w:rFonts w:ascii="Aptos Display" w:hAnsi="Aptos Display"/>
                <w:b/>
                <w:color w:val="234E70"/>
                <w:sz w:val="22"/>
              </w:rPr>
              <w:t>☐  STARTER ALL-IN-ONE</w:t>
            </w:r>
          </w:p>
          <w:p>
            <w:pPr>
              <w:spacing w:after="40"/>
            </w:pPr>
            <w:r>
              <w:rPr>
                <w:b/>
                <w:color w:val="4E8493"/>
                <w:sz w:val="20"/>
              </w:rPr>
              <w:t>R2,000 per month, excluding VAT</w:t>
            </w:r>
            <w:r>
              <w:rPr>
                <w:i/>
                <w:color w:val="536875"/>
                <w:sz w:val="18"/>
              </w:rPr>
              <w:t xml:space="preserve">  |  Micro-enterprises, sole proprietors and independent contractors</w:t>
            </w:r>
          </w:p>
          <w:p>
            <w:pPr>
              <w:pStyle w:val="ContractBullet"/>
              <w:spacing w:after="20"/>
              <w:ind w:left="317" w:hanging="216"/>
              <w:keepLines/>
            </w:pPr>
            <w:r>
              <w:t>Up to 75 bank transactions processed each month</w:t>
            </w:r>
          </w:p>
          <w:p>
            <w:pPr>
              <w:pStyle w:val="ContractBullet"/>
              <w:spacing w:after="20"/>
              <w:ind w:left="317" w:hanging="216"/>
              <w:keepLines/>
            </w:pPr>
            <w:r>
              <w:t>Reconciliation of one account</w:t>
            </w:r>
          </w:p>
          <w:p>
            <w:pPr>
              <w:pStyle w:val="ContractBullet"/>
              <w:spacing w:after="20"/>
              <w:ind w:left="317" w:hanging="216"/>
              <w:keepLines/>
            </w:pPr>
            <w:r>
              <w:t>Monthly profit and loss summary</w:t>
            </w:r>
          </w:p>
          <w:p>
            <w:pPr>
              <w:pStyle w:val="ContractBullet"/>
              <w:spacing w:after="20"/>
              <w:ind w:left="317" w:hanging="216"/>
              <w:keepLines/>
            </w:pPr>
            <w:r>
              <w:t>Bi-annual provisional tax (IRP6) filings</w:t>
            </w:r>
          </w:p>
          <w:p>
            <w:pPr>
              <w:pStyle w:val="ContractBullet"/>
              <w:spacing w:after="20"/>
              <w:ind w:left="317" w:hanging="216"/>
              <w:keepLines/>
            </w:pPr>
            <w:r>
              <w:t>Annual tax-ready financial pack for year-end processing</w:t>
            </w:r>
          </w:p>
          <w:p>
            <w:pPr>
              <w:pStyle w:val="ContractBullet"/>
              <w:spacing w:after="20"/>
              <w:ind w:left="317" w:hanging="216"/>
              <w:keepLines/>
            </w:pPr>
            <w:r>
              <w:t>Included Xero organisation subscription</w:t>
            </w:r>
          </w:p>
          <w:p>
            <w:pPr>
              <w:pStyle w:val="ContractBullet"/>
              <w:spacing w:after="20"/>
              <w:ind w:left="317" w:hanging="216"/>
              <w:keepLines/>
            </w:pPr>
            <w:r>
              <w:t>Managed .co.za domain and hosting, SSL certificate, and up to 5 business email accounts</w:t>
            </w:r>
          </w:p>
        </w:tc>
      </w:tr>
      <w:tr>
        <w:trPr>
          <w:cantSplit/>
        </w:trPr>
        <w:tc>
          <w:tcPr>
            <w:tcW w:type="dxa" w:w="10152"/>
            <w:shd w:fill="EAF2F5"/>
            <w:tcMar>
              <w:top w:w="130" w:type="dxa"/>
              <w:start w:w="180" w:type="dxa"/>
              <w:bottom w:w="130" w:type="dxa"/>
              <w:end w:w="180" w:type="dxa"/>
            </w:tcMar>
            <w:tcBorders>
              <w:bottom w:val="single" w:sz="8" w:color="C8D9E2"/>
            </w:tcBorders>
          </w:tcPr>
          <w:p>
            <w:pPr>
              <w:spacing w:after="40"/>
            </w:pPr>
            <w:r/>
            <w:r>
              <w:rPr>
                <w:rFonts w:ascii="Aptos Display" w:hAnsi="Aptos Display"/>
                <w:b/>
                <w:color w:val="234E70"/>
                <w:sz w:val="22"/>
              </w:rPr>
              <w:t>☐  GROWTH ALL-IN-ONE</w:t>
            </w:r>
          </w:p>
          <w:p>
            <w:pPr>
              <w:spacing w:after="40"/>
            </w:pPr>
            <w:r>
              <w:rPr>
                <w:b/>
                <w:color w:val="4E8493"/>
                <w:sz w:val="20"/>
              </w:rPr>
              <w:t>R3,800 per month, excluding VAT</w:t>
            </w:r>
            <w:r>
              <w:rPr>
                <w:i/>
                <w:color w:val="536875"/>
                <w:sz w:val="18"/>
              </w:rPr>
              <w:t xml:space="preserve">  |  Active SMEs with staff, higher transaction volumes and recurring tax obligations</w:t>
            </w:r>
          </w:p>
          <w:p>
            <w:pPr>
              <w:pStyle w:val="ContractBullet"/>
              <w:spacing w:after="20"/>
              <w:ind w:left="317" w:hanging="216"/>
              <w:keepLines/>
            </w:pPr>
            <w:r>
              <w:t>Up to 250 transactions each month across up to 3 accounts</w:t>
            </w:r>
          </w:p>
          <w:p>
            <w:pPr>
              <w:pStyle w:val="ContractBullet"/>
              <w:spacing w:after="20"/>
              <w:ind w:left="317" w:hanging="216"/>
              <w:keepLines/>
            </w:pPr>
            <w:r>
              <w:t>Monthly accounts payable (AP) and accounts receivable (AR) tracking</w:t>
            </w:r>
          </w:p>
          <w:p>
            <w:pPr>
              <w:pStyle w:val="ContractBullet"/>
              <w:spacing w:after="20"/>
              <w:ind w:left="317" w:hanging="216"/>
              <w:keepLines/>
            </w:pPr>
            <w:r>
              <w:t>Bi-monthly VAT201 preparation and SARS eFiling submission</w:t>
            </w:r>
          </w:p>
          <w:p>
            <w:pPr>
              <w:pStyle w:val="ContractBullet"/>
              <w:spacing w:after="20"/>
              <w:ind w:left="317" w:hanging="216"/>
              <w:keepLines/>
            </w:pPr>
            <w:r>
              <w:t>Monthly management accounts</w:t>
            </w:r>
          </w:p>
          <w:p>
            <w:pPr>
              <w:pStyle w:val="ContractBullet"/>
              <w:spacing w:after="20"/>
              <w:ind w:left="317" w:hanging="216"/>
              <w:keepLines/>
            </w:pPr>
            <w:r>
              <w:t>Payroll for up to 5 employees, including monthly EMP201 submissions</w:t>
            </w:r>
          </w:p>
          <w:p>
            <w:pPr>
              <w:pStyle w:val="ContractBullet"/>
              <w:spacing w:after="20"/>
              <w:ind w:left="317" w:hanging="216"/>
              <w:keepLines/>
            </w:pPr>
            <w:r>
              <w:t>Included Xero organisation subscription</w:t>
            </w:r>
          </w:p>
          <w:p>
            <w:pPr>
              <w:pStyle w:val="ContractBullet"/>
              <w:spacing w:after="20"/>
              <w:ind w:left="317" w:hanging="216"/>
              <w:keepLines/>
            </w:pPr>
            <w:r>
              <w:t>Premium hosting with weekly backups, SSL, up to 15 email accounts, and 30 minutes of monthly website updates</w:t>
            </w:r>
          </w:p>
        </w:tc>
      </w:tr>
      <w:tr>
        <w:trPr>
          <w:cantSplit/>
        </w:trPr>
        <w:tc>
          <w:tcPr>
            <w:tcW w:type="dxa" w:w="10152"/>
            <w:shd w:fill="EAF2F5"/>
            <w:tcMar>
              <w:top w:w="130" w:type="dxa"/>
              <w:start w:w="180" w:type="dxa"/>
              <w:bottom w:w="130" w:type="dxa"/>
              <w:end w:w="180" w:type="dxa"/>
            </w:tcMar>
            <w:tcBorders>
              <w:bottom w:val="single" w:sz="8" w:color="C8D9E2"/>
            </w:tcBorders>
          </w:tcPr>
          <w:p>
            <w:pPr>
              <w:spacing w:after="40"/>
            </w:pPr>
            <w:r/>
            <w:r>
              <w:rPr>
                <w:rFonts w:ascii="Aptos Display" w:hAnsi="Aptos Display"/>
                <w:b/>
                <w:color w:val="234E70"/>
                <w:sz w:val="22"/>
              </w:rPr>
              <w:t>☐  EXECUTIVE / CUSTOM SCHEME</w:t>
            </w:r>
          </w:p>
          <w:p>
            <w:pPr>
              <w:spacing w:after="40"/>
            </w:pPr>
            <w:r>
              <w:rPr>
                <w:b/>
                <w:color w:val="4E8493"/>
                <w:sz w:val="20"/>
              </w:rPr>
              <w:t>Custom rate</w:t>
            </w:r>
            <w:r>
              <w:rPr>
                <w:i/>
                <w:color w:val="536875"/>
                <w:sz w:val="18"/>
              </w:rPr>
              <w:t xml:space="preserve">  |  Established commercial entities, property schemes and complex operations</w:t>
            </w:r>
          </w:p>
          <w:p>
            <w:pPr>
              <w:pStyle w:val="ContractBullet"/>
              <w:spacing w:after="20"/>
              <w:ind w:left="317" w:hanging="216"/>
              <w:keepLines/>
            </w:pPr>
            <w:r>
              <w:t>Tailored high-volume processing and multi-entity reconciliations</w:t>
            </w:r>
          </w:p>
          <w:p>
            <w:pPr>
              <w:pStyle w:val="ContractBullet"/>
              <w:spacing w:after="20"/>
              <w:ind w:left="317" w:hanging="216"/>
              <w:keepLines/>
            </w:pPr>
            <w:r>
              <w:t>Property scheme and reserve-fund administration</w:t>
            </w:r>
          </w:p>
          <w:p>
            <w:pPr>
              <w:pStyle w:val="ContractBullet"/>
              <w:spacing w:after="20"/>
              <w:ind w:left="317" w:hanging="216"/>
              <w:keepLines/>
            </w:pPr>
            <w:r>
              <w:t>VAT, EMP201, EMP501, COIDA/WCA and annual CIPC returns</w:t>
            </w:r>
          </w:p>
          <w:p>
            <w:pPr>
              <w:pStyle w:val="ContractBullet"/>
              <w:spacing w:after="20"/>
              <w:ind w:left="317" w:hanging="216"/>
              <w:keepLines/>
            </w:pPr>
            <w:r>
              <w:t>Payroll for up to 15 employees</w:t>
            </w:r>
          </w:p>
          <w:p>
            <w:pPr>
              <w:pStyle w:val="ContractBullet"/>
              <w:spacing w:after="20"/>
              <w:ind w:left="317" w:hanging="216"/>
              <w:keepLines/>
            </w:pPr>
            <w:r>
              <w:t>Executive management packs, cash-flow forecasting and quarterly strategic reviews</w:t>
            </w:r>
          </w:p>
          <w:p>
            <w:pPr>
              <w:pStyle w:val="ContractBullet"/>
              <w:spacing w:after="20"/>
              <w:ind w:left="317" w:hanging="216"/>
              <w:keepLines/>
            </w:pPr>
            <w:r>
              <w:t>Included Xero organisation subscription</w:t>
            </w:r>
          </w:p>
          <w:p>
            <w:pPr>
              <w:pStyle w:val="ContractBullet"/>
              <w:spacing w:after="20"/>
              <w:ind w:left="317" w:hanging="216"/>
              <w:keepLines/>
            </w:pPr>
            <w:r>
              <w:t>Priority hosting, daily backups, unlimited email administration, DNS management and ongoing site maintenance</w:t>
            </w:r>
          </w:p>
        </w:tc>
      </w:tr>
    </w:tbl>
    <w:p>
      <w:pPr>
        <w:spacing w:after="0"/>
      </w:pPr>
    </w:p>
    <w:p>
      <w:pPr>
        <w:pStyle w:val="ContractBody"/>
        <w:keepLines/>
      </w:pPr>
      <w:r>
        <w:t>Work outside the selected plan, including historical clean-up, reconstructions and complex SARS audit representation, is not included unless agreed in writing and will be billed under section 4.</w:t>
      </w:r>
    </w:p>
    <w:p>
      <w:pPr>
        <w:pStyle w:val="Heading1"/>
        <w:spacing w:before="240" w:after="100"/>
        <w:keepLines/>
        <w:keepNext/>
      </w:pPr>
      <w:r>
        <w:rPr>
          <w:color w:val="234E70"/>
        </w:rPr>
        <w:t>2.  Xero Software Licence and Data Ownership</w:t>
      </w:r>
    </w:p>
    <w:p>
      <w:pPr>
        <w:pStyle w:val="ContractBody"/>
        <w:keepLines/>
      </w:pPr>
      <w:r>
        <w:t>Partner licence provisioning. Lumeo represents that it is a Xero Partner and will provision the core Xero organisation subscription as part of the selected monthly retainer, for the duration of this Agreement and subject to Xero’s applicable terms.</w:t>
      </w:r>
    </w:p>
    <w:p>
      <w:pPr>
        <w:pStyle w:val="ContractBody"/>
        <w:keepLines/>
      </w:pPr>
      <w:r>
        <w:t>Subscription management. The Xero subscription will remain attached to Lumeo’s practice management account while this Agreement is active. The Client remains responsible for the accuracy and completeness of the source information it supplies.</w:t>
      </w:r>
    </w:p>
    <w:p>
      <w:pPr>
        <w:pStyle w:val="ContractBody"/>
        <w:keepLines/>
      </w:pPr>
      <w:r>
        <w:t>Client data. The Client retains ownership of its underlying business, financial and source-record data. Lumeo may access and process that data only as reasonably needed to perform the agreed services.</w:t>
      </w:r>
    </w:p>
    <w:p>
      <w:pPr>
        <w:pStyle w:val="ContractBody"/>
        <w:keepLines/>
      </w:pPr>
      <w:r>
        <w:t>Offboarding and transfer. After termination, settlement of all outstanding invoices and completion of the 30-day notice period, Lumeo will cooperate in transferring the Xero organisation subscription to the Client or its newly designated accounting provider, subject to Xero’s applicable processes and terms. Any work needed to prepare, reconcile or transfer records beyond the agreed scope may be quoted separately.</w:t>
      </w:r>
    </w:p>
    <w:p>
      <w:pPr>
        <w:pStyle w:val="Heading1"/>
        <w:spacing w:before="240" w:after="100"/>
        <w:keepLines/>
        <w:keepNext/>
      </w:pPr>
      <w:r>
        <w:rPr>
          <w:color w:val="234E70"/>
        </w:rPr>
        <w:t>3.  Digital Infrastructure and Managed Domains</w:t>
      </w:r>
    </w:p>
    <w:p>
      <w:pPr>
        <w:pStyle w:val="ContractBody"/>
        <w:keepLines/>
      </w:pPr>
      <w:r>
        <w:t>Asset provisioning. Web hosting, DNS administration, .co.za domain registrations and server environments supplied under the retainer are provisioned and technically administered by Lumeo for the duration of the engagement. Domain registrations arranged by Lumeo remain under Lumeo’s administrative control unless transferred under the offboarding process below.</w:t>
      </w:r>
    </w:p>
    <w:p>
      <w:pPr>
        <w:pStyle w:val="ContractBody"/>
        <w:keepLines/>
      </w:pPr>
      <w:r>
        <w:t>Access and continuity. Continued domain accessibility, hosting and domain-linked email services are contingent on an active retainer and the Client’s account being up to date. Included service levels, quantities and update allowances are limited to the selected plan.</w:t>
      </w:r>
    </w:p>
    <w:p>
      <w:pPr>
        <w:pStyle w:val="ContractBody"/>
        <w:keepLines/>
      </w:pPr>
      <w:r>
        <w:t>Overdue accounts and suspension. If an account remains unpaid for more than 30 calendar days, Lumeo reserves the right to suspend web hosting, DNS routing, email server access and active Xero ledger processing until all outstanding balances are paid in full.</w:t>
      </w:r>
    </w:p>
    <w:p>
      <w:pPr>
        <w:pStyle w:val="ContractBody"/>
        <w:keepLines/>
      </w:pPr>
      <w:r>
        <w:t>Domain transfer / buyout. If the Client terminates this Agreement and wishes to take independent ownership and control of a hosted .co.za domain registered or administered by Lumeo, a domain transfer and administrative buyout fee of R2,500 excluding VAT applies before Lumeo initiates the EPP authorisation-key transfer. Transfer is also subject to settlement of outstanding amounts and the applicable domain registrar’s requirements.</w:t>
      </w:r>
    </w:p>
    <w:p>
      <w:pPr>
        <w:pStyle w:val="Heading1"/>
        <w:spacing w:before="240" w:after="100"/>
        <w:keepLines/>
        <w:keepNext/>
      </w:pPr>
      <w:r>
        <w:rPr>
          <w:color w:val="234E70"/>
        </w:rPr>
        <w:t>4.  Payment Terms and Adjustments</w:t>
      </w:r>
    </w:p>
    <w:p>
      <w:pPr>
        <w:pStyle w:val="ContractBody"/>
        <w:keepLines/>
      </w:pPr>
      <w:r>
        <w:t>Retainer billing. Monthly retainer fees are invoiced in advance on the first day of each calendar month and are payable within seven days of invoice issuance by EFT or debit order. Fees stated in this Agreement exclude VAT unless expressly stated otherwise; VAT will be charged where applicable.</w:t>
      </w:r>
    </w:p>
    <w:p>
      <w:pPr>
        <w:pStyle w:val="ContractBody"/>
        <w:keepLines/>
      </w:pPr>
      <w:r>
        <w:t>Out-of-scope work. Work not included in the selected plan, including backdated clean-up, historical reconstruction or complex SARS audit representation, will be quoted separately or billed at R650 per hour excluding VAT, as agreed with the Client before the work begins.</w:t>
      </w:r>
    </w:p>
    <w:p>
      <w:pPr>
        <w:pStyle w:val="ContractBody"/>
        <w:keepLines/>
      </w:pPr>
      <w:r>
        <w:t>Annual review. Retainer rates may be adjusted annually by 7% to 10% on the anniversary of this Agreement. Lumeo will give the Client at least 30 days’ written notice of an adjustment.</w:t>
      </w:r>
    </w:p>
    <w:p>
      <w:pPr>
        <w:pStyle w:val="Heading1"/>
        <w:spacing w:before="240" w:after="100"/>
        <w:keepLines/>
        <w:keepNext/>
      </w:pPr>
      <w:r>
        <w:rPr>
          <w:color w:val="234E70"/>
        </w:rPr>
        <w:t>5.  Client Obligations and Data Accuracy</w:t>
      </w:r>
    </w:p>
    <w:p>
      <w:pPr>
        <w:pStyle w:val="ContractBody"/>
        <w:keepLines/>
      </w:pPr>
      <w:r>
        <w:t>Document submission. The Client will provide all bank statements, invoices, receipts and statutory records needed for the services by no later than the seventh calendar day of each month. Late or incomplete records may affect processing and filing timelines, and the Client remains responsible for meeting statutory deadlines where delays result from late or incomplete information.</w:t>
      </w:r>
    </w:p>
    <w:p>
      <w:pPr>
        <w:pStyle w:val="ContractBody"/>
        <w:keepLines/>
      </w:pPr>
      <w:r>
        <w:t>Accuracy and completeness. The Client is legally responsible for the completeness, accuracy and authenticity of all accounting source documents and other information supplied to Lumeo. The Client will promptly review queries and provide corrections or missing information when requested.</w:t>
      </w:r>
    </w:p>
    <w:p>
      <w:pPr>
        <w:pStyle w:val="Heading1"/>
        <w:spacing w:before="240" w:after="100"/>
        <w:keepLines/>
        <w:keepNext/>
      </w:pPr>
      <w:r>
        <w:rPr>
          <w:color w:val="234E70"/>
        </w:rPr>
        <w:t>6.  Term and Termination</w:t>
      </w:r>
    </w:p>
    <w:p>
      <w:pPr>
        <w:pStyle w:val="ContractBody"/>
        <w:keepLines/>
      </w:pPr>
      <w:r>
        <w:t>Either party may terminate this Agreement by giving the other party 30 days’ written notice. The Client remains responsible for all retainer fees due during the notice period, approved out-of-scope work and applicable domain transfer fees. These amounts must be settled before final account sign-off, Xero subscription transfer and file handover.</w:t>
      </w:r>
    </w:p>
    <w:p>
      <w:pPr>
        <w:pStyle w:val="Heading1"/>
        <w:spacing w:before="240" w:after="100"/>
        <w:keepLines/>
        <w:keepNext/>
      </w:pPr>
      <w:r>
        <w:rPr>
          <w:color w:val="234E70"/>
        </w:rPr>
        <w:t>7.  Acceptance and Signatures</w:t>
      </w:r>
    </w:p>
    <w:p>
      <w:pPr>
        <w:pStyle w:val="ContractBody"/>
        <w:keepLines/>
      </w:pPr>
      <w:r>
        <w:t>By signing below, the parties confirm that they have read and agree to this Agreement, including the selected plan, fees and scope recorded above.</w:t>
      </w:r>
    </w:p>
    <w:tbl>
      <w:tblPr>
        <w:tblW w:type="auto" w:w="0"/>
        <w:jc w:val="center"/>
        <w:tblLayout w:type="fixed"/>
        <w:tblLook w:firstColumn="1" w:firstRow="1" w:lastColumn="0" w:lastRow="0" w:noHBand="0" w:noVBand="1" w:val="04A0"/>
      </w:tblPr>
      <w:tblGrid>
        <w:gridCol w:w="4824"/>
        <w:gridCol w:w="4824"/>
      </w:tblGrid>
      <w:tr>
        <w:trPr>
          <w:cantSplit/>
          <w:cantSplit/>
        </w:trPr>
        <w:tc>
          <w:tcPr>
            <w:tcW w:type="dxa" w:w="4824"/>
            <w:tcMar>
              <w:top w:w="160" w:type="dxa"/>
              <w:start w:w="150" w:type="dxa"/>
              <w:bottom w:w="140" w:type="dxa"/>
              <w:end w:w="150" w:type="dxa"/>
            </w:tcMar>
            <w:shd w:fill="EAF2F5"/>
            <w:tcBorders>
              <w:top w:val="single" w:sz="6" w:color="C8D9E2"/>
              <w:left w:val="single" w:sz="6" w:color="C8D9E2"/>
              <w:bottom w:val="single" w:sz="6" w:color="C8D9E2"/>
              <w:right w:val="single" w:sz="6" w:color="C8D9E2"/>
            </w:tcBorders>
          </w:tcPr>
          <w:p>
            <w:r/>
            <w:r>
              <w:rPr>
                <w:b/>
                <w:color w:val="234E70"/>
                <w:sz w:val="18"/>
              </w:rPr>
              <w:t>FOR LUMEO ADVISORY (PTY) LTD</w:t>
            </w:r>
          </w:p>
          <w:p>
            <w:pPr>
              <w:spacing w:before="160" w:after="60"/>
            </w:pPr>
            <w:r>
              <w:rPr>
                <w:sz w:val="17"/>
              </w:rPr>
              <w:t>Name: __________________________________</w:t>
            </w:r>
          </w:p>
          <w:p>
            <w:pPr>
              <w:spacing w:before="160" w:after="60"/>
            </w:pPr>
            <w:r>
              <w:rPr>
                <w:sz w:val="17"/>
              </w:rPr>
              <w:t>Title: ___________________________________</w:t>
            </w:r>
          </w:p>
          <w:p>
            <w:pPr>
              <w:spacing w:before="160" w:after="60"/>
            </w:pPr>
            <w:r>
              <w:rPr>
                <w:sz w:val="17"/>
              </w:rPr>
              <w:t>Signature: ______________________________</w:t>
            </w:r>
          </w:p>
          <w:p>
            <w:pPr>
              <w:spacing w:before="160" w:after="60"/>
            </w:pPr>
            <w:r>
              <w:rPr>
                <w:sz w:val="17"/>
              </w:rPr>
              <w:t>Date: ___________________________________</w:t>
            </w:r>
          </w:p>
        </w:tc>
        <w:tc>
          <w:tcPr>
            <w:tcW w:type="dxa" w:w="4824"/>
            <w:tcMar>
              <w:top w:w="160" w:type="dxa"/>
              <w:start w:w="150" w:type="dxa"/>
              <w:bottom w:w="140" w:type="dxa"/>
              <w:end w:w="150" w:type="dxa"/>
            </w:tcMar>
            <w:shd w:fill="F7F9FA"/>
            <w:tcBorders>
              <w:top w:val="single" w:sz="6" w:color="C8D9E2"/>
              <w:left w:val="single" w:sz="6" w:color="C8D9E2"/>
              <w:bottom w:val="single" w:sz="6" w:color="C8D9E2"/>
              <w:right w:val="single" w:sz="6" w:color="C8D9E2"/>
            </w:tcBorders>
          </w:tcPr>
          <w:p>
            <w:r/>
            <w:r>
              <w:rPr>
                <w:b/>
                <w:color w:val="234E70"/>
                <w:sz w:val="18"/>
              </w:rPr>
              <w:t>FOR THE CLIENT</w:t>
            </w:r>
          </w:p>
          <w:p>
            <w:pPr>
              <w:spacing w:before="160" w:after="60"/>
            </w:pPr>
            <w:r>
              <w:rPr>
                <w:sz w:val="17"/>
              </w:rPr>
              <w:t>Name: __________________________________</w:t>
            </w:r>
          </w:p>
          <w:p>
            <w:pPr>
              <w:spacing w:before="160" w:after="60"/>
            </w:pPr>
            <w:r>
              <w:rPr>
                <w:sz w:val="17"/>
              </w:rPr>
              <w:t>Title: ___________________________________</w:t>
            </w:r>
          </w:p>
          <w:p>
            <w:pPr>
              <w:spacing w:before="160" w:after="60"/>
            </w:pPr>
            <w:r>
              <w:rPr>
                <w:sz w:val="17"/>
              </w:rPr>
              <w:t>Signature: ______________________________</w:t>
            </w:r>
          </w:p>
          <w:p>
            <w:pPr>
              <w:spacing w:before="160" w:after="60"/>
            </w:pPr>
            <w:r>
              <w:rPr>
                <w:sz w:val="17"/>
              </w:rPr>
              <w:t>Date: ___________________________________</w:t>
            </w:r>
          </w:p>
        </w:tc>
      </w:tr>
    </w:tbl>
    <w:sectPr w:rsidR="00FC693F" w:rsidRPr="0006063C" w:rsidSect="00034616">
      <w:headerReference w:type="default" r:id="rId9"/>
      <w:footerReference w:type="default" r:id="rId10"/>
      <w:pgSz w:w="11909" w:h="16834"/>
      <w:pgMar w:top="1181"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Bdr>
        <w:top w:val="single" w:sz="6" w:space="5" w:color="C8D9E2"/>
      </w:pBdr>
    </w:pPr>
    <w:r>
      <w:rPr>
        <w:rFonts w:ascii="Aptos" w:hAnsi="Aptos"/>
        <w:color w:val="536875"/>
        <w:sz w:val="16"/>
      </w:rPr>
      <w:t xml:space="preserve">Lumeo Advisory (Pty) Ltd  •  admin@lumeo-advisory.co.za  •  www.lumeo-advisory.co.za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4291"/>
    </w:tblGrid>
    <w:tr>
      <w:tc>
        <w:tcPr>
          <w:tcW w:type="dxa" w:w="5256"/>
          <w:tcMar>
            <w:top w:w="0" w:type="dxa"/>
            <w:start w:w="0" w:type="dxa"/>
            <w:bottom w:w="75" w:type="dxa"/>
            <w:end w:w="0" w:type="dxa"/>
          </w:tcMar>
          <w:tcBorders>
            <w:bottom w:val="single" w:sz="12" w:color="234E70"/>
          </w:tcBorders>
        </w:tcPr>
        <w:p>
          <w:pPr>
            <w:spacing w:after="0"/>
          </w:pPr>
          <w:r/>
          <w:r>
            <w:drawing>
              <wp:inline xmlns:a="http://schemas.openxmlformats.org/drawingml/2006/main" xmlns:pic="http://schemas.openxmlformats.org/drawingml/2006/picture">
                <wp:extent cx="384048" cy="264033"/>
                <wp:docPr id="1" name="Picture 1"/>
                <wp:cNvGraphicFramePr>
                  <a:graphicFrameLocks noChangeAspect="1"/>
                </wp:cNvGraphicFramePr>
                <a:graphic>
                  <a:graphicData uri="http://schemas.openxmlformats.org/drawingml/2006/picture">
                    <pic:pic>
                      <pic:nvPicPr>
                        <pic:cNvPr id="0" name="logo-mark.png"/>
                        <pic:cNvPicPr/>
                      </pic:nvPicPr>
                      <pic:blipFill>
                        <a:blip r:embed="rId1"/>
                        <a:stretch>
                          <a:fillRect/>
                        </a:stretch>
                      </pic:blipFill>
                      <pic:spPr>
                        <a:xfrm>
                          <a:off x="0" y="0"/>
                          <a:ext cx="384048" cy="264033"/>
                        </a:xfrm>
                        <a:prstGeom prst="rect"/>
                      </pic:spPr>
                    </pic:pic>
                  </a:graphicData>
                </a:graphic>
              </wp:inline>
            </w:drawing>
          </w:r>
          <w:r>
            <w:rPr>
              <w:rFonts w:ascii="Aptos Display" w:hAnsi="Aptos Display"/>
              <w:b/>
              <w:color w:val="234E70"/>
              <w:sz w:val="22"/>
            </w:rPr>
            <w:t xml:space="preserve">  LUMEO ADVISORY</w:t>
          </w:r>
        </w:p>
      </w:tc>
      <w:tc>
        <w:tcPr>
          <w:tcW w:type="dxa" w:w="4291"/>
          <w:tcMar>
            <w:top w:w="0" w:type="dxa"/>
            <w:start w:w="0" w:type="dxa"/>
            <w:bottom w:w="75" w:type="dxa"/>
            <w:end w:w="0" w:type="dxa"/>
          </w:tcMar>
          <w:tcBorders>
            <w:bottom w:val="single" w:sz="12" w:color="234E70"/>
          </w:tcBorders>
        </w:tcPr>
        <w:p>
          <w:pPr>
            <w:spacing w:after="0"/>
            <w:jc w:val="right"/>
          </w:pPr>
          <w:r/>
          <w:r>
            <w:rPr>
              <w:b/>
              <w:color w:val="4E8493"/>
              <w:sz w:val="15"/>
            </w:rPr>
            <w:t>CLIENT ENGAGEMENT  |  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6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4E7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E849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Body">
    <w:name w:val="Contract Body"/>
    <w:basedOn w:val="Normal"/>
    <w:pPr>
      <w:spacing w:after="100" w:line="259" w:lineRule="auto"/>
    </w:pPr>
    <w:rPr>
      <w:rFonts w:ascii="Aptos" w:hAnsi="Aptos"/>
      <w:sz w:val="19"/>
    </w:rPr>
  </w:style>
  <w:style w:type="paragraph" w:customStyle="1" w:styleId="ContractBullet">
    <w:name w:val="Contract Bullet"/>
    <w:basedOn w:val="ContractBody"/>
    <w:pPr>
      <w:spacing w:after="50" w:line="252" w:lineRule="auto"/>
      <w:ind w:left="403" w:hanging="23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Lumeo Advisory Client Engagement Letter and Terms of Service</dc:title>
  <dc:subject>Integrated bookkeeping, statutory compliance, Xero and managed digital services agreement</dc:subject>
  <dc:creator>Lumeo Advisory (Pty) Ltd</dc:creator>
  <cp:keywords>Lumeo Advisory, client engagement, bookkeeping, Xero, retainer</cp:keywords>
  <dc:description>generated by python-docx</dc:description>
  <cp:lastModifiedBy/>
  <cp:revision>1</cp:revision>
  <dcterms:created xsi:type="dcterms:W3CDTF">2013-12-23T23:15:00Z</dcterms:created>
  <dcterms:modified xsi:type="dcterms:W3CDTF">2013-12-23T23:15:00Z</dcterms:modified>
  <cp:category/>
</cp:coreProperties>
</file>