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AfriTalents</w:t>
      </w:r>
    </w:p>
    <w:p>
      <w:pPr>
        <w:spacing w:after="40"/>
      </w:pPr>
      <w:r>
        <w:rPr>
          <w:color w:val="6B726A"/>
          <w:sz w:val="26"/>
          <w:szCs w:val="26"/>
        </w:rPr>
        <w:t xml:space="preserve">Rapport de professionnalisation &amp; guide de mise en service</w:t>
      </w:r>
    </w:p>
    <w:p>
      <w:pPr>
        <w:spacing w:after="400"/>
      </w:pPr>
      <w:r>
        <w:rPr>
          <w:color w:val="6B726A"/>
          <w:sz w:val="20"/>
          <w:szCs w:val="20"/>
        </w:rPr>
        <w:t xml:space="preserve">13 août 2026</w:t>
      </w:r>
    </w:p>
    <w:p>
      <w:pPr>
        <w:pBdr>
          <w:bottom w:val="single" w:color="CBD3C6" w:sz="6" w:space="4"/>
        </w:pBdr>
        <w:spacing w:after="240"/>
      </w:pPr>
    </w:p>
    <w:p>
      <w:pPr>
        <w:pStyle w:val="Heading1"/>
        <w:spacing w:after="160" w:before="360"/>
      </w:pPr>
      <w:r>
        <w:t xml:space="preserve">1. Résumé exécutif</w:t>
      </w:r>
    </w:p>
    <w:p>
      <w:pPr>
        <w:spacing w:after="140"/>
      </w:pPr>
      <w:r>
        <w:t xml:space="preserve">AfriTalents était initialement une maquette visuelle très aboutie mais entièrement statique : aucune connexion à Supabase, aucune authentification, des données codées en dur, et une douzaine de boutons qui n’effectuaient aucune action réelle.</w:t>
      </w:r>
    </w:p>
    <w:p>
      <w:pPr>
        <w:spacing w:after="140"/>
      </w:pPr>
      <w:r>
        <w:t xml:space="preserve">Ce projet a consisté à transformer cette maquette en application fonctionnelle : mise en place de l’authentification par rôles (administrateur, académie, scout), construction du schéma de base de données Supabase complet, activation de l’upload de photos et vidéos vers Supabase Storage, et câblage de chacun des boutons demandés sur de véritables écritures en base de données.</w:t>
      </w:r>
    </w:p>
    <w:p>
      <w:pPr>
        <w:spacing w:after="140"/>
      </w:pPr>
      <w:r>
        <w:t xml:space="preserve">Le code a été vérifié à chaque étape (compilation TypeScript, lint, build de production) pour garantir qu’il est livré sans erreur.</w:t>
      </w:r>
    </w:p>
    <w:p>
      <w:pPr>
        <w:pStyle w:val="Heading1"/>
        <w:spacing w:after="160" w:before="360"/>
      </w:pPr>
      <w:r>
        <w:t xml:space="preserve">2. Diagnostic initial</w:t>
      </w:r>
    </w:p>
    <w:p>
      <w:pPr>
        <w:pStyle w:val="ListParagraph"/>
        <w:numPr>
          <w:ilvl w:val="0"/>
          <w:numId w:val="2"/>
        </w:numPr>
        <w:spacing w:after="80"/>
      </w:pPr>
      <w:r>
        <w:t xml:space="preserve">Le package @supabase/supabase-js était installé mais jamais utilisé : aucun client, aucune variable d’environnement, aucune authentification.</w:t>
      </w:r>
    </w:p>
    <w:p>
      <w:pPr>
        <w:pStyle w:val="ListParagraph"/>
        <w:numPr>
          <w:ilvl w:val="0"/>
          <w:numId w:val="2"/>
        </w:numPr>
        <w:spacing w:after="80"/>
      </w:pPr>
      <w:r>
        <w:t xml:space="preserve">Toutes les données (joueurs, opportunités, rapports, messages) étaient des tableaux codés en dur dans un unique fichier de 52 Ko.</w:t>
      </w:r>
    </w:p>
    <w:p>
      <w:pPr>
        <w:pStyle w:val="ListParagraph"/>
        <w:numPr>
          <w:ilvl w:val="0"/>
          <w:numId w:val="2"/>
        </w:numPr>
        <w:spacing w:after="80"/>
      </w:pPr>
      <w:r>
        <w:t xml:space="preserve">Chaque bouton demandé appelait une fonction générique affichant un simple message ("toast"), sans action réelle.</w:t>
      </w:r>
    </w:p>
    <w:p>
      <w:pPr>
        <w:pStyle w:val="ListParagraph"/>
        <w:numPr>
          <w:ilvl w:val="0"/>
          <w:numId w:val="2"/>
        </w:numPr>
        <w:spacing w:after="80"/>
      </w:pPr>
      <w:r>
        <w:t xml:space="preserve">Une migration SQL existait déjà (organizations, players, player_profiles, player_videos, player_statistics, scouting_reports, opportunities) mais ne distinguait aucun rôle administrateur.</w:t>
      </w:r>
    </w:p>
    <w:p>
      <w:pPr>
        <w:pStyle w:val="ListParagraph"/>
        <w:numPr>
          <w:ilvl w:val="0"/>
          <w:numId w:val="2"/>
        </w:numPr>
        <w:spacing w:after="80"/>
      </w:pPr>
      <w:r>
        <w:t xml:space="preserve">Aucune interface d’administration n’existait : pas de bouton « Ajouter un joueur » fonctionnel, pas de gestion des photos ou vidéos.</w:t>
      </w:r>
    </w:p>
    <w:p>
      <w:pPr>
        <w:pStyle w:val="Heading1"/>
        <w:spacing w:after="160" w:before="360"/>
      </w:pPr>
      <w:r>
        <w:t xml:space="preserve">3. Ce qui a été livré</w:t>
      </w:r>
    </w:p>
    <w:p>
      <w:pPr>
        <w:spacing w:after="140"/>
      </w:pPr>
      <w:r>
        <w:t xml:space="preserve">Le tableau suivant récapitule chaque fonctionnalité demandée, son statut, et les tables Supabase concernées.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A1D19" w:val="clear"/>
            <w:tcMar>
              <w:top w:type="dxa" w:w="100"/>
              <w:left w:type="dxa" w:w="120"/>
              <w:bottom w:type="dxa" w:w="100"/>
              <w:right w:type="dxa" w:w="120"/>
            </w:tcMar>
          </w:tcPr>
          <w:p>
            <w:r>
              <w:rPr>
                <w:b/>
                <w:bCs/>
                <w:color w:val="FFFFFF"/>
                <w:sz w:val="20"/>
                <w:szCs w:val="20"/>
              </w:rPr>
              <w:t xml:space="preserve">Fonctionnalité</w:t>
            </w:r>
          </w:p>
        </w:tc>
        <w:tc>
          <w:tcPr>
            <w:tcW w:type="dxa" w:w="3200"/>
            <w:shd w:fill="1A1D19" w:val="clear"/>
            <w:tcMar>
              <w:top w:type="dxa" w:w="100"/>
              <w:left w:type="dxa" w:w="120"/>
              <w:bottom w:type="dxa" w:w="100"/>
              <w:right w:type="dxa" w:w="120"/>
            </w:tcMar>
          </w:tcPr>
          <w:p>
            <w:r>
              <w:rPr>
                <w:b/>
                <w:bCs/>
                <w:color w:val="FFFFFF"/>
                <w:sz w:val="20"/>
                <w:szCs w:val="20"/>
              </w:rPr>
              <w:t xml:space="preserve">Statut</w:t>
            </w:r>
          </w:p>
        </w:tc>
        <w:tc>
          <w:tcPr>
            <w:tcW w:type="dxa" w:w="3200"/>
            <w:shd w:fill="1A1D19" w:val="clear"/>
            <w:tcMar>
              <w:top w:type="dxa" w:w="100"/>
              <w:left w:type="dxa" w:w="120"/>
              <w:bottom w:type="dxa" w:w="100"/>
              <w:right w:type="dxa" w:w="120"/>
            </w:tcMar>
          </w:tcPr>
          <w:p>
            <w:r>
              <w:rPr>
                <w:b/>
                <w:bCs/>
                <w:color w:val="FFFFFF"/>
                <w:sz w:val="20"/>
                <w:szCs w:val="20"/>
              </w:rPr>
              <w:t xml:space="preserve">Table(s) / Stockage Supabase</w:t>
            </w:r>
          </w:p>
        </w:tc>
      </w:tr>
      <w:tr>
        <w:tc>
          <w:tcPr>
            <w:tcW w:type="dxa" w:w="3200"/>
            <w:shd w:fill="F4F6F1" w:val="clear"/>
            <w:tcMar>
              <w:top w:type="dxa" w:w="100"/>
              <w:left w:type="dxa" w:w="120"/>
              <w:bottom w:type="dxa" w:w="100"/>
              <w:right w:type="dxa" w:w="120"/>
            </w:tcMar>
          </w:tcPr>
          <w:p>
            <w:r>
              <w:rPr>
                <w:b w:val="false"/>
                <w:bCs w:val="false"/>
                <w:sz w:val="20"/>
                <w:szCs w:val="20"/>
              </w:rPr>
              <w:t xml:space="preserve">Ajouter un joueur (admin)</w:t>
            </w:r>
          </w:p>
        </w:tc>
        <w:tc>
          <w:tcPr>
            <w:tcW w:type="dxa" w:w="3200"/>
            <w:shd w:fill="F4F6F1" w:val="clear"/>
            <w:tcMar>
              <w:top w:type="dxa" w:w="100"/>
              <w:left w:type="dxa" w:w="120"/>
              <w:bottom w:type="dxa" w:w="100"/>
              <w:right w:type="dxa" w:w="120"/>
            </w:tcMar>
          </w:tcPr>
          <w:p>
            <w:r>
              <w:rPr>
                <w:b w:val="false"/>
                <w:bCs w:val="false"/>
                <w:sz w:val="20"/>
                <w:szCs w:val="20"/>
              </w:rPr>
              <w:t xml:space="preserve">Formulaire complet + photo + vidéos</w:t>
            </w:r>
          </w:p>
        </w:tc>
        <w:tc>
          <w:tcPr>
            <w:tcW w:type="dxa" w:w="3200"/>
            <w:shd w:fill="F4F6F1" w:val="clear"/>
            <w:tcMar>
              <w:top w:type="dxa" w:w="100"/>
              <w:left w:type="dxa" w:w="120"/>
              <w:bottom w:type="dxa" w:w="100"/>
              <w:right w:type="dxa" w:w="120"/>
            </w:tcMar>
          </w:tcPr>
          <w:p>
            <w:r>
              <w:rPr>
                <w:b w:val="false"/>
                <w:bCs w:val="false"/>
                <w:sz w:val="20"/>
                <w:szCs w:val="20"/>
              </w:rPr>
              <w:t xml:space="preserve">players, player_profiles, player_videos, Storage</w:t>
            </w:r>
          </w:p>
        </w:tc>
      </w:tr>
      <w:tr>
        <w:tc>
          <w:tcPr>
            <w:tcW w:type="dxa" w:w="3200"/>
            <w:tcMar>
              <w:top w:type="dxa" w:w="100"/>
              <w:left w:type="dxa" w:w="120"/>
              <w:bottom w:type="dxa" w:w="100"/>
              <w:right w:type="dxa" w:w="120"/>
            </w:tcMar>
          </w:tcPr>
          <w:p>
            <w:r>
              <w:rPr>
                <w:b w:val="false"/>
                <w:bCs w:val="false"/>
                <w:sz w:val="20"/>
                <w:szCs w:val="20"/>
              </w:rPr>
              <w:t xml:space="preserve">Lecture des vidéos</w:t>
            </w:r>
          </w:p>
        </w:tc>
        <w:tc>
          <w:tcPr>
            <w:tcW w:type="dxa" w:w="3200"/>
            <w:tcMar>
              <w:top w:type="dxa" w:w="100"/>
              <w:left w:type="dxa" w:w="120"/>
              <w:bottom w:type="dxa" w:w="100"/>
              <w:right w:type="dxa" w:w="120"/>
            </w:tcMar>
          </w:tcPr>
          <w:p>
            <w:r>
              <w:rPr>
                <w:b w:val="false"/>
                <w:bCs w:val="false"/>
                <w:sz w:val="20"/>
                <w:szCs w:val="20"/>
              </w:rPr>
              <w:t xml:space="preserve">Lecteur vidéo réel, en ligne</w:t>
            </w:r>
          </w:p>
        </w:tc>
        <w:tc>
          <w:tcPr>
            <w:tcW w:type="dxa" w:w="3200"/>
            <w:tcMar>
              <w:top w:type="dxa" w:w="100"/>
              <w:left w:type="dxa" w:w="120"/>
              <w:bottom w:type="dxa" w:w="100"/>
              <w:right w:type="dxa" w:w="120"/>
            </w:tcMar>
          </w:tcPr>
          <w:p>
            <w:r>
              <w:rPr>
                <w:b w:val="false"/>
                <w:bCs w:val="false"/>
                <w:sz w:val="20"/>
                <w:szCs w:val="20"/>
              </w:rPr>
              <w:t xml:space="preserve">player_videos, Storage</w:t>
            </w:r>
          </w:p>
        </w:tc>
      </w:tr>
      <w:tr>
        <w:tc>
          <w:tcPr>
            <w:tcW w:type="dxa" w:w="3200"/>
            <w:shd w:fill="F4F6F1" w:val="clear"/>
            <w:tcMar>
              <w:top w:type="dxa" w:w="100"/>
              <w:left w:type="dxa" w:w="120"/>
              <w:bottom w:type="dxa" w:w="100"/>
              <w:right w:type="dxa" w:w="120"/>
            </w:tcMar>
          </w:tcPr>
          <w:p>
            <w:r>
              <w:rPr>
                <w:b w:val="false"/>
                <w:bCs w:val="false"/>
                <w:sz w:val="20"/>
                <w:szCs w:val="20"/>
              </w:rPr>
              <w:t xml:space="preserve">Ajouter une vidéo</w:t>
            </w:r>
          </w:p>
        </w:tc>
        <w:tc>
          <w:tcPr>
            <w:tcW w:type="dxa" w:w="3200"/>
            <w:shd w:fill="F4F6F1" w:val="clear"/>
            <w:tcMar>
              <w:top w:type="dxa" w:w="100"/>
              <w:left w:type="dxa" w:w="120"/>
              <w:bottom w:type="dxa" w:w="100"/>
              <w:right w:type="dxa" w:w="120"/>
            </w:tcMar>
          </w:tcPr>
          <w:p>
            <w:r>
              <w:rPr>
                <w:b w:val="false"/>
                <w:bCs w:val="false"/>
                <w:sz w:val="20"/>
                <w:szCs w:val="20"/>
              </w:rPr>
              <w:t xml:space="preserve">Upload direct depuis le profil admin/académie</w:t>
            </w:r>
          </w:p>
        </w:tc>
        <w:tc>
          <w:tcPr>
            <w:tcW w:type="dxa" w:w="3200"/>
            <w:shd w:fill="F4F6F1" w:val="clear"/>
            <w:tcMar>
              <w:top w:type="dxa" w:w="100"/>
              <w:left w:type="dxa" w:w="120"/>
              <w:bottom w:type="dxa" w:w="100"/>
              <w:right w:type="dxa" w:w="120"/>
            </w:tcMar>
          </w:tcPr>
          <w:p>
            <w:r>
              <w:rPr>
                <w:b w:val="false"/>
                <w:bCs w:val="false"/>
                <w:sz w:val="20"/>
                <w:szCs w:val="20"/>
              </w:rPr>
              <w:t xml:space="preserve">player_videos, Storage</w:t>
            </w:r>
          </w:p>
        </w:tc>
      </w:tr>
      <w:tr>
        <w:tc>
          <w:tcPr>
            <w:tcW w:type="dxa" w:w="3200"/>
            <w:tcMar>
              <w:top w:type="dxa" w:w="100"/>
              <w:left w:type="dxa" w:w="120"/>
              <w:bottom w:type="dxa" w:w="100"/>
              <w:right w:type="dxa" w:w="120"/>
            </w:tcMar>
          </w:tcPr>
          <w:p>
            <w:r>
              <w:rPr>
                <w:b w:val="false"/>
                <w:bCs w:val="false"/>
                <w:sz w:val="20"/>
                <w:szCs w:val="20"/>
              </w:rPr>
              <w:t xml:space="preserve">Nouvelle shortlist</w:t>
            </w:r>
          </w:p>
        </w:tc>
        <w:tc>
          <w:tcPr>
            <w:tcW w:type="dxa" w:w="3200"/>
            <w:tcMar>
              <w:top w:type="dxa" w:w="100"/>
              <w:left w:type="dxa" w:w="120"/>
              <w:bottom w:type="dxa" w:w="100"/>
              <w:right w:type="dxa" w:w="120"/>
            </w:tcMar>
          </w:tcPr>
          <w:p>
            <w:r>
              <w:rPr>
                <w:b w:val="false"/>
                <w:bCs w:val="false"/>
                <w:sz w:val="20"/>
                <w:szCs w:val="20"/>
              </w:rPr>
              <w:t xml:space="preserve">Création + ajout/retrait de joueurs réels</w:t>
            </w:r>
          </w:p>
        </w:tc>
        <w:tc>
          <w:tcPr>
            <w:tcW w:type="dxa" w:w="3200"/>
            <w:tcMar>
              <w:top w:type="dxa" w:w="100"/>
              <w:left w:type="dxa" w:w="120"/>
              <w:bottom w:type="dxa" w:w="100"/>
              <w:right w:type="dxa" w:w="120"/>
            </w:tcMar>
          </w:tcPr>
          <w:p>
            <w:r>
              <w:rPr>
                <w:b w:val="false"/>
                <w:bCs w:val="false"/>
                <w:sz w:val="20"/>
                <w:szCs w:val="20"/>
              </w:rPr>
              <w:t xml:space="preserve">shortlists, shortlist_players</w:t>
            </w:r>
          </w:p>
        </w:tc>
      </w:tr>
      <w:tr>
        <w:tc>
          <w:tcPr>
            <w:tcW w:type="dxa" w:w="3200"/>
            <w:shd w:fill="F4F6F1" w:val="clear"/>
            <w:tcMar>
              <w:top w:type="dxa" w:w="100"/>
              <w:left w:type="dxa" w:w="120"/>
              <w:bottom w:type="dxa" w:w="100"/>
              <w:right w:type="dxa" w:w="120"/>
            </w:tcMar>
          </w:tcPr>
          <w:p>
            <w:r>
              <w:rPr>
                <w:b w:val="false"/>
                <w:bCs w:val="false"/>
                <w:sz w:val="20"/>
                <w:szCs w:val="20"/>
              </w:rPr>
              <w:t xml:space="preserve">Nouveau rapport</w:t>
            </w:r>
          </w:p>
        </w:tc>
        <w:tc>
          <w:tcPr>
            <w:tcW w:type="dxa" w:w="3200"/>
            <w:shd w:fill="F4F6F1" w:val="clear"/>
            <w:tcMar>
              <w:top w:type="dxa" w:w="100"/>
              <w:left w:type="dxa" w:w="120"/>
              <w:bottom w:type="dxa" w:w="100"/>
              <w:right w:type="dxa" w:w="120"/>
            </w:tcMar>
          </w:tcPr>
          <w:p>
            <w:r>
              <w:rPr>
                <w:b w:val="false"/>
                <w:bCs w:val="false"/>
                <w:sz w:val="20"/>
                <w:szCs w:val="20"/>
              </w:rPr>
              <w:t xml:space="preserve">Formulaire complet, historique en direct</w:t>
            </w:r>
          </w:p>
        </w:tc>
        <w:tc>
          <w:tcPr>
            <w:tcW w:type="dxa" w:w="3200"/>
            <w:shd w:fill="F4F6F1" w:val="clear"/>
            <w:tcMar>
              <w:top w:type="dxa" w:w="100"/>
              <w:left w:type="dxa" w:w="120"/>
              <w:bottom w:type="dxa" w:w="100"/>
              <w:right w:type="dxa" w:w="120"/>
            </w:tcMar>
          </w:tcPr>
          <w:p>
            <w:r>
              <w:rPr>
                <w:b w:val="false"/>
                <w:bCs w:val="false"/>
                <w:sz w:val="20"/>
                <w:szCs w:val="20"/>
              </w:rPr>
              <w:t xml:space="preserve">scouting_reports</w:t>
            </w:r>
          </w:p>
        </w:tc>
      </w:tr>
      <w:tr>
        <w:tc>
          <w:tcPr>
            <w:tcW w:type="dxa" w:w="3200"/>
            <w:tcMar>
              <w:top w:type="dxa" w:w="100"/>
              <w:left w:type="dxa" w:w="120"/>
              <w:bottom w:type="dxa" w:w="100"/>
              <w:right w:type="dxa" w:w="120"/>
            </w:tcMar>
          </w:tcPr>
          <w:p>
            <w:r>
              <w:rPr>
                <w:b w:val="false"/>
                <w:bCs w:val="false"/>
                <w:sz w:val="20"/>
                <w:szCs w:val="20"/>
              </w:rPr>
              <w:t xml:space="preserve">Voir le guide</w:t>
            </w:r>
          </w:p>
        </w:tc>
        <w:tc>
          <w:tcPr>
            <w:tcW w:type="dxa" w:w="3200"/>
            <w:tcMar>
              <w:top w:type="dxa" w:w="100"/>
              <w:left w:type="dxa" w:w="120"/>
              <w:bottom w:type="dxa" w:w="100"/>
              <w:right w:type="dxa" w:w="120"/>
            </w:tcMar>
          </w:tcPr>
          <w:p>
            <w:r>
              <w:rPr>
                <w:b w:val="false"/>
                <w:bCs w:val="false"/>
                <w:sz w:val="20"/>
                <w:szCs w:val="20"/>
              </w:rPr>
              <w:t xml:space="preserve">Contenu fonctionnel (bonnes pratiques scouting)</w:t>
            </w:r>
          </w:p>
        </w:tc>
        <w:tc>
          <w:tcPr>
            <w:tcW w:type="dxa" w:w="3200"/>
            <w:tcMar>
              <w:top w:type="dxa" w:w="100"/>
              <w:left w:type="dxa" w:w="120"/>
              <w:bottom w:type="dxa" w:w="100"/>
              <w:right w:type="dxa" w:w="120"/>
            </w:tcMar>
          </w:tcPr>
          <w:p>
            <w:r>
              <w:rPr>
                <w:b w:val="false"/>
                <w:bCs w:val="false"/>
                <w:sz w:val="20"/>
                <w:szCs w:val="20"/>
              </w:rPr>
              <w:t xml:space="preserve">—</w:t>
            </w:r>
          </w:p>
        </w:tc>
      </w:tr>
      <w:tr>
        <w:tc>
          <w:tcPr>
            <w:tcW w:type="dxa" w:w="3200"/>
            <w:shd w:fill="F4F6F1" w:val="clear"/>
            <w:tcMar>
              <w:top w:type="dxa" w:w="100"/>
              <w:left w:type="dxa" w:w="120"/>
              <w:bottom w:type="dxa" w:w="100"/>
              <w:right w:type="dxa" w:w="120"/>
            </w:tcMar>
          </w:tcPr>
          <w:p>
            <w:r>
              <w:rPr>
                <w:b w:val="false"/>
                <w:bCs w:val="false"/>
                <w:sz w:val="20"/>
                <w:szCs w:val="20"/>
              </w:rPr>
              <w:t xml:space="preserve">Créer une opération</w:t>
            </w:r>
          </w:p>
        </w:tc>
        <w:tc>
          <w:tcPr>
            <w:tcW w:type="dxa" w:w="3200"/>
            <w:shd w:fill="F4F6F1" w:val="clear"/>
            <w:tcMar>
              <w:top w:type="dxa" w:w="100"/>
              <w:left w:type="dxa" w:w="120"/>
              <w:bottom w:type="dxa" w:w="100"/>
              <w:right w:type="dxa" w:w="120"/>
            </w:tcMar>
          </w:tcPr>
          <w:p>
            <w:r>
              <w:rPr>
                <w:b w:val="false"/>
                <w:bCs w:val="false"/>
                <w:sz w:val="20"/>
                <w:szCs w:val="20"/>
              </w:rPr>
              <w:t xml:space="preserve">Formulaire + pipeline Transfer Center</w:t>
            </w:r>
          </w:p>
        </w:tc>
        <w:tc>
          <w:tcPr>
            <w:tcW w:type="dxa" w:w="3200"/>
            <w:shd w:fill="F4F6F1" w:val="clear"/>
            <w:tcMar>
              <w:top w:type="dxa" w:w="100"/>
              <w:left w:type="dxa" w:w="120"/>
              <w:bottom w:type="dxa" w:w="100"/>
              <w:right w:type="dxa" w:w="120"/>
            </w:tcMar>
          </w:tcPr>
          <w:p>
            <w:r>
              <w:rPr>
                <w:b w:val="false"/>
                <w:bCs w:val="false"/>
                <w:sz w:val="20"/>
                <w:szCs w:val="20"/>
              </w:rPr>
              <w:t xml:space="preserve">transfer_operations</w:t>
            </w:r>
          </w:p>
        </w:tc>
      </w:tr>
      <w:tr>
        <w:tc>
          <w:tcPr>
            <w:tcW w:type="dxa" w:w="3200"/>
            <w:tcMar>
              <w:top w:type="dxa" w:w="100"/>
              <w:left w:type="dxa" w:w="120"/>
              <w:bottom w:type="dxa" w:w="100"/>
              <w:right w:type="dxa" w:w="120"/>
            </w:tcMar>
          </w:tcPr>
          <w:p>
            <w:r>
              <w:rPr>
                <w:b w:val="false"/>
                <w:bCs w:val="false"/>
                <w:sz w:val="20"/>
                <w:szCs w:val="20"/>
              </w:rPr>
              <w:t xml:space="preserve">Publier une opportunité</w:t>
            </w:r>
          </w:p>
        </w:tc>
        <w:tc>
          <w:tcPr>
            <w:tcW w:type="dxa" w:w="3200"/>
            <w:tcMar>
              <w:top w:type="dxa" w:w="100"/>
              <w:left w:type="dxa" w:w="120"/>
              <w:bottom w:type="dxa" w:w="100"/>
              <w:right w:type="dxa" w:w="120"/>
            </w:tcMar>
          </w:tcPr>
          <w:p>
            <w:r>
              <w:rPr>
                <w:b w:val="false"/>
                <w:bCs w:val="false"/>
                <w:sz w:val="20"/>
                <w:szCs w:val="20"/>
              </w:rPr>
              <w:t xml:space="preserve">Réservé admin/académie</w:t>
            </w:r>
          </w:p>
        </w:tc>
        <w:tc>
          <w:tcPr>
            <w:tcW w:type="dxa" w:w="3200"/>
            <w:tcMar>
              <w:top w:type="dxa" w:w="100"/>
              <w:left w:type="dxa" w:w="120"/>
              <w:bottom w:type="dxa" w:w="100"/>
              <w:right w:type="dxa" w:w="120"/>
            </w:tcMar>
          </w:tcPr>
          <w:p>
            <w:r>
              <w:rPr>
                <w:b w:val="false"/>
                <w:bCs w:val="false"/>
                <w:sz w:val="20"/>
                <w:szCs w:val="20"/>
              </w:rPr>
              <w:t xml:space="preserve">opportunities</w:t>
            </w:r>
          </w:p>
        </w:tc>
      </w:tr>
      <w:tr>
        <w:tc>
          <w:tcPr>
            <w:tcW w:type="dxa" w:w="3200"/>
            <w:shd w:fill="F4F6F1" w:val="clear"/>
            <w:tcMar>
              <w:top w:type="dxa" w:w="100"/>
              <w:left w:type="dxa" w:w="120"/>
              <w:bottom w:type="dxa" w:w="100"/>
              <w:right w:type="dxa" w:w="120"/>
            </w:tcMar>
          </w:tcPr>
          <w:p>
            <w:r>
              <w:rPr>
                <w:b w:val="false"/>
                <w:bCs w:val="false"/>
                <w:sz w:val="20"/>
                <w:szCs w:val="20"/>
              </w:rPr>
              <w:t xml:space="preserve">Ajouter un suivi</w:t>
            </w:r>
          </w:p>
        </w:tc>
        <w:tc>
          <w:tcPr>
            <w:tcW w:type="dxa" w:w="3200"/>
            <w:shd w:fill="F4F6F1" w:val="clear"/>
            <w:tcMar>
              <w:top w:type="dxa" w:w="100"/>
              <w:left w:type="dxa" w:w="120"/>
              <w:bottom w:type="dxa" w:w="100"/>
              <w:right w:type="dxa" w:w="120"/>
            </w:tcMar>
          </w:tcPr>
          <w:p>
            <w:r>
              <w:rPr>
                <w:b w:val="false"/>
                <w:bCs w:val="false"/>
                <w:sz w:val="20"/>
                <w:szCs w:val="20"/>
              </w:rPr>
              <w:t xml:space="preserve">Suivi d’opportunité par utilisateur</w:t>
            </w:r>
          </w:p>
        </w:tc>
        <w:tc>
          <w:tcPr>
            <w:tcW w:type="dxa" w:w="3200"/>
            <w:shd w:fill="F4F6F1" w:val="clear"/>
            <w:tcMar>
              <w:top w:type="dxa" w:w="100"/>
              <w:left w:type="dxa" w:w="120"/>
              <w:bottom w:type="dxa" w:w="100"/>
              <w:right w:type="dxa" w:w="120"/>
            </w:tcMar>
          </w:tcPr>
          <w:p>
            <w:r>
              <w:rPr>
                <w:b w:val="false"/>
                <w:bCs w:val="false"/>
                <w:sz w:val="20"/>
                <w:szCs w:val="20"/>
              </w:rPr>
              <w:t xml:space="preserve">opportunity_follows</w:t>
            </w:r>
          </w:p>
        </w:tc>
      </w:tr>
      <w:tr>
        <w:tc>
          <w:tcPr>
            <w:tcW w:type="dxa" w:w="3200"/>
            <w:tcMar>
              <w:top w:type="dxa" w:w="100"/>
              <w:left w:type="dxa" w:w="120"/>
              <w:bottom w:type="dxa" w:w="100"/>
              <w:right w:type="dxa" w:w="120"/>
            </w:tcMar>
          </w:tcPr>
          <w:p>
            <w:r>
              <w:rPr>
                <w:b w:val="false"/>
                <w:bCs w:val="false"/>
                <w:sz w:val="20"/>
                <w:szCs w:val="20"/>
              </w:rPr>
              <w:t xml:space="preserve">Demander un contact</w:t>
            </w:r>
          </w:p>
        </w:tc>
        <w:tc>
          <w:tcPr>
            <w:tcW w:type="dxa" w:w="3200"/>
            <w:tcMar>
              <w:top w:type="dxa" w:w="100"/>
              <w:left w:type="dxa" w:w="120"/>
              <w:bottom w:type="dxa" w:w="100"/>
              <w:right w:type="dxa" w:w="120"/>
            </w:tcMar>
          </w:tcPr>
          <w:p>
            <w:r>
              <w:rPr>
                <w:b w:val="false"/>
                <w:bCs w:val="false"/>
                <w:sz w:val="20"/>
                <w:szCs w:val="20"/>
              </w:rPr>
              <w:t xml:space="preserve">Demande enregistrée et traçable</w:t>
            </w:r>
          </w:p>
        </w:tc>
        <w:tc>
          <w:tcPr>
            <w:tcW w:type="dxa" w:w="3200"/>
            <w:tcMar>
              <w:top w:type="dxa" w:w="100"/>
              <w:left w:type="dxa" w:w="120"/>
              <w:bottom w:type="dxa" w:w="100"/>
              <w:right w:type="dxa" w:w="120"/>
            </w:tcMar>
          </w:tcPr>
          <w:p>
            <w:r>
              <w:rPr>
                <w:b w:val="false"/>
                <w:bCs w:val="false"/>
                <w:sz w:val="20"/>
                <w:szCs w:val="20"/>
              </w:rPr>
              <w:t xml:space="preserve">contact_requests</w:t>
            </w:r>
          </w:p>
        </w:tc>
      </w:tr>
      <w:tr>
        <w:tc>
          <w:tcPr>
            <w:tcW w:type="dxa" w:w="3200"/>
            <w:shd w:fill="F4F6F1" w:val="clear"/>
            <w:tcMar>
              <w:top w:type="dxa" w:w="100"/>
              <w:left w:type="dxa" w:w="120"/>
              <w:bottom w:type="dxa" w:w="100"/>
              <w:right w:type="dxa" w:w="120"/>
            </w:tcMar>
          </w:tcPr>
          <w:p>
            <w:r>
              <w:rPr>
                <w:b w:val="false"/>
                <w:bCs w:val="false"/>
                <w:sz w:val="20"/>
                <w:szCs w:val="20"/>
              </w:rPr>
              <w:t xml:space="preserve">Nouveau message</w:t>
            </w:r>
          </w:p>
        </w:tc>
        <w:tc>
          <w:tcPr>
            <w:tcW w:type="dxa" w:w="3200"/>
            <w:shd w:fill="F4F6F1" w:val="clear"/>
            <w:tcMar>
              <w:top w:type="dxa" w:w="100"/>
              <w:left w:type="dxa" w:w="120"/>
              <w:bottom w:type="dxa" w:w="100"/>
              <w:right w:type="dxa" w:w="120"/>
            </w:tcMar>
          </w:tcPr>
          <w:p>
            <w:r>
              <w:rPr>
                <w:b w:val="false"/>
                <w:bCs w:val="false"/>
                <w:sz w:val="20"/>
                <w:szCs w:val="20"/>
              </w:rPr>
              <w:t xml:space="preserve">Conversation + messagerie temps réel</w:t>
            </w:r>
          </w:p>
        </w:tc>
        <w:tc>
          <w:tcPr>
            <w:tcW w:type="dxa" w:w="3200"/>
            <w:shd w:fill="F4F6F1" w:val="clear"/>
            <w:tcMar>
              <w:top w:type="dxa" w:w="100"/>
              <w:left w:type="dxa" w:w="120"/>
              <w:bottom w:type="dxa" w:w="100"/>
              <w:right w:type="dxa" w:w="120"/>
            </w:tcMar>
          </w:tcPr>
          <w:p>
            <w:r>
              <w:rPr>
                <w:b w:val="false"/>
                <w:bCs w:val="false"/>
                <w:sz w:val="20"/>
                <w:szCs w:val="20"/>
              </w:rPr>
              <w:t xml:space="preserve">conversations, messages</w:t>
            </w:r>
          </w:p>
        </w:tc>
      </w:tr>
      <w:tr>
        <w:tc>
          <w:tcPr>
            <w:tcW w:type="dxa" w:w="3200"/>
            <w:tcMar>
              <w:top w:type="dxa" w:w="100"/>
              <w:left w:type="dxa" w:w="120"/>
              <w:bottom w:type="dxa" w:w="100"/>
              <w:right w:type="dxa" w:w="120"/>
            </w:tcMar>
          </w:tcPr>
          <w:p>
            <w:r>
              <w:rPr>
                <w:b w:val="false"/>
                <w:bCs w:val="false"/>
                <w:sz w:val="20"/>
                <w:szCs w:val="20"/>
              </w:rPr>
              <w:t xml:space="preserve">Inscription académie</w:t>
            </w:r>
          </w:p>
        </w:tc>
        <w:tc>
          <w:tcPr>
            <w:tcW w:type="dxa" w:w="3200"/>
            <w:tcMar>
              <w:top w:type="dxa" w:w="100"/>
              <w:left w:type="dxa" w:w="120"/>
              <w:bottom w:type="dxa" w:w="100"/>
              <w:right w:type="dxa" w:w="120"/>
            </w:tcMar>
          </w:tcPr>
          <w:p>
            <w:r>
              <w:rPr>
                <w:b w:val="false"/>
                <w:bCs w:val="false"/>
                <w:sz w:val="20"/>
                <w:szCs w:val="20"/>
              </w:rPr>
              <w:t xml:space="preserve">Formulaire + upload logo</w:t>
            </w:r>
          </w:p>
        </w:tc>
        <w:tc>
          <w:tcPr>
            <w:tcW w:type="dxa" w:w="3200"/>
            <w:tcMar>
              <w:top w:type="dxa" w:w="100"/>
              <w:left w:type="dxa" w:w="120"/>
              <w:bottom w:type="dxa" w:w="100"/>
              <w:right w:type="dxa" w:w="120"/>
            </w:tcMar>
          </w:tcPr>
          <w:p>
            <w:r>
              <w:rPr>
                <w:b w:val="false"/>
                <w:bCs w:val="false"/>
                <w:sz w:val="20"/>
                <w:szCs w:val="20"/>
              </w:rPr>
              <w:t xml:space="preserve">organizations, Storage</w:t>
            </w:r>
          </w:p>
        </w:tc>
      </w:tr>
    </w:tbl>
    <w:p>
      <w:r>
        <w:br w:type="page"/>
      </w:r>
    </w:p>
    <w:p>
      <w:pPr>
        <w:pStyle w:val="Heading1"/>
        <w:spacing w:after="160" w:before="360"/>
      </w:pPr>
      <w:r>
        <w:t xml:space="preserve">4. Architecture technique</w:t>
      </w:r>
    </w:p>
    <w:p>
      <w:pPr>
        <w:pStyle w:val="Heading2"/>
        <w:spacing w:after="120" w:before="280"/>
      </w:pPr>
      <w:r>
        <w:t xml:space="preserve">4.1 Rôles et authentification</w:t>
      </w:r>
    </w:p>
    <w:p>
      <w:pPr>
        <w:spacing w:after="140"/>
      </w:pPr>
      <w:r>
        <w:t xml:space="preserve">Trois rôles applicatifs cohabitent, portés par une table profiles liée à auth.users :</w:t>
      </w:r>
    </w:p>
    <w:p>
      <w:pPr>
        <w:pStyle w:val="ListParagraph"/>
        <w:numPr>
          <w:ilvl w:val="0"/>
          <w:numId w:val="2"/>
        </w:numPr>
        <w:spacing w:after="80"/>
      </w:pPr>
      <w:r>
        <w:t xml:space="preserve">admin — gère tous les joueurs et toutes les publications, quel que soit leur propriétaire.</w:t>
      </w:r>
    </w:p>
    <w:p>
      <w:pPr>
        <w:pStyle w:val="ListParagraph"/>
        <w:numPr>
          <w:ilvl w:val="0"/>
          <w:numId w:val="2"/>
        </w:numPr>
        <w:spacing w:after="80"/>
      </w:pPr>
      <w:r>
        <w:t xml:space="preserve">academy — gère les joueurs et opportunités de sa structure.</w:t>
      </w:r>
    </w:p>
    <w:p>
      <w:pPr>
        <w:pStyle w:val="ListParagraph"/>
        <w:numPr>
          <w:ilvl w:val="0"/>
          <w:numId w:val="2"/>
        </w:numPr>
        <w:spacing w:after="80"/>
      </w:pPr>
      <w:r>
        <w:t xml:space="preserve">scout — consulte, crée des shortlists et rédige des rapports.</w:t>
      </w:r>
    </w:p>
    <w:p>
      <w:pPr>
        <w:spacing w:after="140"/>
      </w:pPr>
      <w:r>
        <w:t xml:space="preserve">Le rôle admin ne peut pas être auto-attribué à l’inscription : il doit être accordé manuellement depuis le Dashboard Supabase, par sécurité (voir section 5).</w:t>
      </w:r>
    </w:p>
    <w:p>
      <w:pPr>
        <w:pStyle w:val="Heading2"/>
        <w:spacing w:after="120" w:before="280"/>
      </w:pPr>
      <w:r>
        <w:t xml:space="preserve">4.2 Schéma de base de données</w:t>
      </w:r>
    </w:p>
    <w:p>
      <w:pPr>
        <w:spacing w:after="140"/>
      </w:pPr>
      <w:r>
        <w:t xml:space="preserve">Tables ajoutées ou complétées lors de ce travail :</w:t>
      </w:r>
    </w:p>
    <w:p>
      <w:pPr>
        <w:pStyle w:val="ListParagraph"/>
        <w:numPr>
          <w:ilvl w:val="0"/>
          <w:numId w:val="2"/>
        </w:numPr>
        <w:spacing w:after="80"/>
      </w:pPr>
      <w:r>
        <w:t xml:space="preserve">profiles — rôle applicatif et rattachement à une organisation.</w:t>
      </w:r>
    </w:p>
    <w:p>
      <w:pPr>
        <w:pStyle w:val="ListParagraph"/>
        <w:numPr>
          <w:ilvl w:val="0"/>
          <w:numId w:val="2"/>
        </w:numPr>
        <w:spacing w:after="80"/>
      </w:pPr>
      <w:r>
        <w:t xml:space="preserve">players — complété avec email, téléphone, tuteur légal, école, numéro de licence, score académique.</w:t>
      </w:r>
    </w:p>
    <w:p>
      <w:pPr>
        <w:pStyle w:val="ListParagraph"/>
        <w:numPr>
          <w:ilvl w:val="0"/>
          <w:numId w:val="2"/>
        </w:numPr>
        <w:spacing w:after="80"/>
      </w:pPr>
      <w:r>
        <w:t xml:space="preserve">shortlists / shortlist_players — listes de suivi personnalisées.</w:t>
      </w:r>
    </w:p>
    <w:p>
      <w:pPr>
        <w:pStyle w:val="ListParagraph"/>
        <w:numPr>
          <w:ilvl w:val="0"/>
          <w:numId w:val="2"/>
        </w:numPr>
        <w:spacing w:after="80"/>
      </w:pPr>
      <w:r>
        <w:t xml:space="preserve">transfer_operations — pipeline du Transfer Center (essai, transfert, prêt, bourse).</w:t>
      </w:r>
    </w:p>
    <w:p>
      <w:pPr>
        <w:pStyle w:val="ListParagraph"/>
        <w:numPr>
          <w:ilvl w:val="0"/>
          <w:numId w:val="2"/>
        </w:numPr>
        <w:spacing w:after="80"/>
      </w:pPr>
      <w:r>
        <w:t xml:space="preserve">opportunity_follows / contact_requests — suivi et mise en contact sur les opportunités.</w:t>
      </w:r>
    </w:p>
    <w:p>
      <w:pPr>
        <w:pStyle w:val="ListParagraph"/>
        <w:numPr>
          <w:ilvl w:val="0"/>
          <w:numId w:val="2"/>
        </w:numPr>
        <w:spacing w:after="80"/>
      </w:pPr>
      <w:r>
        <w:t xml:space="preserve">conversations / conversation_participants / messages — messagerie interne.</w:t>
      </w:r>
    </w:p>
    <w:p>
      <w:pPr>
        <w:spacing w:after="140"/>
      </w:pPr>
      <w:r>
        <w:t xml:space="preserve">Chaque table est protégée par des politiques Row Level Security (RLS) : un utilisateur ne peut lire ou modifier que ce qui lui appartient, sauf pour les administrateurs et académies qui disposent de droits élargis via la fonction is_admin_or_academy().</w:t>
      </w:r>
    </w:p>
    <w:p>
      <w:pPr>
        <w:pStyle w:val="Heading2"/>
        <w:spacing w:after="120" w:before="280"/>
      </w:pPr>
      <w:r>
        <w:t xml:space="preserve">4.3 Stockage des médias</w:t>
      </w:r>
    </w:p>
    <w:p>
      <w:pPr>
        <w:spacing w:after="140"/>
      </w:pPr>
      <w:r>
        <w:t xml:space="preserve">Deux buckets Supabase Storage ont été créés :</w:t>
      </w:r>
    </w:p>
    <w:p>
      <w:pPr>
        <w:pStyle w:val="ListParagraph"/>
        <w:numPr>
          <w:ilvl w:val="0"/>
          <w:numId w:val="2"/>
        </w:numPr>
        <w:spacing w:after="80"/>
      </w:pPr>
      <w:r>
        <w:t xml:space="preserve">player-photos — images de profil (JPG, PNG, WEBP), 10 Mo maximum.</w:t>
      </w:r>
    </w:p>
    <w:p>
      <w:pPr>
        <w:pStyle w:val="ListParagraph"/>
        <w:numPr>
          <w:ilvl w:val="0"/>
          <w:numId w:val="2"/>
        </w:numPr>
        <w:spacing w:after="80"/>
      </w:pPr>
      <w:r>
        <w:t xml:space="preserve">player-videos — vidéos de performance (MP4, MOV, WEBM), 500 Mo maximum par fichier.</w:t>
      </w:r>
    </w:p>
    <w:p>
      <w:pPr>
        <w:spacing w:after="140"/>
      </w:pPr>
      <w:r>
        <w:t xml:space="preserve">La lecture est publique (pour l’affichage sur les profils), l’écriture est réservée aux comptes administrateur et académie.</w:t>
      </w:r>
    </w:p>
    <w:p>
      <w:pPr>
        <w:pStyle w:val="Heading2"/>
        <w:spacing w:after="120" w:before="280"/>
      </w:pPr>
      <w:r>
        <w:t xml:space="preserve">4.4 Unification des données publiques</w:t>
      </w:r>
    </w:p>
    <w:p>
      <w:pPr>
        <w:spacing w:after="140"/>
      </w:pPr>
      <w:r>
        <w:t xml:space="preserve">Les pages publiques (« Découvrir les talents », profil joueur, vidéothèque) chargent désormais les joueurs réellement enregistrés dans Supabase, au lieu d’un tableau séparé codé en dur. Les 4 profils de démonstration d’origine sont recréés automatiquement par la migration afin que l’apparence du site ne change pas tant qu’aucune donnée n’est ajoutée ou modifiée.</w:t>
      </w:r>
    </w:p>
    <w:p>
      <w:pPr>
        <w:spacing w:after="140"/>
      </w:pPr>
      <w:r>
        <w:t xml:space="preserve">Les données personnelles auparavant fictives (date de naissance, poids) ont été retirées de l’affichage lorsque l’information réelle n’est pas renseignée, au profit d’une mention explicite « Non renseignée » plutôt que d’une valeur inventée.</w:t>
      </w:r>
    </w:p>
    <w:p>
      <w:pPr>
        <w:pStyle w:val="Heading1"/>
        <w:spacing w:after="160" w:before="360"/>
      </w:pPr>
      <w:r>
        <w:t xml:space="preserve">5. Guide de mise en service</w:t>
      </w:r>
    </w:p>
    <w:p>
      <w:pPr>
        <w:pStyle w:val="Heading2"/>
        <w:spacing w:after="120" w:before="280"/>
      </w:pPr>
      <w:r>
        <w:t xml:space="preserve">Étape 1 — Créer ou lier le projet Supabase</w:t>
      </w:r>
    </w:p>
    <w:p>
      <w:pPr>
        <w:spacing w:after="140"/>
      </w:pPr>
      <w:r>
        <w:t xml:space="preserve">Dans supabase.com, créez un projet (ou utilisez celui déjà lié à Vercel). Récupérez, dans Settings &gt; API, l’URL du projet et la clé publique anon.</w:t>
      </w:r>
    </w:p>
    <w:p>
      <w:pPr>
        <w:pStyle w:val="Heading2"/>
        <w:spacing w:after="120" w:before="280"/>
      </w:pPr>
      <w:r>
        <w:t xml:space="preserve">Étape 2 — Configurer les variables d’environnement</w:t>
      </w:r>
    </w:p>
    <w:p>
      <w:pPr>
        <w:spacing w:after="140"/>
      </w:pPr>
      <w:r>
        <w:t xml:space="preserve">Copiez .env.example en .env à la racine du projet et renseignez VITE_SUPABASE_URL et VITE_SUPABASE_ANON_KEY. Sur Vercel, ajoutez les mêmes variables dans Project Settings &gt; Environment Variables, puis redéployez.</w:t>
      </w:r>
    </w:p>
    <w:p>
      <w:pPr>
        <w:pStyle w:val="Heading2"/>
        <w:spacing w:after="120" w:before="280"/>
      </w:pPr>
      <w:r>
        <w:t xml:space="preserve">Étape 3 — Appliquer les migrations SQL</w:t>
      </w:r>
    </w:p>
    <w:p>
      <w:pPr>
        <w:spacing w:after="140"/>
      </w:pPr>
      <w:r>
        <w:t xml:space="preserve">Deux fichiers se trouvent dans supabase/migrations/. Ouvrez le SQL Editor du Dashboard Supabase, collez le contenu de chaque fichier dans l’ordre chronologique de leur nom, et exécutez. Vous pouvez aussi utiliser la CLI Supabase (supabase db push).</w:t>
      </w:r>
    </w:p>
    <w:p>
      <w:pPr>
        <w:pStyle w:val="Heading2"/>
        <w:spacing w:after="120" w:before="280"/>
      </w:pPr>
      <w:r>
        <w:t xml:space="preserve">Étape 4 — Créer le premier compte administrateur</w:t>
      </w:r>
    </w:p>
    <w:p>
      <w:pPr>
        <w:spacing w:after="140"/>
      </w:pPr>
      <w:r>
        <w:t xml:space="preserve">Inscrivez-vous normalement depuis l’écran Connexion de l’application (le rôle par défaut est scout). Dans le Dashboard Supabase, Table Editor &gt; profiles, repérez votre ligne et changez la colonne role en admin. Rechargez l’application : le menu Administration apparaît.</w:t>
      </w:r>
    </w:p>
    <w:p>
      <w:pPr>
        <w:pStyle w:val="Heading2"/>
        <w:spacing w:after="120" w:before="280"/>
      </w:pPr>
      <w:r>
        <w:t xml:space="preserve">Étape 5 — Vérifier</w:t>
      </w:r>
    </w:p>
    <w:p>
      <w:pPr>
        <w:pStyle w:val="ListParagraph"/>
        <w:numPr>
          <w:ilvl w:val="0"/>
          <w:numId w:val="2"/>
        </w:numPr>
        <w:spacing w:after="80"/>
      </w:pPr>
      <w:r>
        <w:t xml:space="preserve">Ajoutez un joueur depuis Administration &gt; Gestion des joueurs, avec photo et vidéo.</w:t>
      </w:r>
    </w:p>
    <w:p>
      <w:pPr>
        <w:pStyle w:val="ListParagraph"/>
        <w:numPr>
          <w:ilvl w:val="0"/>
          <w:numId w:val="2"/>
        </w:numPr>
        <w:spacing w:after="80"/>
      </w:pPr>
      <w:r>
        <w:t xml:space="preserve">Vérifiez qu’il apparaît sur la page publique « Découvrir les talents ».</w:t>
      </w:r>
    </w:p>
    <w:p>
      <w:pPr>
        <w:pStyle w:val="ListParagraph"/>
        <w:numPr>
          <w:ilvl w:val="0"/>
          <w:numId w:val="2"/>
        </w:numPr>
        <w:spacing w:after="80"/>
      </w:pPr>
      <w:r>
        <w:t xml:space="preserve">Testez la lecture vidéo, la création d’une shortlist, d’un rapport, d’une opportunité et d’un message.</w:t>
      </w:r>
    </w:p>
    <w:p>
      <w:pPr>
        <w:pStyle w:val="Heading1"/>
        <w:spacing w:after="160" w:before="360"/>
      </w:pPr>
      <w:r>
        <w:t xml:space="preserve">6. Limitations connues et recommandations</w:t>
      </w:r>
    </w:p>
    <w:p>
      <w:pPr>
        <w:spacing w:after="140"/>
      </w:pPr>
      <w:r>
        <w:t xml:space="preserve">Les graphiques de progression (page Statistiques) et la frise chronologique (Parcours académique) restent illustratifs : leur activation nécessiterait la création de nouvelles tables (historique de performance, jalons académiques) qui n’étaient pas demandées explicitement. Ils peuvent être ajoutés dans une prochaine itération selon les besoins.</w:t>
      </w:r>
    </w:p>
    <w:p>
      <w:pPr>
        <w:spacing w:after="140"/>
      </w:pPr>
      <w:r>
        <w:t xml:space="preserve">La messagerie repose sur la recherche d’un destinataire par email ; le destinataire doit déjà posséder un compte AfriTalents pour qu’une conversation puisse être créée.</w:t>
      </w:r>
    </w:p>
    <w:p>
      <w:pPr>
        <w:spacing w:after="140"/>
      </w:pPr>
      <w:r>
        <w:t xml:space="preserve">Pour la suite du développement — tests en conditions réelles contre votre projet Supabase, ajustements visuels, ou nouvelles fonctionnalités — l’utilisation de Claude Code est recommandée : il permet un travail itératif multi-fichiers avec accès direct au dépôt Git et à un serveur de développement local, ce qui n’est pas possible dans cette conversation.</w:t>
      </w:r>
    </w:p>
    <w:p>
      <w:pPr>
        <w:pStyle w:val="Heading1"/>
        <w:spacing w:after="160" w:before="360"/>
      </w:pPr>
      <w:r>
        <w:t xml:space="preserve">7. Vérifications effectuées</w:t>
      </w:r>
    </w:p>
    <w:p>
      <w:pPr>
        <w:pStyle w:val="ListParagraph"/>
        <w:numPr>
          <w:ilvl w:val="0"/>
          <w:numId w:val="2"/>
        </w:numPr>
        <w:spacing w:after="80"/>
      </w:pPr>
      <w:r>
        <w:t xml:space="preserve">Compilation TypeScript (tsc --noEmit) : aucune erreur.</w:t>
      </w:r>
    </w:p>
    <w:p>
      <w:pPr>
        <w:pStyle w:val="ListParagraph"/>
        <w:numPr>
          <w:ilvl w:val="0"/>
          <w:numId w:val="2"/>
        </w:numPr>
        <w:spacing w:after="80"/>
      </w:pPr>
      <w:r>
        <w:t xml:space="preserve">Lint (ESLint) : aucune erreur, un avertissement cosmétique sans impact fonctionnel.</w:t>
      </w:r>
    </w:p>
    <w:p>
      <w:pPr>
        <w:pStyle w:val="ListParagraph"/>
        <w:numPr>
          <w:ilvl w:val="0"/>
          <w:numId w:val="2"/>
        </w:numPr>
        <w:spacing w:after="80"/>
      </w:pPr>
      <w:r>
        <w:t xml:space="preserve">Build de production (vite build) : réussi.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2026-08-13T07:58:58.590Z</dcterms:created>
  <dcterms:modified xsi:type="dcterms:W3CDTF">2026-08-13T07:58:58.617Z</dcterms:modified>
</cp:coreProperties>
</file>

<file path=docProps/custom.xml><?xml version="1.0" encoding="utf-8"?>
<Properties xmlns="http://schemas.openxmlformats.org/officeDocument/2006/custom-properties" xmlns:vt="http://schemas.openxmlformats.org/officeDocument/2006/docPropsVTypes"/>
</file>