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560" w:lineRule="exact" w:line="640"/>
        <w:jc w:val="center"/>
      </w:pPr>
      <w:r>
        <w:rPr>
          <w:rFonts w:ascii="FZXiaoBiaoSong-B05S" w:hAnsi="FZXiaoBiaoSong-B05S" w:eastAsia="FZXiaoBiaoSong-B05S" w:cs="FZXiaoBiaoSong-B05S"/>
          <w:b w:val="0"/>
          <w:sz w:val="44"/>
        </w:rPr>
        <w:t>关于2027年科普宣传类经费情况的汇报</w:t>
      </w:r>
    </w:p>
    <w:p>
      <w:pPr>
        <w:pStyle w:val="正文"/>
        <w:keepNext w:val="0"/>
        <w:widowControl/>
        <w:spacing w:before="0" w:after="0" w:lineRule="exact" w:line="560"/>
        <w:ind w:firstLine="640"/>
        <w:jc w:val="both"/>
      </w:pPr>
      <w:r>
        <w:rPr>
          <w:rFonts w:ascii="FangSong_GB2312" w:hAnsi="FangSong_GB2312" w:eastAsia="FangSong_GB2312" w:cs="FangSong_GB2312"/>
          <w:b w:val="0"/>
          <w:sz w:val="32"/>
        </w:rPr>
        <w:t>根据财务处有关通知，现将监测预警所2027年科普宣传类经费预算、实施依据、产出绩效、实施方案及较上年变化情况汇报如下。</w:t>
      </w:r>
    </w:p>
    <w:p>
      <w:pPr>
        <w:pStyle w:val="一级标题"/>
        <w:keepNext/>
        <w:widowControl/>
        <w:spacing w:before="0" w:after="0" w:lineRule="exact" w:line="560"/>
        <w:ind w:firstLine="640"/>
        <w:jc w:val="both"/>
      </w:pPr>
      <w:r>
        <w:rPr>
          <w:rFonts w:ascii="SimHei" w:hAnsi="SimHei" w:eastAsia="SimHei" w:cs="SimHei"/>
          <w:b w:val="0"/>
          <w:sz w:val="32"/>
        </w:rPr>
        <w:t>一、实施依据</w:t>
      </w:r>
    </w:p>
    <w:p>
      <w:pPr>
        <w:pStyle w:val="正文"/>
        <w:keepNext w:val="0"/>
        <w:widowControl/>
        <w:spacing w:before="0" w:after="0" w:lineRule="exact" w:line="560"/>
        <w:ind w:firstLine="640"/>
        <w:jc w:val="both"/>
      </w:pPr>
      <w:r>
        <w:rPr>
          <w:rFonts w:ascii="FangSong_GB2312" w:hAnsi="FangSong_GB2312" w:eastAsia="FangSong_GB2312" w:cs="FangSong_GB2312"/>
          <w:b w:val="0"/>
          <w:sz w:val="32"/>
        </w:rPr>
        <w:t>根据《中华人民共和国传染病防治法》《传染病疫情风险评估管理办法（试行）》等文件，并结合《传染病疫情预警管理办法（试行）》有关要求，疾病预防控制机构应当根据传染病疫情风险评估结果，及时向社会发布健康风险提示并开展健康宣教。</w:t>
      </w:r>
    </w:p>
    <w:p>
      <w:pPr>
        <w:pStyle w:val="正文"/>
        <w:keepNext w:val="0"/>
        <w:widowControl/>
        <w:spacing w:before="0" w:after="0" w:lineRule="exact" w:line="560"/>
        <w:ind w:firstLine="640"/>
        <w:jc w:val="both"/>
      </w:pPr>
      <w:r>
        <w:rPr>
          <w:rFonts w:ascii="FangSong_GB2312" w:hAnsi="FangSong_GB2312" w:eastAsia="FangSong_GB2312" w:cs="FangSong_GB2312"/>
          <w:b w:val="0"/>
          <w:sz w:val="32"/>
        </w:rPr>
        <w:t>《传染病疫情预警管理办法（试行）》第四条明确，健康风险提示是指由各级疾病预防控制机构向公众提示传染病疫情风险，帮助公众提高对传染病的科学认识，引导采取必要、适当的防护措施，保护自身健康。结合我所传染病疫情风险评估、健康风险提示发布和公众健康教育工作需要，通过制作科普用品和科普视频，进一步丰富健康风险提示传播载体，提高风险沟通的科学性、针对性和覆盖面。</w:t>
      </w:r>
    </w:p>
    <w:p>
      <w:pPr>
        <w:pStyle w:val="一级标题"/>
        <w:keepNext/>
        <w:widowControl/>
        <w:spacing w:before="0" w:after="0" w:lineRule="exact" w:line="560"/>
        <w:ind w:firstLine="640"/>
        <w:jc w:val="both"/>
      </w:pPr>
      <w:r>
        <w:rPr>
          <w:rFonts w:ascii="SimHei" w:hAnsi="SimHei" w:eastAsia="SimHei" w:cs="SimHei"/>
          <w:b w:val="0"/>
          <w:sz w:val="32"/>
        </w:rPr>
        <w:t>二、经费安排及测算依据</w:t>
      </w:r>
    </w:p>
    <w:p>
      <w:pPr>
        <w:pStyle w:val="正文"/>
        <w:keepNext w:val="0"/>
        <w:widowControl/>
        <w:spacing w:before="0" w:after="0" w:lineRule="exact" w:line="560"/>
        <w:ind w:firstLine="640"/>
        <w:jc w:val="both"/>
      </w:pPr>
      <w:r>
        <w:rPr>
          <w:rFonts w:ascii="FangSong_GB2312" w:hAnsi="FangSong_GB2312" w:eastAsia="FangSong_GB2312" w:cs="FangSong_GB2312"/>
          <w:b w:val="0"/>
          <w:sz w:val="32"/>
        </w:rPr>
        <w:t>2027年科普宣传类经费预算共计6万元，具体包括以下两项：</w:t>
      </w:r>
    </w:p>
    <w:p>
      <w:pPr>
        <w:pStyle w:val="正文"/>
        <w:keepNext w:val="0"/>
        <w:widowControl/>
        <w:spacing w:before="0" w:after="0" w:lineRule="exact" w:line="560"/>
        <w:ind w:firstLine="640"/>
        <w:jc w:val="both"/>
      </w:pPr>
      <w:r>
        <w:rPr>
          <w:rFonts w:ascii="KaiTi_GB2312" w:hAnsi="KaiTi_GB2312" w:eastAsia="KaiTi_GB2312" w:cs="KaiTi_GB2312"/>
          <w:b/>
          <w:sz w:val="32"/>
        </w:rPr>
        <w:t>（一）传染病预防控制健康风险提示科普用品制作经费4万元。</w:t>
      </w:r>
      <w:r>
        <w:rPr>
          <w:rFonts w:ascii="FangSong_GB2312" w:hAnsi="FangSong_GB2312" w:eastAsia="FangSong_GB2312" w:cs="FangSong_GB2312"/>
          <w:b w:val="0"/>
          <w:sz w:val="32"/>
        </w:rPr>
        <w:t>结合风险评估和健康风险提示工作需要，制作健康风险提示科普用品，用于重点传染病防控宣传活动和公众健康教育。按照全市16个区、每区50份测算，共制作800份，单价50元，预算测算依据明确。</w:t>
      </w:r>
    </w:p>
    <w:p>
      <w:pPr>
        <w:pStyle w:val="正文"/>
        <w:keepNext w:val="0"/>
        <w:widowControl/>
        <w:spacing w:before="0" w:after="0" w:lineRule="exact" w:line="560"/>
        <w:ind w:firstLine="640"/>
        <w:jc w:val="both"/>
      </w:pPr>
      <w:r>
        <w:rPr>
          <w:rFonts w:ascii="KaiTi_GB2312" w:hAnsi="KaiTi_GB2312" w:eastAsia="KaiTi_GB2312" w:cs="KaiTi_GB2312"/>
          <w:b/>
          <w:sz w:val="32"/>
        </w:rPr>
        <w:t>（二）科普视频策划制作经费2万元。</w:t>
      </w:r>
      <w:r>
        <w:rPr>
          <w:rFonts w:ascii="FangSong_GB2312" w:hAnsi="FangSong_GB2312" w:eastAsia="FangSong_GB2312" w:cs="FangSong_GB2312"/>
          <w:b w:val="0"/>
          <w:sz w:val="32"/>
        </w:rPr>
        <w:t>在全球疫情常态化背景下，为提高入境人员健康科普的精准性和覆盖面，计划购买第三方专业服务，制作1个约3分钟的健康科普视频。视频将围绕入境人员重点传染病防护知识和健康提示开展内容策划与制作，兼顾科学性、通俗性和国际传播需求。预算根据市场标准和实际制作需求综合测算，金额合理合规。</w:t>
      </w:r>
    </w:p>
    <w:p>
      <w:pPr>
        <w:pStyle w:val="一级标题"/>
        <w:keepNext/>
        <w:widowControl/>
        <w:spacing w:before="0" w:after="0" w:lineRule="exact" w:line="560"/>
        <w:ind w:firstLine="640"/>
        <w:jc w:val="both"/>
      </w:pPr>
      <w:r>
        <w:rPr>
          <w:rFonts w:ascii="SimHei" w:hAnsi="SimHei" w:eastAsia="SimHei" w:cs="SimHei"/>
          <w:b w:val="0"/>
          <w:sz w:val="32"/>
        </w:rPr>
        <w:t>三、实施方案</w:t>
      </w:r>
    </w:p>
    <w:p>
      <w:pPr>
        <w:pStyle w:val="正文"/>
        <w:keepNext w:val="0"/>
        <w:widowControl/>
        <w:spacing w:before="0" w:after="0" w:lineRule="exact" w:line="560"/>
        <w:ind w:firstLine="640"/>
        <w:jc w:val="both"/>
      </w:pPr>
      <w:r>
        <w:rPr>
          <w:rFonts w:ascii="KaiTi_GB2312" w:hAnsi="KaiTi_GB2312" w:eastAsia="KaiTi_GB2312" w:cs="KaiTi_GB2312"/>
          <w:b/>
          <w:sz w:val="32"/>
        </w:rPr>
        <w:t>（一）科普用品制作。</w:t>
      </w:r>
      <w:r>
        <w:rPr>
          <w:rFonts w:ascii="FangSong_GB2312" w:hAnsi="FangSong_GB2312" w:eastAsia="FangSong_GB2312" w:cs="FangSong_GB2312"/>
          <w:b w:val="0"/>
          <w:sz w:val="32"/>
        </w:rPr>
        <w:t>以传染病疫情风险评估结果和健康风险提示内容为基础，根据年度重点传染病防控任务确定宣传主题，依次开展内容设计、专业审核、采购制作、成品验收和分发使用。制作完成后，结合健康风险提示发布、重点宣传活动和公众健康教育，向全市16个区进行配置和发放。</w:t>
      </w:r>
    </w:p>
    <w:p>
      <w:pPr>
        <w:pStyle w:val="正文"/>
        <w:keepNext w:val="0"/>
        <w:widowControl/>
        <w:spacing w:before="0" w:after="0" w:lineRule="exact" w:line="560"/>
        <w:ind w:firstLine="640"/>
        <w:jc w:val="both"/>
      </w:pPr>
      <w:r>
        <w:rPr>
          <w:rFonts w:ascii="KaiTi_GB2312" w:hAnsi="KaiTi_GB2312" w:eastAsia="KaiTi_GB2312" w:cs="KaiTi_GB2312"/>
          <w:b/>
          <w:sz w:val="32"/>
        </w:rPr>
        <w:t>（二）科普视频制作。</w:t>
      </w:r>
      <w:r>
        <w:rPr>
          <w:rFonts w:ascii="FangSong_GB2312" w:hAnsi="FangSong_GB2312" w:eastAsia="FangSong_GB2312" w:cs="FangSong_GB2312"/>
          <w:b w:val="0"/>
          <w:sz w:val="32"/>
        </w:rPr>
        <w:t>根据入境人员健康科普需求，按照主题确定、资料整理、脚本策划、专业审核、视觉设计与拍摄制作、成片审看、项目验收和宣传使用等环节推进。通过规范采购程序委托具备专业策划和视频制作能力的第三方机构实施，明确各阶段任务和质量要求，确保按期产出内容科学准确、表达清晰易懂、具有较好传播效果的健康科普作品。</w:t>
      </w:r>
    </w:p>
    <w:p>
      <w:pPr>
        <w:pStyle w:val="一级标题"/>
        <w:keepNext/>
        <w:widowControl/>
        <w:spacing w:before="0" w:after="0" w:lineRule="exact" w:line="560"/>
        <w:ind w:firstLine="640"/>
        <w:jc w:val="both"/>
      </w:pPr>
      <w:r>
        <w:rPr>
          <w:rFonts w:ascii="SimHei" w:hAnsi="SimHei" w:eastAsia="SimHei" w:cs="SimHei"/>
          <w:b w:val="0"/>
          <w:sz w:val="32"/>
        </w:rPr>
        <w:t>四、产出绩效</w:t>
      </w:r>
    </w:p>
    <w:p>
      <w:pPr>
        <w:pStyle w:val="正文"/>
        <w:keepNext w:val="0"/>
        <w:widowControl/>
        <w:spacing w:before="0" w:after="0" w:lineRule="exact" w:line="560"/>
        <w:ind w:firstLine="640"/>
        <w:jc w:val="both"/>
      </w:pPr>
      <w:r>
        <w:rPr>
          <w:rFonts w:ascii="FangSong_GB2312" w:hAnsi="FangSong_GB2312" w:eastAsia="FangSong_GB2312" w:cs="FangSong_GB2312"/>
          <w:b w:val="0"/>
          <w:sz w:val="32"/>
        </w:rPr>
        <w:t>项目实施后，预计完成健康风险提示科普用品制作800份、健康科普视频1个。科普用品将服务全市健康风险提示工作，用于重点宣传活动和公众健康教育；科普视频将面向入境相关人群传播重点传染病防护和健康提示信息，提升健康科普的精准性、覆盖面和传播效果。通过线上线下科普载体协同使用，促进专业风险信息向公众可理解、可接受、可采取行动的健康信息转化，进一步提升传染病防控知识知晓率和风险防范意识。</w:t>
      </w:r>
    </w:p>
    <w:p>
      <w:pPr>
        <w:pStyle w:val="一级标题"/>
        <w:keepNext/>
        <w:widowControl/>
        <w:spacing w:before="0" w:after="0" w:lineRule="exact" w:line="560"/>
        <w:ind w:firstLine="640"/>
        <w:jc w:val="both"/>
      </w:pPr>
      <w:r>
        <w:rPr>
          <w:rFonts w:ascii="SimHei" w:hAnsi="SimHei" w:eastAsia="SimHei" w:cs="SimHei"/>
          <w:b w:val="0"/>
          <w:sz w:val="32"/>
        </w:rPr>
        <w:t>五、较上年主要变化</w:t>
      </w:r>
    </w:p>
    <w:p>
      <w:pPr>
        <w:pStyle w:val="正文"/>
        <w:keepNext w:val="0"/>
        <w:widowControl/>
        <w:spacing w:before="0" w:after="0" w:lineRule="exact" w:line="560"/>
        <w:ind w:firstLine="640"/>
        <w:jc w:val="both"/>
      </w:pPr>
      <w:r>
        <w:rPr>
          <w:rFonts w:ascii="FangSong_GB2312" w:hAnsi="FangSong_GB2312" w:eastAsia="FangSong_GB2312" w:cs="FangSong_GB2312"/>
          <w:b w:val="0"/>
          <w:sz w:val="32"/>
        </w:rPr>
        <w:t>2027年新增传染病预防控制健康风险提示科普用品制作预算4万元，主要用于配合健康风险提示常态化发布、重点传染病防控宣传和公众健康教育工作。科普视频制作经费仍为2万元，与2026年相比金额和产出数量保持不变。</w:t>
      </w:r>
    </w:p>
    <w:p>
      <w:pPr>
        <w:pStyle w:val="正文"/>
        <w:keepNext w:val="0"/>
        <w:widowControl/>
        <w:spacing w:before="0" w:after="0" w:lineRule="exact" w:line="560"/>
        <w:ind w:firstLine="640"/>
        <w:jc w:val="both"/>
      </w:pPr>
      <w:r>
        <w:rPr>
          <w:rFonts w:ascii="FangSong_GB2312" w:hAnsi="FangSong_GB2312" w:eastAsia="FangSong_GB2312" w:cs="FangSong_GB2312"/>
          <w:b w:val="0"/>
          <w:sz w:val="32"/>
        </w:rPr>
        <w:t>科普宣传类经费合计由2026年的2万元增加至2027年的6万元，增加4万元。宣传方式由以视频传播为主，进一步拓展为“数字视频传播与线下科普用品覆盖相结合”，增强健康风险提示在全市各区的传播覆盖和实际应用效果。</w:t>
      </w:r>
    </w:p>
    <w:p>
      <w:pPr>
        <w:pStyle w:val="正文"/>
        <w:keepNext w:val="0"/>
        <w:widowControl/>
        <w:spacing w:before="0" w:after="0" w:lineRule="exact" w:line="560"/>
        <w:ind w:firstLine="640"/>
        <w:jc w:val="both"/>
      </w:pPr>
      <w:r>
        <w:rPr>
          <w:rFonts w:ascii="FangSong_GB2312" w:hAnsi="FangSong_GB2312" w:eastAsia="FangSong_GB2312" w:cs="FangSong_GB2312"/>
          <w:b w:val="0"/>
          <w:sz w:val="32"/>
        </w:rPr>
        <w:t>以上汇报。</w:t>
      </w:r>
    </w:p>
    <w:p>
      <w:pPr>
        <w:spacing w:before="560" w:after="0" w:lineRule="exact" w:line="560"/>
        <w:jc w:val="right"/>
      </w:pPr>
      <w:r>
        <w:rPr>
          <w:rFonts w:ascii="FangSong_GB2312" w:hAnsi="FangSong_GB2312" w:eastAsia="FangSong_GB2312" w:cs="FangSong_GB2312"/>
          <w:b w:val="0"/>
          <w:sz w:val="32"/>
        </w:rPr>
        <w:t>监测预警所</w:t>
      </w:r>
    </w:p>
    <w:p>
      <w:pPr>
        <w:spacing w:before="0" w:after="0" w:lineRule="exact" w:line="560"/>
        <w:jc w:val="right"/>
      </w:pPr>
      <w:r>
        <w:rPr>
          <w:rFonts w:ascii="FangSong_GB2312" w:hAnsi="FangSong_GB2312" w:eastAsia="FangSong_GB2312" w:cs="FangSong_GB2312"/>
          <w:b w:val="0"/>
          <w:sz w:val="32"/>
        </w:rPr>
        <w:t>2026年7月30日</w:t>
      </w:r>
    </w:p>
    <w:sectPr w:rsidR="00FC693F" w:rsidRPr="0006063C" w:rsidSect="00034616">
      <w:footerReference w:type="default" r:id="rId9"/>
      <w:pgSz w:w="11906" w:h="16838"/>
      <w:pgMar w:top="2098" w:right="1474" w:bottom="1984" w:left="1587" w:header="850" w:footer="96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ongti SC" w:hAnsi="Songti SC" w:eastAsia="Songti SC" w:cs="Songti SC"/>
        <w:b w:val="0"/>
        <w:sz w:val="28"/>
      </w:rPr>
      <w:t xml:space="preserve">— </w:t>
    </w:r>
    <w:fldSimple w:instr="PAGE">
      <w:r>
        <w:rPr>
          <w:rFonts w:ascii="Songti SC" w:hAnsi="Songti SC" w:eastAsia="Songti SC" w:cs="Songti SC"/>
          <w:sz w:val="28"/>
        </w:rPr>
        <w:t>1</w:t>
      </w:r>
    </w:fldSimple>
    <w:r>
      <w:rPr>
        <w:rFonts w:ascii="Songti SC" w:hAnsi="Songti SC" w:eastAsia="Songti SC" w:cs="Songti SC"/>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exact" w:line="560"/>
    </w:pPr>
    <w:rPr>
      <w:rFonts w:ascii="FangSong_GB2312" w:hAnsi="FangSong_GB2312" w:eastAsia="FangSong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正文">
    <w:name w:val="正文"/>
    <w:pPr>
      <w:spacing w:before="0" w:after="0" w:lineRule="exact" w:line="560"/>
    </w:pPr>
    <w:rPr>
      <w:rFonts w:ascii="FangSong_GB2312" w:hAnsi="FangSong_GB2312" w:eastAsia="FangSong_GB2312"/>
      <w:sz w:val="32"/>
    </w:rPr>
  </w:style>
  <w:style w:type="paragraph" w:customStyle="1" w:styleId="一级标题">
    <w:name w:val="一级标题"/>
    <w:pPr>
      <w:spacing w:before="0" w:after="0" w:lineRule="exact" w:line="560"/>
    </w:pPr>
    <w:rPr>
      <w:rFonts w:ascii="SimHei" w:hAnsi="SimHei" w:eastAsia="SimHei"/>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关于2027年科普宣传类经费情况的汇报</dc:title>
  <dc:subject>监测预警所科普宣传类经费情况汇报</dc:subject>
  <dc:creator>监测预警所</dc:creator>
  <cp:keywords/>
  <dc:description>generated by python-docx</dc:description>
  <cp:lastModifiedBy/>
  <cp:revision>1</cp:revision>
  <dcterms:created xsi:type="dcterms:W3CDTF">2013-12-23T23:15:00Z</dcterms:created>
  <dcterms:modified xsi:type="dcterms:W3CDTF">2013-12-23T23:15:00Z</dcterms:modified>
  <cp:category/>
</cp:coreProperties>
</file>