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AB802">
      <w:pPr>
        <w:autoSpaceDE w:val="0"/>
        <w:spacing w:after="0" w:line="440" w:lineRule="exact"/>
        <w:ind w:firstLine="640" w:firstLineChars="200"/>
        <w:jc w:val="center"/>
        <w:rPr>
          <w:rFonts w:hint="eastAsia" w:ascii="黑体" w:hAnsi="宋体" w:eastAsia="黑体" w:cs="黑体"/>
          <w:sz w:val="32"/>
          <w:szCs w:val="32"/>
          <w:lang w:val="en-US" w:eastAsia="zh-CN" w:bidi="ar"/>
        </w:rPr>
      </w:pPr>
      <w:r>
        <w:rPr>
          <w:rFonts w:hint="eastAsia" w:ascii="黑体" w:hAnsi="宋体" w:eastAsia="黑体" w:cs="黑体"/>
          <w:sz w:val="32"/>
          <w:szCs w:val="32"/>
          <w:lang w:val="en-US" w:eastAsia="zh-CN" w:bidi="ar"/>
        </w:rPr>
        <w:t>环孢子虫病</w:t>
      </w:r>
    </w:p>
    <w:p w14:paraId="2D32F3EC">
      <w:pPr>
        <w:autoSpaceDE w:val="0"/>
        <w:spacing w:after="0" w:line="440" w:lineRule="exact"/>
        <w:ind w:firstLine="560" w:firstLineChars="200"/>
        <w:jc w:val="both"/>
        <w:rPr>
          <w:rFonts w:hint="eastAsia" w:ascii="黑体" w:hAnsi="宋体" w:eastAsia="黑体" w:cs="黑体"/>
          <w:sz w:val="28"/>
          <w:szCs w:val="28"/>
        </w:rPr>
      </w:pPr>
      <w:r>
        <w:rPr>
          <w:rFonts w:hint="eastAsia" w:ascii="黑体" w:hAnsi="宋体" w:eastAsia="黑体" w:cs="黑体"/>
          <w:sz w:val="28"/>
          <w:szCs w:val="28"/>
          <w:lang w:bidi="ar"/>
        </w:rPr>
        <w:t>一、疾病简介</w:t>
      </w:r>
    </w:p>
    <w:p w14:paraId="16C460E8">
      <w:pPr>
        <w:autoSpaceDE w:val="0"/>
        <w:spacing w:after="0" w:line="44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lang w:bidi="ar"/>
        </w:rPr>
        <w:t>环孢子虫病是由卡耶塔环孢子虫寄生于人体小肠上皮细胞引起的食源性寄生原虫病，世界卫生组织将其列入全球食源性疾病负担重点评估病原。该病主要通过被具有感染性卵囊污染的食品、饮水传播，可引发迁延性水样腹泻，免疫低下人群、婴幼儿感染后病情较重，严重者可发生脱水、肠外扩散甚至死亡。全球已有超 56 个国家报告人体感染病例，春夏季、雨季感染风险升高，常由污染生鲜农产品引发聚集性疫情。我国 1995 年首次报告人体感染病例，多地检出人群、水源、生鲜蔬菜阳性样本，但全国流行底数尚不明确，存在食源性聚集疫情发生风险。</w:t>
      </w:r>
    </w:p>
    <w:p w14:paraId="06C6524B">
      <w:pPr>
        <w:autoSpaceDE w:val="0"/>
        <w:spacing w:after="0" w:line="440" w:lineRule="exact"/>
        <w:ind w:firstLine="560" w:firstLineChars="200"/>
        <w:jc w:val="both"/>
        <w:rPr>
          <w:rFonts w:hint="eastAsia" w:ascii="黑体" w:hAnsi="宋体" w:eastAsia="黑体" w:cs="黑体"/>
          <w:sz w:val="28"/>
          <w:szCs w:val="28"/>
        </w:rPr>
      </w:pPr>
      <w:r>
        <w:rPr>
          <w:rFonts w:hint="eastAsia" w:ascii="黑体" w:hAnsi="宋体" w:eastAsia="黑体" w:cs="黑体"/>
          <w:sz w:val="28"/>
          <w:szCs w:val="28"/>
          <w:lang w:bidi="ar"/>
        </w:rPr>
        <w:t>二、流行特征</w:t>
      </w:r>
    </w:p>
    <w:p w14:paraId="014FA898">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（一）传染源</w:t>
      </w:r>
    </w:p>
    <w:p w14:paraId="69536351">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环孢子虫病患者、感染者和带虫者为本病传染源。感染者粪便排出的卵囊需要在外界环境经</w:t>
      </w:r>
      <w:r>
        <w:rPr>
          <w:rFonts w:hint="eastAsia" w:ascii="宋体" w:hAnsi="宋体" w:eastAsia="宋体" w:cs="宋体"/>
          <w:sz w:val="28"/>
          <w:szCs w:val="28"/>
          <w:lang w:val="en-US" w:eastAsia="zh-CN" w:bidi="ar"/>
        </w:rPr>
        <w:t>过</w:t>
      </w:r>
      <w:r>
        <w:rPr>
          <w:rFonts w:hint="eastAsia" w:ascii="宋体" w:hAnsi="宋体" w:eastAsia="宋体" w:cs="宋体"/>
          <w:sz w:val="28"/>
          <w:szCs w:val="28"/>
          <w:lang w:bidi="ar"/>
        </w:rPr>
        <w:t>1</w:t>
      </w:r>
      <w:r>
        <w:rPr>
          <w:rFonts w:hint="eastAsia" w:ascii="宋体" w:hAnsi="宋体" w:eastAsia="宋体" w:cs="宋体"/>
          <w:sz w:val="28"/>
          <w:szCs w:val="28"/>
          <w:lang w:val="en-US" w:eastAsia="zh-CN" w:bidi="ar"/>
        </w:rPr>
        <w:t>-2</w:t>
      </w:r>
      <w:r>
        <w:rPr>
          <w:rFonts w:hint="eastAsia" w:ascii="宋体" w:hAnsi="宋体" w:eastAsia="宋体" w:cs="宋体"/>
          <w:sz w:val="28"/>
          <w:szCs w:val="28"/>
          <w:lang w:bidi="ar"/>
        </w:rPr>
        <w:t>周孢子化发育后才具备感染能力，新鲜排出卵囊无传染性，人与人之间直接传播可能性极低。动物宿主的传播作用尚未完全阐明，水源、生鲜农产品可受卵囊污染成为传播媒介。</w:t>
      </w:r>
    </w:p>
    <w:p w14:paraId="68BFA396">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（二）传播途径</w:t>
      </w:r>
    </w:p>
    <w:p w14:paraId="3EFC81AB">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主要经粪</w:t>
      </w:r>
      <w:r>
        <w:rPr>
          <w:rFonts w:hint="eastAsia" w:ascii="宋体" w:hAnsi="宋体" w:eastAsia="宋体" w:cs="宋体"/>
          <w:sz w:val="28"/>
          <w:szCs w:val="28"/>
          <w:lang w:val="en-US" w:eastAsia="zh-CN" w:bidi="ar"/>
        </w:rPr>
        <w:t>-</w:t>
      </w:r>
      <w:r>
        <w:rPr>
          <w:rFonts w:hint="eastAsia" w:ascii="宋体" w:hAnsi="宋体" w:eastAsia="宋体" w:cs="宋体"/>
          <w:sz w:val="28"/>
          <w:szCs w:val="28"/>
          <w:lang w:bidi="ar"/>
        </w:rPr>
        <w:t>口途径传播。人摄入经孢子化成熟卵囊污染的生鲜农产品、饮用水而感染；可因受污染生鲜果蔬引发跨区域食源性聚集疫情；洪涝、极端天气后环境水源污染可提升暴发风险。</w:t>
      </w:r>
    </w:p>
    <w:p w14:paraId="0FD863A7">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（三）易感人群</w:t>
      </w:r>
    </w:p>
    <w:p w14:paraId="574CB12B">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人群普遍易感。腹泻患者、免疫功能低下者、2岁以下婴幼儿、农村居民感染风险更高。2岁以下婴儿感染易出现慢性腹泻、发育迟缓；免疫缺陷人群可出现长期迁延性腹泻，预后差。</w:t>
      </w:r>
    </w:p>
    <w:p w14:paraId="216DDDF5">
      <w:pPr>
        <w:autoSpaceDE w:val="0"/>
        <w:spacing w:after="0" w:line="440" w:lineRule="exact"/>
        <w:ind w:firstLine="560" w:firstLineChars="200"/>
        <w:jc w:val="both"/>
        <w:rPr>
          <w:rFonts w:hint="eastAsia" w:ascii="黑体" w:hAnsi="宋体" w:eastAsia="黑体" w:cs="黑体"/>
          <w:sz w:val="28"/>
          <w:szCs w:val="28"/>
        </w:rPr>
      </w:pPr>
      <w:r>
        <w:rPr>
          <w:rFonts w:hint="eastAsia" w:ascii="黑体" w:hAnsi="宋体" w:eastAsia="黑体" w:cs="黑体"/>
          <w:sz w:val="28"/>
          <w:szCs w:val="28"/>
          <w:lang w:bidi="ar"/>
        </w:rPr>
        <w:t>三、临床表现和治疗</w:t>
      </w:r>
    </w:p>
    <w:p w14:paraId="20E2A9DB">
      <w:pPr>
        <w:spacing w:after="0" w:line="440" w:lineRule="exact"/>
        <w:ind w:firstLine="562" w:firstLineChars="200"/>
        <w:jc w:val="both"/>
        <w:rPr>
          <w:rFonts w:hint="eastAsia" w:ascii="宋体" w:hAnsi="宋体" w:eastAsia="宋体" w:cs="宋体"/>
          <w:b/>
          <w:bCs/>
          <w:sz w:val="28"/>
          <w:szCs w:val="28"/>
          <w:lang w:bidi="ar"/>
        </w:rPr>
      </w:pPr>
      <w:r>
        <w:rPr>
          <w:rFonts w:hint="eastAsia" w:ascii="宋体" w:hAnsi="宋体" w:eastAsia="宋体" w:cs="宋体"/>
          <w:b/>
          <w:bCs/>
          <w:sz w:val="28"/>
          <w:szCs w:val="28"/>
          <w:lang w:bidi="ar"/>
        </w:rPr>
        <w:t>（一）临床表现</w:t>
      </w:r>
    </w:p>
    <w:p w14:paraId="4B054324">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潜伏期 1</w:t>
      </w:r>
      <w:r>
        <w:rPr>
          <w:rFonts w:hint="eastAsia" w:ascii="宋体" w:hAnsi="宋体" w:eastAsia="宋体" w:cs="宋体"/>
          <w:sz w:val="28"/>
          <w:szCs w:val="28"/>
          <w:lang w:val="en-US" w:eastAsia="zh-CN" w:bidi="ar"/>
        </w:rPr>
        <w:t>-</w:t>
      </w:r>
      <w:r>
        <w:rPr>
          <w:rFonts w:hint="eastAsia" w:ascii="宋体" w:hAnsi="宋体" w:eastAsia="宋体" w:cs="宋体"/>
          <w:sz w:val="28"/>
          <w:szCs w:val="28"/>
          <w:lang w:bidi="ar"/>
        </w:rPr>
        <w:t>11 天，平均 7 天；症状通常持续 7</w:t>
      </w:r>
      <w:r>
        <w:rPr>
          <w:rFonts w:hint="eastAsia" w:ascii="宋体" w:hAnsi="宋体" w:eastAsia="宋体" w:cs="宋体"/>
          <w:sz w:val="28"/>
          <w:szCs w:val="28"/>
          <w:lang w:val="en-US" w:eastAsia="zh-CN" w:bidi="ar"/>
        </w:rPr>
        <w:t>-</w:t>
      </w:r>
      <w:r>
        <w:rPr>
          <w:rFonts w:hint="eastAsia" w:ascii="宋体" w:hAnsi="宋体" w:eastAsia="宋体" w:cs="宋体"/>
          <w:sz w:val="28"/>
          <w:szCs w:val="28"/>
          <w:lang w:bidi="ar"/>
        </w:rPr>
        <w:t>9 周。感染早期可无症状或症状轻微。典型表现为水样腹泻，每日腹泻 6</w:t>
      </w:r>
      <w:r>
        <w:rPr>
          <w:rFonts w:hint="eastAsia" w:ascii="宋体" w:hAnsi="宋体" w:eastAsia="宋体" w:cs="宋体"/>
          <w:sz w:val="28"/>
          <w:szCs w:val="28"/>
          <w:lang w:val="en-US" w:eastAsia="zh-CN" w:bidi="ar"/>
        </w:rPr>
        <w:t>-</w:t>
      </w:r>
      <w:r>
        <w:rPr>
          <w:rFonts w:hint="eastAsia" w:ascii="宋体" w:hAnsi="宋体" w:eastAsia="宋体" w:cs="宋体"/>
          <w:sz w:val="28"/>
          <w:szCs w:val="28"/>
          <w:lang w:bidi="ar"/>
        </w:rPr>
        <w:t>7 次，伴随腹痛、腹胀、乏力、食欲减退，部分可有低热、体重下降。</w:t>
      </w:r>
    </w:p>
    <w:p w14:paraId="284C1000">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免疫功能正常者感染多呈自限性，但腹泻病程显著长于普通细菌性、病毒性腹泻，60% 患者腹泻持续3周以上。</w:t>
      </w:r>
    </w:p>
    <w:p w14:paraId="161C8DD5">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2岁以下婴儿感染易发生慢性腹泻，造成发育迟缓；免疫缺陷患者腹泻迁延可达4个月以上，可出现慢性吸收不良、严重脱水，虫体扩散至肠外组织，严重可致死。</w:t>
      </w:r>
    </w:p>
    <w:p w14:paraId="33D09548">
      <w:pPr>
        <w:spacing w:after="0" w:line="440" w:lineRule="exact"/>
        <w:ind w:firstLine="281" w:firstLineChars="100"/>
        <w:jc w:val="both"/>
        <w:rPr>
          <w:rFonts w:hint="eastAsia" w:ascii="宋体" w:hAnsi="宋体" w:eastAsia="宋体" w:cs="宋体"/>
          <w:b/>
          <w:bCs/>
          <w:sz w:val="28"/>
          <w:szCs w:val="28"/>
          <w:lang w:bidi="ar"/>
        </w:rPr>
      </w:pPr>
      <w:r>
        <w:rPr>
          <w:rFonts w:hint="eastAsia" w:ascii="宋体" w:hAnsi="宋体" w:eastAsia="宋体" w:cs="宋体"/>
          <w:b/>
          <w:bCs/>
          <w:sz w:val="28"/>
          <w:szCs w:val="28"/>
          <w:lang w:bidi="ar"/>
        </w:rPr>
        <w:t>（二）治疗</w:t>
      </w:r>
    </w:p>
    <w:p w14:paraId="7ED72D15">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1.复方新诺明（甲氧苄氨嘧啶</w:t>
      </w:r>
      <w:r>
        <w:rPr>
          <w:rFonts w:hint="eastAsia" w:ascii="宋体" w:hAnsi="宋体" w:eastAsia="宋体" w:cs="宋体"/>
          <w:sz w:val="28"/>
          <w:szCs w:val="28"/>
          <w:lang w:val="en-US" w:eastAsia="zh-CN" w:bidi="ar"/>
        </w:rPr>
        <w:t>-</w:t>
      </w:r>
      <w:r>
        <w:rPr>
          <w:rFonts w:hint="eastAsia" w:ascii="宋体" w:hAnsi="宋体" w:eastAsia="宋体" w:cs="宋体"/>
          <w:sz w:val="28"/>
          <w:szCs w:val="28"/>
          <w:lang w:bidi="ar"/>
        </w:rPr>
        <w:t>磺胺甲恶唑）：美国 CDC 推荐环孢子虫病首选治疗药物。</w:t>
      </w:r>
    </w:p>
    <w:p w14:paraId="7347863E">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2.环丙沙星：用于器官移植等免疫低下病人替代疗法。</w:t>
      </w:r>
    </w:p>
    <w:p w14:paraId="46DBD8B8">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3.硝唑尼特：用于磺胺过敏或者环丙沙星治疗无效患者备选使用。</w:t>
      </w:r>
    </w:p>
    <w:p w14:paraId="617A4D10">
      <w:pPr>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同时做好补液、纠正脱水和电解质紊乱等对症支持治疗。</w:t>
      </w:r>
    </w:p>
    <w:p w14:paraId="143CE598">
      <w:pPr>
        <w:spacing w:after="0" w:line="440" w:lineRule="exact"/>
        <w:ind w:firstLine="560" w:firstLineChars="200"/>
        <w:jc w:val="both"/>
        <w:rPr>
          <w:rFonts w:hint="eastAsia" w:ascii="黑体" w:hAnsi="黑体" w:eastAsia="黑体" w:cs="黑体"/>
          <w:sz w:val="28"/>
          <w:szCs w:val="32"/>
        </w:rPr>
      </w:pPr>
      <w:r>
        <w:rPr>
          <w:rFonts w:hint="eastAsia" w:ascii="黑体" w:hAnsi="黑体" w:eastAsia="黑体" w:cs="黑体"/>
          <w:sz w:val="28"/>
          <w:szCs w:val="32"/>
        </w:rPr>
        <w:t>四、标本采集和实验室检测</w:t>
      </w:r>
    </w:p>
    <w:p w14:paraId="7F40B176">
      <w:pPr>
        <w:spacing w:after="0" w:line="440" w:lineRule="exact"/>
        <w:ind w:firstLine="560"/>
        <w:jc w:val="both"/>
        <w:rPr>
          <w:rFonts w:hint="eastAsia" w:ascii="宋体" w:hAnsi="宋体" w:eastAsia="宋体"/>
          <w:b/>
          <w:bCs/>
          <w:sz w:val="28"/>
          <w:szCs w:val="32"/>
        </w:rPr>
      </w:pPr>
      <w:r>
        <w:rPr>
          <w:rFonts w:hint="eastAsia" w:ascii="宋体" w:hAnsi="宋体" w:eastAsia="宋体"/>
          <w:b/>
          <w:bCs/>
          <w:sz w:val="28"/>
          <w:szCs w:val="32"/>
        </w:rPr>
        <w:t>（一）标本采集</w:t>
      </w:r>
    </w:p>
    <w:p w14:paraId="7E3EE12F">
      <w:pPr>
        <w:autoSpaceDE w:val="0"/>
        <w:spacing w:after="0" w:line="440" w:lineRule="exact"/>
        <w:ind w:firstLine="560" w:firstLineChars="200"/>
        <w:jc w:val="both"/>
        <w:rPr>
          <w:rFonts w:hint="eastAsia" w:ascii="宋体" w:hAnsi="宋体" w:eastAsia="宋体"/>
          <w:sz w:val="28"/>
          <w:szCs w:val="32"/>
        </w:rPr>
      </w:pPr>
      <w:r>
        <w:rPr>
          <w:rFonts w:hint="eastAsia" w:ascii="宋体" w:hAnsi="宋体" w:eastAsia="宋体"/>
          <w:sz w:val="28"/>
          <w:szCs w:val="32"/>
        </w:rPr>
        <w:t>粪便为主要检测标本；暴发溯源可采集可疑食品、环境水样等样本。</w:t>
      </w:r>
    </w:p>
    <w:p w14:paraId="3D599F4A">
      <w:pPr>
        <w:autoSpaceDE w:val="0"/>
        <w:spacing w:after="0" w:line="440" w:lineRule="exact"/>
        <w:ind w:firstLine="562" w:firstLineChars="200"/>
        <w:jc w:val="both"/>
        <w:rPr>
          <w:rFonts w:hint="eastAsia" w:ascii="宋体" w:hAnsi="宋体" w:eastAsia="宋体" w:cs="宋体"/>
          <w:sz w:val="28"/>
          <w:szCs w:val="28"/>
        </w:rPr>
      </w:pPr>
      <w:r>
        <w:rPr>
          <w:rFonts w:hint="eastAsia" w:ascii="宋体" w:hAnsi="宋体" w:eastAsia="宋体" w:cs="宋体"/>
          <w:b/>
          <w:bCs/>
          <w:sz w:val="28"/>
          <w:szCs w:val="28"/>
          <w:lang w:bidi="ar"/>
        </w:rPr>
        <w:t>（二）实验室检测</w:t>
      </w:r>
    </w:p>
    <w:p w14:paraId="49CF7F98">
      <w:pPr>
        <w:snapToGrid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1.形态学镜检：抗酸染色法镜检查找卵囊，受卵囊形态特征限制，灵敏度、特异性有限，适合初筛，阳性可提示感染。</w:t>
      </w:r>
    </w:p>
    <w:p w14:paraId="5D6FACFA">
      <w:pPr>
        <w:snapToGrid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2.巢式 PCR：基于 18S SSU rRNA 基因，灵敏度特异性高，用于临床病例确诊、食品环境样本、暴发溯源检测。</w:t>
      </w:r>
    </w:p>
    <w:p w14:paraId="669890FA">
      <w:pPr>
        <w:snapToGrid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3.多重 PCR：多靶标同步筛查多种肠道原虫，适合门诊、口岸、重点人群批量初筛，阳性样本需巢式 PCR 复核确认。</w:t>
      </w:r>
    </w:p>
    <w:p w14:paraId="650EC605">
      <w:pPr>
        <w:snapToGrid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 xml:space="preserve">4. </w:t>
      </w:r>
      <w:bookmarkStart w:id="0" w:name="_GoBack"/>
      <w:bookmarkEnd w:id="0"/>
      <w:r>
        <w:rPr>
          <w:rFonts w:hint="eastAsia" w:ascii="宋体" w:hAnsi="宋体" w:eastAsia="宋体" w:cs="宋体"/>
          <w:sz w:val="28"/>
          <w:szCs w:val="28"/>
          <w:lang w:bidi="ar"/>
        </w:rPr>
        <w:t>实时荧光定量 PCR（qPCR）：闭管检测，可定量卵囊载量，用于疫情应急排查、污染风险评估。</w:t>
      </w:r>
    </w:p>
    <w:p w14:paraId="3F49602B">
      <w:pPr>
        <w:snapToGrid w:val="0"/>
        <w:spacing w:after="0" w:line="440" w:lineRule="exact"/>
        <w:ind w:firstLine="560" w:firstLineChars="200"/>
        <w:jc w:val="both"/>
        <w:rPr>
          <w:rFonts w:hint="eastAsia" w:ascii="黑体" w:hAnsi="宋体" w:eastAsia="黑体" w:cs="黑体"/>
          <w:sz w:val="28"/>
          <w:szCs w:val="28"/>
        </w:rPr>
      </w:pPr>
      <w:r>
        <w:rPr>
          <w:rFonts w:hint="eastAsia" w:ascii="黑体" w:hAnsi="宋体" w:eastAsia="黑体" w:cs="黑体"/>
          <w:sz w:val="28"/>
          <w:szCs w:val="28"/>
          <w:lang w:bidi="ar"/>
        </w:rPr>
        <w:t>五、流行病学史询问要点</w:t>
      </w:r>
    </w:p>
    <w:p w14:paraId="592AA5BC">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流行病学史询问重点关注：是否有国内外环孢子虫病流行地区旅居史；发病前是否食用未充分清洗生鲜果蔬、饮用生水；发病时间是否处于春夏季、雨季；有无共同进食相同食物的腹泻病例；是否存在免疫低下基础疾病（器官移植、免疫缺陷等）；是否有洪涝灾害地区暴露史。</w:t>
      </w:r>
    </w:p>
    <w:p w14:paraId="4B297AC1">
      <w:pPr>
        <w:autoSpaceDE w:val="0"/>
        <w:spacing w:after="0" w:line="440" w:lineRule="exact"/>
        <w:ind w:firstLine="560" w:firstLineChars="200"/>
        <w:jc w:val="both"/>
        <w:rPr>
          <w:rFonts w:hint="eastAsia" w:ascii="黑体" w:hAnsi="宋体" w:eastAsia="黑体" w:cs="黑体"/>
          <w:sz w:val="28"/>
          <w:szCs w:val="28"/>
        </w:rPr>
      </w:pPr>
      <w:r>
        <w:rPr>
          <w:rFonts w:hint="eastAsia" w:ascii="黑体" w:hAnsi="宋体" w:eastAsia="黑体" w:cs="黑体"/>
          <w:sz w:val="28"/>
          <w:szCs w:val="28"/>
          <w:lang w:bidi="ar"/>
        </w:rPr>
        <w:t>六、处置要点</w:t>
      </w:r>
    </w:p>
    <w:p w14:paraId="1157188E">
      <w:pPr>
        <w:autoSpaceDE w:val="0"/>
        <w:spacing w:after="0" w:line="440" w:lineRule="exact"/>
        <w:ind w:firstLine="562" w:firstLineChars="200"/>
        <w:jc w:val="both"/>
        <w:rPr>
          <w:rFonts w:hint="eastAsia" w:ascii="宋体" w:hAnsi="宋体" w:eastAsia="宋体" w:cs="宋体"/>
          <w:sz w:val="28"/>
          <w:szCs w:val="28"/>
        </w:rPr>
      </w:pPr>
      <w:r>
        <w:rPr>
          <w:rFonts w:hint="eastAsia" w:ascii="宋体" w:hAnsi="宋体" w:eastAsia="宋体" w:cs="宋体"/>
          <w:b/>
          <w:bCs/>
          <w:sz w:val="28"/>
          <w:szCs w:val="28"/>
          <w:lang w:bidi="ar"/>
        </w:rPr>
        <w:t>（一）病例管理。</w:t>
      </w:r>
    </w:p>
    <w:p w14:paraId="6F3C587E">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发现疑似、确诊环孢子虫病病例，及时开展规范抗虫治疗；做好病例随访，观察腹泻恢复情况，免疫低下人群重点监测复发风险；开展健康教育。</w:t>
      </w:r>
    </w:p>
    <w:p w14:paraId="5524CE94">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（二）密切接触者/可疑暴露者管理</w:t>
      </w:r>
    </w:p>
    <w:p w14:paraId="0015D4FE">
      <w:pPr>
        <w:autoSpaceDE w:val="0"/>
        <w:spacing w:after="0" w:line="44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lang w:bidi="ar"/>
        </w:rPr>
        <w:t>对于共同食用可疑污染食物、共同饮水暴露人员开展健康监测；出现迁延水样腹泻的人员，及时采集粪便开展环孢子虫病原检测。</w:t>
      </w:r>
    </w:p>
    <w:p w14:paraId="6098C3DA">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（三）感染预防控制</w:t>
      </w:r>
    </w:p>
    <w:p w14:paraId="79B6D73F">
      <w:pPr>
        <w:autoSpaceDE w:val="0"/>
        <w:spacing w:after="0" w:line="440" w:lineRule="exact"/>
        <w:ind w:firstLine="560" w:firstLineChars="200"/>
        <w:jc w:val="both"/>
        <w:rPr>
          <w:rFonts w:hint="eastAsia" w:ascii="宋体" w:hAnsi="宋体" w:eastAsia="宋体" w:cs="宋体"/>
          <w:kern w:val="2"/>
          <w:sz w:val="28"/>
          <w:szCs w:val="28"/>
          <w:lang w:bidi="ar"/>
        </w:rPr>
      </w:pPr>
      <w:r>
        <w:rPr>
          <w:rFonts w:hint="eastAsia" w:ascii="宋体" w:hAnsi="宋体" w:eastAsia="宋体" w:cs="宋体"/>
          <w:kern w:val="2"/>
          <w:sz w:val="28"/>
          <w:szCs w:val="28"/>
          <w:lang w:bidi="ar"/>
        </w:rPr>
        <w:t>开展疫情溯源调查，排查可疑食品、水源污染源；对可疑污染食品、水源开展采样检测；溯源发现污染来源，及时处置风险食品；关注洪涝灾害后环境水源污染风险，强化重点区域监测。</w:t>
      </w:r>
    </w:p>
    <w:p w14:paraId="5B34ADF2">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（四）消毒和环境清洁</w:t>
      </w:r>
    </w:p>
    <w:p w14:paraId="0C346E02">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做好感染者粪便无害化处理，避免卵囊污染水源与农产品；生鲜果蔬充分清洗，必要时去皮处理；饮用水做好净化消毒；做好食品加工环节生熟分开。</w:t>
      </w:r>
    </w:p>
    <w:p w14:paraId="5AD12B5C">
      <w:pPr>
        <w:autoSpaceDE w:val="0"/>
        <w:spacing w:after="0" w:line="440" w:lineRule="exact"/>
        <w:ind w:firstLine="562" w:firstLineChars="200"/>
        <w:jc w:val="both"/>
        <w:rPr>
          <w:rFonts w:hint="eastAsia" w:ascii="宋体" w:hAnsi="宋体" w:eastAsia="宋体" w:cs="Times New Roman"/>
          <w:b/>
          <w:bCs/>
          <w:sz w:val="28"/>
          <w:szCs w:val="28"/>
        </w:rPr>
      </w:pPr>
      <w:r>
        <w:rPr>
          <w:rFonts w:hint="eastAsia" w:ascii="宋体" w:hAnsi="宋体" w:eastAsia="宋体" w:cs="宋体"/>
          <w:b/>
          <w:bCs/>
          <w:sz w:val="28"/>
          <w:szCs w:val="28"/>
          <w:lang w:bidi="ar"/>
        </w:rPr>
        <w:t>（五）风险沟通和健康教育</w:t>
      </w:r>
    </w:p>
    <w:p w14:paraId="01F81590">
      <w:pPr>
        <w:autoSpaceDE w:val="0"/>
        <w:spacing w:after="0" w:line="440" w:lineRule="exact"/>
        <w:ind w:firstLine="560" w:firstLineChars="200"/>
        <w:jc w:val="both"/>
        <w:rPr>
          <w:rFonts w:hint="eastAsia" w:ascii="宋体" w:hAnsi="宋体" w:eastAsia="宋体" w:cs="宋体"/>
          <w:sz w:val="28"/>
          <w:szCs w:val="28"/>
          <w:lang w:bidi="ar"/>
        </w:rPr>
      </w:pPr>
      <w:r>
        <w:rPr>
          <w:rFonts w:hint="eastAsia" w:ascii="宋体" w:hAnsi="宋体" w:eastAsia="宋体" w:cs="宋体"/>
          <w:sz w:val="28"/>
          <w:szCs w:val="28"/>
          <w:lang w:bidi="ar"/>
        </w:rPr>
        <w:t>面向公众、食品从业人员、基层医护人员开展科普培训；普及传播途径、防护要点，提示迁延水样腹泻及时就医，提倡不喝生水，生鲜果蔬充分清洗，提升早识别早就诊意识。</w:t>
      </w:r>
    </w:p>
    <w:p w14:paraId="39EC9F1F">
      <w:pPr>
        <w:autoSpaceDE w:val="0"/>
        <w:spacing w:after="0" w:line="440" w:lineRule="exact"/>
        <w:ind w:firstLine="560" w:firstLineChars="200"/>
        <w:jc w:val="both"/>
        <w:rPr>
          <w:rFonts w:hint="eastAsia" w:ascii="黑体" w:hAnsi="宋体" w:eastAsia="黑体" w:cs="黑体"/>
          <w:sz w:val="28"/>
          <w:szCs w:val="28"/>
        </w:rPr>
      </w:pPr>
      <w:r>
        <w:rPr>
          <w:rFonts w:hint="eastAsia" w:ascii="黑体" w:hAnsi="宋体" w:eastAsia="黑体" w:cs="黑体"/>
          <w:sz w:val="28"/>
          <w:szCs w:val="28"/>
          <w:lang w:bidi="ar"/>
        </w:rPr>
        <w:t>七、相关技术文件</w:t>
      </w:r>
    </w:p>
    <w:p w14:paraId="43CF0ED2">
      <w:pPr>
        <w:spacing w:after="0" w:line="240" w:lineRule="auto"/>
        <w:jc w:val="both"/>
        <w:rPr>
          <w:rFonts w:hint="eastAsia" w:ascii="仿宋_GB2312" w:hAnsi="Calibri" w:eastAsia="仿宋_GB2312" w:cs="仿宋_GB2312"/>
          <w:kern w:val="0"/>
          <w:sz w:val="32"/>
          <w:szCs w:val="32"/>
          <w:lang w:bidi="ar"/>
        </w:rPr>
      </w:pPr>
      <w:r>
        <w:rPr>
          <w:rFonts w:hint="eastAsia" w:ascii="宋体" w:hAnsi="宋体" w:eastAsia="宋体" w:cs="宋体"/>
          <w:sz w:val="28"/>
          <w:szCs w:val="28"/>
          <w:lang w:bidi="ar"/>
        </w:rPr>
        <w:t>中国疾控中心寄生虫病所关于环孢子虫病防控工作建议的报告（中疾控寄科报〔2026〕22 号）</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C16"/>
    <w:rsid w:val="001F2AF0"/>
    <w:rsid w:val="00357ED4"/>
    <w:rsid w:val="0050134F"/>
    <w:rsid w:val="005741C7"/>
    <w:rsid w:val="0064335B"/>
    <w:rsid w:val="00771C16"/>
    <w:rsid w:val="007748FE"/>
    <w:rsid w:val="009D414D"/>
    <w:rsid w:val="10D715D2"/>
    <w:rsid w:val="2B1C3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autoRedefine/>
    <w:unhideWhenUsed/>
    <w:qFormat/>
    <w:uiPriority w:val="99"/>
    <w:pPr>
      <w:spacing w:beforeAutospacing="1" w:after="0" w:afterAutospacing="1"/>
    </w:pPr>
    <w:rPr>
      <w:rFonts w:cs="Times New Roman"/>
      <w:kern w:val="0"/>
      <w:sz w:val="24"/>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2632</Words>
  <Characters>2746</Characters>
  <Lines>76</Lines>
  <Paragraphs>76</Paragraphs>
  <TotalTime>7</TotalTime>
  <ScaleCrop>false</ScaleCrop>
  <LinksUpToDate>false</LinksUpToDate>
  <CharactersWithSpaces>2749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2026-09-02T06:48:00Z</dcterms:created>
  <dc:creator>KONG DECHUAN</dc:creator>
  <cp:lastModifiedBy>Dianella</cp:lastModifiedBy>
  <dcterms:modified xsi:type="dcterms:W3CDTF">2026-09-03T02:09:03Z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eyJoZGlkIjoiNjZhZTQ3NzU0ZTFmZmM0NmQxOTlmMzAzYjZhYzk4YzMiLCJ1c2VySWQiOiI0NDUxNDQ2MzAifQ==</vt:lpwstr>
  </property>
  <property fmtid="{D5CDD505-2E9C-101B-9397-08002B2CF9AE}" pid="3" name="KSOProductBuildVer">
    <vt:lpwstr>2052-12.1.0.28505</vt:lpwstr>
  </property>
  <property fmtid="{D5CDD505-2E9C-101B-9397-08002B2CF9AE}" pid="4" name="ICV">
    <vt:lpwstr>16D94995D58142E896988C8F616B2BD3_12</vt:lpwstr>
  </property>
</Properties>
</file>