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F5D964">
      <w:pPr>
        <w:keepNext/>
        <w:widowControl/>
        <w:spacing w:before="0" w:after="0" w:line="240" w:lineRule="auto"/>
        <w:ind w:left="0" w:right="0" w:firstLineChars="0"/>
        <w:jc w:val="center"/>
      </w:pPr>
      <w:r>
        <w:rPr>
          <w:rFonts w:hint="eastAsia" w:ascii="方正小标宋简体" w:hAnsi="方正小标宋简体" w:eastAsia="方正小标宋简体" w:cs="方正小标宋简体"/>
          <w:b w:val="0"/>
          <w:color w:val="000000"/>
          <w:sz w:val="44"/>
          <w:szCs w:val="44"/>
        </w:rPr>
        <w:t>世界技能大赛参赛国家和地区重点传染病疫情报告</w:t>
      </w:r>
    </w:p>
    <w:p w14:paraId="134BE142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摸底时间：2026年8月1日—9月4日</w:t>
      </w:r>
    </w:p>
    <w:p w14:paraId="34D722B9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摸底范围：世界技能大赛参赛选手及相关人员来源国家和地区（约113个）</w:t>
      </w:r>
    </w:p>
    <w:p w14:paraId="085FE206">
      <w:pPr>
        <w:keepNext/>
        <w:widowControl/>
        <w:spacing w:before="0" w:after="0" w:line="540" w:lineRule="exact"/>
        <w:ind w:left="0" w:right="0" w:firstLineChars="200"/>
        <w:jc w:val="both"/>
        <w:outlineLvl w:val="0"/>
      </w:pPr>
      <w:r>
        <w:rPr>
          <w:rFonts w:hint="eastAsia" w:ascii="黑体" w:hAnsi="黑体" w:eastAsia="黑体" w:cs="黑体"/>
          <w:b w:val="0"/>
          <w:color w:val="000000"/>
          <w:sz w:val="32"/>
          <w:szCs w:val="32"/>
        </w:rPr>
        <w:t>一、重点国家</w:t>
      </w:r>
    </w:p>
    <w:tbl>
      <w:tblPr>
        <w:tblStyle w:val="34"/>
        <w:tblW w:w="873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500"/>
        <w:gridCol w:w="2550"/>
        <w:gridCol w:w="2681"/>
        <w:gridCol w:w="2000"/>
      </w:tblGrid>
      <w:tr w14:paraId="52442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  <w:jc w:val="center"/>
        </w:trPr>
        <w:tc>
          <w:tcPr>
            <w:tcW w:w="1500" w:type="dxa"/>
            <w:vAlign w:val="center"/>
          </w:tcPr>
          <w:p w14:paraId="5BD76593">
            <w:pPr>
              <w:widowControl/>
              <w:spacing w:before="0" w:after="0" w:line="360" w:lineRule="exact"/>
              <w:ind w:left="0" w:right="0" w:firstLineChars="0"/>
              <w:jc w:val="center"/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 w:val="24"/>
                <w:szCs w:val="24"/>
              </w:rPr>
              <w:t>国家/地区</w:t>
            </w:r>
          </w:p>
        </w:tc>
        <w:tc>
          <w:tcPr>
            <w:tcW w:w="2550" w:type="dxa"/>
            <w:vAlign w:val="center"/>
          </w:tcPr>
          <w:p w14:paraId="110009EE">
            <w:pPr>
              <w:widowControl/>
              <w:spacing w:before="0" w:after="0" w:line="360" w:lineRule="exact"/>
              <w:ind w:left="0" w:right="0" w:firstLineChars="0"/>
              <w:jc w:val="center"/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 w:val="24"/>
                <w:szCs w:val="24"/>
              </w:rPr>
              <w:t>重点疾病</w:t>
            </w:r>
          </w:p>
        </w:tc>
        <w:tc>
          <w:tcPr>
            <w:tcW w:w="2681" w:type="dxa"/>
            <w:vAlign w:val="center"/>
          </w:tcPr>
          <w:p w14:paraId="02B9E462">
            <w:pPr>
              <w:widowControl/>
              <w:spacing w:before="0" w:after="0" w:line="360" w:lineRule="exact"/>
              <w:ind w:left="0" w:right="0" w:firstLineChars="0"/>
              <w:jc w:val="center"/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 w:val="24"/>
                <w:szCs w:val="24"/>
              </w:rPr>
              <w:t>近期疫情情况</w:t>
            </w:r>
          </w:p>
        </w:tc>
        <w:tc>
          <w:tcPr>
            <w:tcW w:w="2000" w:type="dxa"/>
            <w:vAlign w:val="center"/>
          </w:tcPr>
          <w:p w14:paraId="380078B5">
            <w:pPr>
              <w:widowControl/>
              <w:spacing w:before="0" w:after="0" w:line="360" w:lineRule="exact"/>
              <w:ind w:left="0" w:right="0" w:firstLineChars="0"/>
              <w:jc w:val="center"/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 w:val="24"/>
                <w:szCs w:val="24"/>
              </w:rPr>
              <w:t>疫情性质</w:t>
            </w:r>
          </w:p>
        </w:tc>
      </w:tr>
      <w:tr w14:paraId="05E74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jc w:val="center"/>
        </w:trPr>
        <w:tc>
          <w:tcPr>
            <w:tcW w:w="1500" w:type="dxa"/>
            <w:vAlign w:val="center"/>
          </w:tcPr>
          <w:p w14:paraId="12ACBCF0">
            <w:pPr>
              <w:widowControl/>
              <w:spacing w:before="0" w:after="0" w:line="360" w:lineRule="exact"/>
              <w:ind w:left="0" w:right="0" w:firstLineChars="0"/>
              <w:jc w:val="left"/>
            </w:pPr>
          </w:p>
        </w:tc>
        <w:tc>
          <w:tcPr>
            <w:tcW w:w="2550" w:type="dxa"/>
            <w:vAlign w:val="center"/>
          </w:tcPr>
          <w:p w14:paraId="4F12EED7">
            <w:pPr>
              <w:widowControl/>
              <w:spacing w:before="0" w:after="0" w:line="360" w:lineRule="exact"/>
              <w:ind w:left="0" w:right="0" w:firstLineChars="0"/>
              <w:jc w:val="left"/>
            </w:pPr>
          </w:p>
        </w:tc>
        <w:tc>
          <w:tcPr>
            <w:tcW w:w="2681" w:type="dxa"/>
            <w:vAlign w:val="center"/>
          </w:tcPr>
          <w:p w14:paraId="0B801F36">
            <w:pPr>
              <w:widowControl/>
              <w:spacing w:before="0" w:after="0" w:line="360" w:lineRule="exact"/>
              <w:ind w:left="0" w:right="0" w:firstLineChars="0"/>
              <w:jc w:val="left"/>
            </w:pPr>
          </w:p>
        </w:tc>
        <w:tc>
          <w:tcPr>
            <w:tcW w:w="2000" w:type="dxa"/>
            <w:vAlign w:val="center"/>
          </w:tcPr>
          <w:p w14:paraId="48724049">
            <w:pPr>
              <w:widowControl/>
              <w:spacing w:before="0" w:after="0" w:line="360" w:lineRule="exact"/>
              <w:ind w:left="0" w:right="0" w:firstLineChars="0"/>
              <w:jc w:val="left"/>
            </w:pPr>
          </w:p>
        </w:tc>
      </w:tr>
      <w:tr w14:paraId="6C93C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jc w:val="center"/>
        </w:trPr>
        <w:tc>
          <w:tcPr>
            <w:tcW w:w="1500" w:type="dxa"/>
            <w:vAlign w:val="center"/>
          </w:tcPr>
          <w:p w14:paraId="22925742">
            <w:pPr>
              <w:widowControl/>
              <w:spacing w:before="0" w:after="0" w:line="360" w:lineRule="exact"/>
              <w:ind w:left="0" w:right="0" w:firstLineChars="0"/>
              <w:jc w:val="left"/>
            </w:pPr>
          </w:p>
        </w:tc>
        <w:tc>
          <w:tcPr>
            <w:tcW w:w="2550" w:type="dxa"/>
            <w:vAlign w:val="center"/>
          </w:tcPr>
          <w:p w14:paraId="5F003643">
            <w:pPr>
              <w:widowControl/>
              <w:spacing w:before="0" w:after="0" w:line="360" w:lineRule="exact"/>
              <w:ind w:left="0" w:right="0" w:firstLineChars="0"/>
              <w:jc w:val="left"/>
            </w:pPr>
          </w:p>
        </w:tc>
        <w:tc>
          <w:tcPr>
            <w:tcW w:w="2681" w:type="dxa"/>
            <w:vAlign w:val="center"/>
          </w:tcPr>
          <w:p w14:paraId="1BF3C73C">
            <w:pPr>
              <w:widowControl/>
              <w:spacing w:before="0" w:after="0" w:line="360" w:lineRule="exact"/>
              <w:ind w:left="0" w:right="0" w:firstLineChars="0"/>
              <w:jc w:val="left"/>
            </w:pPr>
          </w:p>
        </w:tc>
        <w:tc>
          <w:tcPr>
            <w:tcW w:w="2000" w:type="dxa"/>
            <w:vAlign w:val="center"/>
          </w:tcPr>
          <w:p w14:paraId="587B97D9">
            <w:pPr>
              <w:widowControl/>
              <w:spacing w:before="0" w:after="0" w:line="360" w:lineRule="exact"/>
              <w:ind w:left="0" w:right="0" w:firstLineChars="0"/>
              <w:jc w:val="left"/>
            </w:pPr>
          </w:p>
        </w:tc>
      </w:tr>
      <w:tr w14:paraId="5D64A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jc w:val="center"/>
        </w:trPr>
        <w:tc>
          <w:tcPr>
            <w:tcW w:w="1500" w:type="dxa"/>
            <w:vAlign w:val="center"/>
          </w:tcPr>
          <w:p w14:paraId="32800FCF">
            <w:pPr>
              <w:widowControl/>
              <w:spacing w:before="0" w:after="0" w:line="360" w:lineRule="exact"/>
              <w:ind w:left="0" w:right="0" w:firstLineChars="0"/>
              <w:jc w:val="left"/>
            </w:pPr>
          </w:p>
        </w:tc>
        <w:tc>
          <w:tcPr>
            <w:tcW w:w="2550" w:type="dxa"/>
            <w:vAlign w:val="center"/>
          </w:tcPr>
          <w:p w14:paraId="6F125FCE">
            <w:pPr>
              <w:widowControl/>
              <w:spacing w:before="0" w:after="0" w:line="360" w:lineRule="exact"/>
              <w:ind w:left="0" w:right="0" w:firstLineChars="0"/>
              <w:jc w:val="left"/>
            </w:pPr>
          </w:p>
        </w:tc>
        <w:tc>
          <w:tcPr>
            <w:tcW w:w="2681" w:type="dxa"/>
            <w:vAlign w:val="center"/>
          </w:tcPr>
          <w:p w14:paraId="2BE48FB1">
            <w:pPr>
              <w:widowControl/>
              <w:spacing w:before="0" w:after="0" w:line="360" w:lineRule="exact"/>
              <w:ind w:left="0" w:right="0" w:firstLineChars="0"/>
              <w:jc w:val="left"/>
            </w:pPr>
          </w:p>
        </w:tc>
        <w:tc>
          <w:tcPr>
            <w:tcW w:w="2000" w:type="dxa"/>
            <w:vAlign w:val="center"/>
          </w:tcPr>
          <w:p w14:paraId="684AFF6C">
            <w:pPr>
              <w:widowControl/>
              <w:spacing w:before="0" w:after="0" w:line="360" w:lineRule="exact"/>
              <w:ind w:left="0" w:right="0" w:firstLineChars="0"/>
              <w:jc w:val="left"/>
            </w:pPr>
          </w:p>
        </w:tc>
      </w:tr>
    </w:tbl>
    <w:p w14:paraId="52E59EA7">
      <w:pPr>
        <w:keepNext/>
        <w:widowControl/>
        <w:spacing w:before="0" w:after="0" w:line="540" w:lineRule="exact"/>
        <w:ind w:left="0" w:right="0" w:firstLineChars="200"/>
        <w:jc w:val="both"/>
        <w:outlineLvl w:val="0"/>
      </w:pPr>
      <w:r>
        <w:rPr>
          <w:rFonts w:hint="eastAsia" w:ascii="黑体" w:hAnsi="黑体" w:eastAsia="黑体" w:cs="黑体"/>
          <w:b w:val="0"/>
          <w:color w:val="000000"/>
          <w:sz w:val="32"/>
          <w:szCs w:val="32"/>
        </w:rPr>
        <w:t>二、重点疫情摸底</w:t>
      </w:r>
    </w:p>
    <w:p w14:paraId="79A48DFC">
      <w:pPr>
        <w:keepNext/>
        <w:keepLines/>
        <w:pageBreakBefore/>
        <w:widowControl/>
        <w:spacing w:before="0" w:after="0" w:line="540" w:lineRule="exact"/>
        <w:ind w:left="0" w:right="0" w:firstLineChars="200"/>
        <w:jc w:val="both"/>
        <w:outlineLvl w:val="1"/>
      </w:pPr>
      <w:r>
        <w:rPr>
          <w:rFonts w:hint="eastAsia" w:ascii="楷体_GB2312" w:hAnsi="楷体_GB2312" w:eastAsia="楷体_GB2312" w:cs="楷体_GB2312"/>
          <w:b/>
          <w:color w:val="000000"/>
          <w:sz w:val="32"/>
          <w:szCs w:val="32"/>
        </w:rPr>
        <w:t>（一）蚊媒及其他虫媒传染病</w:t>
      </w:r>
    </w:p>
    <w:p w14:paraId="6B17A978">
      <w:pPr>
        <w:keepNext/>
        <w:keepLines/>
        <w:widowControl/>
        <w:spacing w:before="0" w:after="0" w:line="540" w:lineRule="exact"/>
        <w:ind w:left="0" w:right="0" w:firstLineChars="200"/>
        <w:jc w:val="both"/>
        <w:outlineLvl w:val="2"/>
      </w:pPr>
      <w:r>
        <w:rPr>
          <w:rFonts w:hint="eastAsia" w:ascii="仿宋_GB2312" w:hAnsi="仿宋_GB2312" w:eastAsia="仿宋_GB2312" w:cs="仿宋_GB2312"/>
          <w:b/>
          <w:color w:val="000000"/>
          <w:sz w:val="32"/>
          <w:szCs w:val="32"/>
        </w:rPr>
        <w:t>具体的病种名称</w:t>
      </w:r>
    </w:p>
    <w:p w14:paraId="69E481AC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本分类下每个病种均独立填写以下四部分；存在多个病种时，逐病种重复完整结构，不将多个病种合写或省略为“同上”。</w:t>
      </w:r>
    </w:p>
    <w:p w14:paraId="3C7D803F">
      <w:pPr>
        <w:keepNext/>
        <w:keepLines/>
        <w:widowControl/>
        <w:spacing w:before="0" w:after="0" w:line="540" w:lineRule="exact"/>
        <w:ind w:left="0" w:right="0" w:firstLineChars="200"/>
        <w:jc w:val="both"/>
        <w:outlineLvl w:val="3"/>
      </w:pPr>
      <w:r>
        <w:rPr>
          <w:rFonts w:hint="eastAsia" w:ascii="黑体" w:hAnsi="黑体" w:eastAsia="黑体" w:cs="黑体"/>
          <w:b w:val="0"/>
          <w:color w:val="000000"/>
          <w:sz w:val="32"/>
          <w:szCs w:val="32"/>
        </w:rPr>
        <w:t>一、疾病概述</w:t>
      </w:r>
    </w:p>
    <w:p w14:paraId="4A73E1D8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本部分回答“评估的究竟是什么疾病”，控制在背景介绍层面，不写成完整科普。综合以下五方面，用两至三段简要概括，最后罗列信息来源。</w:t>
      </w:r>
    </w:p>
    <w:p w14:paraId="1176F389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1. 病原学特征：病原体类型、血清型或基因型、主要宿主和媒介。</w:t>
      </w:r>
    </w:p>
    <w:p w14:paraId="6F5D964E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2. 传播特征：传播途径、传染源、潜伏期，以及传播所需的环境或媒介条件。</w:t>
      </w:r>
    </w:p>
    <w:p w14:paraId="54127E2C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3. 临床与疾病负担：主要临床表现、重症和死亡风险、高风险人群。</w:t>
      </w:r>
    </w:p>
    <w:p w14:paraId="7776396F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4. 防控条件：是否有疫苗、特异性治疗、成熟诊断方法和主要防控手段。</w:t>
      </w:r>
    </w:p>
    <w:p w14:paraId="78FB007F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5. 既往全球分布：传统流行区、地方性流行范围及近年来的地理扩展。</w:t>
      </w:r>
    </w:p>
    <w:p w14:paraId="714FB36D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登革热写作要点示例：登革病毒有4个血清型；主要经埃及伊蚊和白纹伊蚊传播；不同血清型的继发感染可能增加重症风险；疫情发生受媒介分布、温度、降水、城市化和人口流动影响；防控主要依赖病例早期发现、规范管理和综合媒介控制。上述内容合并为两至三段，不逐项扩写为完整科普。</w:t>
      </w:r>
    </w:p>
    <w:p w14:paraId="0B3BC430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信息来源：只列实际访问并核实的HTTP(S)网络链接，注明机构名称、资料标题、发布日期或更新日期及访问日期；不得展示本地文件名、路径、定位、哈希或证据编号。</w:t>
      </w:r>
    </w:p>
    <w:p w14:paraId="1B328CA2">
      <w:pPr>
        <w:keepNext/>
        <w:keepLines/>
        <w:widowControl/>
        <w:spacing w:before="0" w:after="0" w:line="540" w:lineRule="exact"/>
        <w:ind w:left="0" w:right="0" w:firstLineChars="200"/>
        <w:jc w:val="both"/>
        <w:outlineLvl w:val="3"/>
      </w:pPr>
      <w:r>
        <w:rPr>
          <w:rFonts w:hint="eastAsia" w:ascii="黑体" w:hAnsi="黑体" w:eastAsia="黑体" w:cs="黑体"/>
          <w:b w:val="0"/>
          <w:color w:val="000000"/>
          <w:sz w:val="32"/>
          <w:szCs w:val="32"/>
        </w:rPr>
        <w:t>二、全球流行概况</w:t>
      </w:r>
    </w:p>
    <w:p w14:paraId="42FF1033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综合以下内容，用两至三段概述全球流行情况，最后罗列信息来源。</w:t>
      </w:r>
    </w:p>
    <w:p w14:paraId="12DBABF6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1. 数据范围与截止时间：明确报告年度、统计截止日期、覆盖国家和地区，以及病例定义差异。</w:t>
      </w:r>
    </w:p>
    <w:p w14:paraId="09EFB972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2. 全球疫情规模：报告病例、实验室确诊、重症和死亡数；必要时给出发病率和病死率。</w:t>
      </w:r>
    </w:p>
    <w:p w14:paraId="1A73B8DD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3. 时间趋势：与上年同期、近5年基线或历史峰值比较，判断是上升、下降还是异常波动。</w:t>
      </w:r>
    </w:p>
    <w:p w14:paraId="2CD7BBB5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4. 地理分布：简要概述全球分布，包括传统流行区、地方性流行范围及近年来的地理扩展。</w:t>
      </w:r>
    </w:p>
    <w:p w14:paraId="2EF290EF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5. 疫情扩展特征：是否出现流行季提前或延长、受影响国家增加、向非传统流行区扩展，以及跨区域或跨国传播增加。</w:t>
      </w:r>
    </w:p>
    <w:p w14:paraId="707A99BB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检索来源：检索世界卫生组织、美国CDC、欧盟CDC、英国公共卫生署、加拿大公共卫生署、澳大利亚公共卫生署、新西兰公共卫生署、日本国立传染病研究所、中国疾病预防控制中心、中国香港卫生署、中国澳门卫生局、中国台湾卫生福利部疾病管制署等机构的官方网站，获取全球疫情数据；检索时核实机构现名及官方入口，如机构已更名或调整，使用其现行官方机构或继任机构的资料。</w:t>
      </w:r>
    </w:p>
    <w:p w14:paraId="4B7EA034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信息来源：只列实际访问并核实的HTTP(S)网络链接，注明机构名称、资料标题、发布日期或数据截至日期及访问日期；不得展示本地文件名、路径、定位、哈希或证据编号。</w:t>
      </w:r>
    </w:p>
    <w:p w14:paraId="149232DC">
      <w:pPr>
        <w:keepNext/>
        <w:keepLines/>
        <w:widowControl/>
        <w:spacing w:before="0" w:after="0" w:line="540" w:lineRule="exact"/>
        <w:ind w:left="0" w:right="0" w:firstLineChars="200"/>
        <w:jc w:val="both"/>
        <w:outlineLvl w:val="3"/>
      </w:pPr>
      <w:r>
        <w:rPr>
          <w:rFonts w:hint="eastAsia" w:ascii="黑体" w:hAnsi="黑体" w:eastAsia="黑体" w:cs="黑体"/>
          <w:b w:val="0"/>
          <w:color w:val="000000"/>
          <w:sz w:val="32"/>
          <w:szCs w:val="32"/>
        </w:rPr>
        <w:t>三、重点国家流行情况</w:t>
      </w:r>
    </w:p>
    <w:p w14:paraId="345C321F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按照《参赛国家和地区名单.csv》中的国家和地区逐一检索分析，覆盖全部名单条目；正文列出具有相关疫情的重点国家和地区。经核实本期无相关疫情的可不列出；未检索到资料或网站无法访问不能等同于无疫情，应保留待核实状态。</w:t>
      </w:r>
    </w:p>
    <w:p w14:paraId="1112294F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检索来源：国家和地区卫生部门官方网站，以及世界卫生组织、美国CDC、欧盟CDC、英国公共卫生署、加拿大公共卫生署、澳大利亚公共卫生署、新西兰公共卫生署、日本国立传染病研究所、中国疾病预防控制中心、中国香港卫生署、中国澳门卫生局、中国台湾卫生福利部疾病管制署等机构的官方网站；可参考重要媒体机构报道、用户提供的HealthMap文件中的具体内容，必要时开展拓展检索。媒体和HealthMap信息应回溯原始来源并优先交叉核实；未提供HealthMap文件时，不得假定已读取。</w:t>
      </w:r>
    </w:p>
    <w:p w14:paraId="51E50B9E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每个重点国家和地区采用下列统一“小卡片”结构，按实际纳入数量逐一重复：</w:t>
      </w:r>
    </w:p>
    <w:p w14:paraId="47A46392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国家/地区名称</w:t>
      </w:r>
    </w:p>
    <w:p w14:paraId="0015C649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1. 疫情规模和截止时间：病例数量、病例定义与统计口径、数据截止日期。</w:t>
      </w:r>
    </w:p>
    <w:p w14:paraId="6B2B1E84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2. 重症、死亡和医疗负担：重症数、死亡数及住院或医疗服务压力。</w:t>
      </w:r>
    </w:p>
    <w:p w14:paraId="5F8085EE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3. 主要受影响地区：重点省州、城市或其他地域。</w:t>
      </w:r>
    </w:p>
    <w:p w14:paraId="4B49EBCE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4. 年龄、职业或其他重点人群：主要受影响及高风险人群。</w:t>
      </w:r>
    </w:p>
    <w:p w14:paraId="39D9A612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5. 与上年同期及历史基线比较：病例、死亡或传播范围的变化；无可比资料时明确说明。</w:t>
      </w:r>
    </w:p>
    <w:p w14:paraId="36C9A6D6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6. 监测、实验室及病例管理能力：病例发现、实验室检测、报告及时性与诊疗管理能力。</w:t>
      </w:r>
    </w:p>
    <w:p w14:paraId="1C4ADD00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7. 其他重要信息：与该病种、本轮疫情或赛事相关的重要补充情况。</w:t>
      </w:r>
    </w:p>
    <w:p w14:paraId="101E42C6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8. 信息来源：只列实际访问并核实的HTTP(S)网络链接，并注明机构、资料标题及数据截止日期；不得展示本地文件名、路径、定位、哈希或证据编号。</w:t>
      </w:r>
    </w:p>
    <w:p w14:paraId="3F2E45D0">
      <w:pPr>
        <w:spacing w:before="0" w:after="0" w:line="540" w:lineRule="exact"/>
        <w:ind w:firstLine="643" w:firstLineChars="200"/>
        <w:jc w:val="both"/>
      </w:pPr>
      <w:r>
        <w:rPr>
          <w:rFonts w:hint="eastAsia" w:ascii="仿宋_GB2312" w:hAnsi="仿宋_GB2312" w:eastAsia="仿宋_GB2312" w:cs="仿宋_GB2312"/>
          <w:b/>
          <w:sz w:val="32"/>
        </w:rPr>
        <w:t>重点国家“小卡片”填写示例</w:t>
      </w:r>
    </w:p>
    <w:p w14:paraId="430190E9">
      <w:pPr>
        <w:spacing w:before="0" w:after="0" w:line="540" w:lineRule="exact"/>
        <w:ind w:firstLine="643" w:firstLineChars="200"/>
        <w:jc w:val="both"/>
      </w:pPr>
      <w:r>
        <w:rPr>
          <w:rFonts w:hint="eastAsia" w:ascii="仿宋_GB2312" w:hAnsi="仿宋_GB2312" w:eastAsia="仿宋_GB2312" w:cs="仿宋_GB2312"/>
          <w:b/>
          <w:sz w:val="32"/>
        </w:rPr>
        <w:t>以下以登革热—某参赛国家为例。所有数字和情境均为虚构，仅演示填写方式，不能作为实际疫情资料。</w:t>
      </w:r>
    </w:p>
    <w:p w14:paraId="057B701E">
      <w:pPr>
        <w:spacing w:before="0" w:after="0" w:line="540" w:lineRule="exact"/>
        <w:ind w:firstLine="640" w:firstLineChars="200"/>
        <w:jc w:val="both"/>
      </w:pPr>
      <w:r>
        <w:rPr>
          <w:rFonts w:hint="eastAsia" w:ascii="仿宋_GB2312" w:hAnsi="仿宋_GB2312" w:eastAsia="仿宋_GB2312" w:cs="仿宋_GB2312"/>
          <w:sz w:val="32"/>
        </w:rPr>
        <w:t>“小卡片”是每个国家采用统一格式的疫情摘要，集中呈现疫情情况、重点人群、应对能力及信息来源，不必制作成图形卡片。</w:t>
      </w:r>
    </w:p>
    <w:p w14:paraId="7733CC1A">
      <w:pPr>
        <w:spacing w:before="0" w:after="0" w:line="540" w:lineRule="exact"/>
        <w:ind w:firstLine="643" w:firstLineChars="200"/>
        <w:jc w:val="both"/>
        <w:rPr>
          <w:rFonts w:hint="default" w:eastAsia="仿宋_GB231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sz w:val="32"/>
        </w:rPr>
        <w:t>国</w:t>
      </w:r>
      <w:r>
        <w:rPr>
          <w:rFonts w:hint="eastAsia" w:ascii="仿宋_GB2312" w:hAnsi="仿宋_GB2312" w:eastAsia="仿宋_GB2312" w:cs="仿宋_GB2312"/>
          <w:b/>
          <w:sz w:val="32"/>
          <w:lang w:val="en-US" w:eastAsia="zh-CN"/>
        </w:rPr>
        <w:t>家/地区名称</w:t>
      </w:r>
      <w:bookmarkStart w:id="0" w:name="_GoBack"/>
      <w:bookmarkEnd w:id="0"/>
    </w:p>
    <w:p w14:paraId="78C89192">
      <w:pPr>
        <w:spacing w:before="0" w:after="0" w:line="540" w:lineRule="exact"/>
        <w:ind w:firstLine="643" w:firstLineChars="200"/>
        <w:jc w:val="both"/>
      </w:pPr>
      <w:r>
        <w:rPr>
          <w:rFonts w:hint="eastAsia" w:ascii="仿宋_GB2312" w:hAnsi="仿宋_GB2312" w:eastAsia="仿宋_GB2312" w:cs="仿宋_GB2312"/>
          <w:b/>
          <w:sz w:val="32"/>
        </w:rPr>
        <w:t>1. 疫情规模和截止时间</w:t>
      </w:r>
    </w:p>
    <w:p w14:paraId="6CA41BB8">
      <w:pPr>
        <w:spacing w:before="0" w:after="0" w:line="540" w:lineRule="exact"/>
        <w:ind w:firstLine="640" w:firstLineChars="200"/>
        <w:jc w:val="both"/>
      </w:pPr>
      <w:r>
        <w:rPr>
          <w:rFonts w:hint="eastAsia" w:ascii="仿宋_GB2312" w:hAnsi="仿宋_GB2312" w:eastAsia="仿宋_GB2312" w:cs="仿宋_GB2312"/>
          <w:sz w:val="32"/>
        </w:rPr>
        <w:t>截至2026年8月31日，该国2026年累计报告登革热病例12,500例，其中实验室确诊3,200例；最近一周新增850例。报告病例包括疑似病例和确诊病例，确诊病例已包含在报告病例总数中，不重复相加。</w:t>
      </w:r>
    </w:p>
    <w:p w14:paraId="0BA4135D">
      <w:pPr>
        <w:spacing w:before="0" w:after="0" w:line="540" w:lineRule="exact"/>
        <w:ind w:firstLine="643" w:firstLineChars="200"/>
        <w:jc w:val="both"/>
      </w:pPr>
      <w:r>
        <w:rPr>
          <w:rFonts w:hint="eastAsia" w:ascii="仿宋_GB2312" w:hAnsi="仿宋_GB2312" w:eastAsia="仿宋_GB2312" w:cs="仿宋_GB2312"/>
          <w:b/>
          <w:sz w:val="32"/>
        </w:rPr>
        <w:t>2. 重症、死亡和医疗负担</w:t>
      </w:r>
    </w:p>
    <w:p w14:paraId="02EF3931">
      <w:pPr>
        <w:spacing w:before="0" w:after="0" w:line="540" w:lineRule="exact"/>
        <w:ind w:firstLine="640" w:firstLineChars="200"/>
        <w:jc w:val="both"/>
      </w:pPr>
      <w:r>
        <w:rPr>
          <w:rFonts w:hint="eastAsia" w:ascii="仿宋_GB2312" w:hAnsi="仿宋_GB2312" w:eastAsia="仿宋_GB2312" w:cs="仿宋_GB2312"/>
          <w:sz w:val="32"/>
        </w:rPr>
        <w:t>同期报告重症病例180例、死亡25例，按报告病例计算的病死率约为0.20%。主要受影响地区部分医院发热门诊就诊量增加。全国住院人数和床位占用率未公布。</w:t>
      </w:r>
    </w:p>
    <w:p w14:paraId="5107ADC2">
      <w:pPr>
        <w:spacing w:before="0" w:after="0" w:line="540" w:lineRule="exact"/>
        <w:ind w:firstLine="643" w:firstLineChars="200"/>
        <w:jc w:val="both"/>
      </w:pPr>
      <w:r>
        <w:rPr>
          <w:rFonts w:hint="eastAsia" w:ascii="仿宋_GB2312" w:hAnsi="仿宋_GB2312" w:eastAsia="仿宋_GB2312" w:cs="仿宋_GB2312"/>
          <w:b/>
          <w:sz w:val="32"/>
        </w:rPr>
        <w:t>3. 主要受影响地区</w:t>
      </w:r>
    </w:p>
    <w:p w14:paraId="20C9D127">
      <w:pPr>
        <w:spacing w:before="0" w:after="0" w:line="540" w:lineRule="exact"/>
        <w:ind w:firstLine="640" w:firstLineChars="200"/>
        <w:jc w:val="both"/>
      </w:pPr>
      <w:r>
        <w:rPr>
          <w:rFonts w:hint="eastAsia" w:ascii="仿宋_GB2312" w:hAnsi="仿宋_GB2312" w:eastAsia="仿宋_GB2312" w:cs="仿宋_GB2312"/>
          <w:sz w:val="32"/>
        </w:rPr>
        <w:t>病例主要集中于甲省、乙省和丙市，合计占全国报告病例的约70%。近期丁省首次报告本年度本地传播病例，提示受影响地域有所扩大。</w:t>
      </w:r>
    </w:p>
    <w:p w14:paraId="0C4F995F">
      <w:pPr>
        <w:spacing w:before="0" w:after="0" w:line="540" w:lineRule="exact"/>
        <w:ind w:firstLine="643" w:firstLineChars="200"/>
        <w:jc w:val="both"/>
      </w:pPr>
      <w:r>
        <w:rPr>
          <w:rFonts w:hint="eastAsia" w:ascii="仿宋_GB2312" w:hAnsi="仿宋_GB2312" w:eastAsia="仿宋_GB2312" w:cs="仿宋_GB2312"/>
          <w:b/>
          <w:sz w:val="32"/>
        </w:rPr>
        <w:t>4. 年龄、职业或其他重点人群</w:t>
      </w:r>
    </w:p>
    <w:p w14:paraId="6FF1B8ED">
      <w:pPr>
        <w:spacing w:before="0" w:after="0" w:line="540" w:lineRule="exact"/>
        <w:ind w:firstLine="640" w:firstLineChars="200"/>
        <w:jc w:val="both"/>
      </w:pPr>
      <w:r>
        <w:rPr>
          <w:rFonts w:hint="eastAsia" w:ascii="仿宋_GB2312" w:hAnsi="仿宋_GB2312" w:eastAsia="仿宋_GB2312" w:cs="仿宋_GB2312"/>
          <w:sz w:val="32"/>
        </w:rPr>
        <w:t>报告病例以15—49岁人群为主。官方资料未提供职业分布；重症病例的年龄分布及基础疾病情况未公布，暂不能判断哪些人群在本轮疫情中重症负担更高。</w:t>
      </w:r>
    </w:p>
    <w:p w14:paraId="487C23C6">
      <w:pPr>
        <w:spacing w:before="0" w:after="0" w:line="540" w:lineRule="exact"/>
        <w:ind w:firstLine="643" w:firstLineChars="200"/>
        <w:jc w:val="both"/>
      </w:pPr>
      <w:r>
        <w:rPr>
          <w:rFonts w:hint="eastAsia" w:ascii="仿宋_GB2312" w:hAnsi="仿宋_GB2312" w:eastAsia="仿宋_GB2312" w:cs="仿宋_GB2312"/>
          <w:b/>
          <w:sz w:val="32"/>
        </w:rPr>
        <w:t>5. 与上年同期及历史基线比较</w:t>
      </w:r>
    </w:p>
    <w:p w14:paraId="453ECDB7">
      <w:pPr>
        <w:spacing w:before="0" w:after="0" w:line="540" w:lineRule="exact"/>
        <w:ind w:firstLine="640" w:firstLineChars="200"/>
        <w:jc w:val="both"/>
      </w:pPr>
      <w:r>
        <w:rPr>
          <w:rFonts w:hint="eastAsia" w:ascii="仿宋_GB2312" w:hAnsi="仿宋_GB2312" w:eastAsia="仿宋_GB2312" w:cs="仿宋_GB2312"/>
          <w:sz w:val="32"/>
        </w:rPr>
        <w:t>与2025年同期的8,000例相比，报告病例增加约56%；高于近5年同期中位数，但尚未超过历史同期峰值。上述比较采用同一监测系统和相同病例定义；最近两周数据尚不完整，暂不据此判断疫情是否回落。</w:t>
      </w:r>
    </w:p>
    <w:p w14:paraId="477A602F">
      <w:pPr>
        <w:spacing w:before="0" w:after="0" w:line="540" w:lineRule="exact"/>
        <w:ind w:firstLine="643" w:firstLineChars="200"/>
        <w:jc w:val="both"/>
      </w:pPr>
      <w:r>
        <w:rPr>
          <w:rFonts w:hint="eastAsia" w:ascii="仿宋_GB2312" w:hAnsi="仿宋_GB2312" w:eastAsia="仿宋_GB2312" w:cs="仿宋_GB2312"/>
          <w:b/>
          <w:sz w:val="32"/>
        </w:rPr>
        <w:t>6. 监测、实验室及病例管理能力</w:t>
      </w:r>
    </w:p>
    <w:p w14:paraId="2ADA3F97">
      <w:pPr>
        <w:spacing w:before="0" w:after="0" w:line="540" w:lineRule="exact"/>
        <w:ind w:firstLine="640" w:firstLineChars="200"/>
        <w:jc w:val="both"/>
      </w:pPr>
      <w:r>
        <w:rPr>
          <w:rFonts w:hint="eastAsia" w:ascii="仿宋_GB2312" w:hAnsi="仿宋_GB2312" w:eastAsia="仿宋_GB2312" w:cs="仿宋_GB2312"/>
          <w:sz w:val="32"/>
        </w:rPr>
        <w:t>该国实行登革热每周报告制度，国家参考实验室及部分省级实验室可开展病原学检测。偏远地区存在标本转运和报告延迟。卫生部门已更新病例分诊及转诊要求，但未公布各地区落实情况。</w:t>
      </w:r>
    </w:p>
    <w:p w14:paraId="5D128F7B">
      <w:pPr>
        <w:spacing w:before="0" w:after="0" w:line="540" w:lineRule="exact"/>
        <w:ind w:firstLine="643" w:firstLineChars="200"/>
        <w:jc w:val="both"/>
      </w:pPr>
      <w:r>
        <w:rPr>
          <w:rFonts w:hint="eastAsia" w:ascii="仿宋_GB2312" w:hAnsi="仿宋_GB2312" w:eastAsia="仿宋_GB2312" w:cs="仿宋_GB2312"/>
          <w:b/>
          <w:sz w:val="32"/>
        </w:rPr>
        <w:t>7. 其他重要信息</w:t>
      </w:r>
    </w:p>
    <w:p w14:paraId="0C3B6D72">
      <w:pPr>
        <w:spacing w:before="0" w:after="0" w:line="540" w:lineRule="exact"/>
        <w:ind w:firstLine="640" w:firstLineChars="200"/>
        <w:jc w:val="both"/>
      </w:pPr>
      <w:r>
        <w:rPr>
          <w:rFonts w:hint="eastAsia" w:ascii="仿宋_GB2312" w:hAnsi="仿宋_GB2312" w:eastAsia="仿宋_GB2312" w:cs="仿宋_GB2312"/>
          <w:sz w:val="32"/>
        </w:rPr>
        <w:t>本轮监测检出DENV-1和DENV-2，部分地区以DENV-2为主，与上年优势血清型不同。卫生部门已在重点地区开展媒介监测、孳生地清理及医疗人员培训。与上海相关的旅行联系和输入病例情况需另行核实。</w:t>
      </w:r>
    </w:p>
    <w:p w14:paraId="7A64C8FE">
      <w:pPr>
        <w:spacing w:before="0" w:after="0" w:line="540" w:lineRule="exact"/>
        <w:ind w:firstLine="643" w:firstLineChars="200"/>
        <w:jc w:val="both"/>
      </w:pPr>
      <w:r>
        <w:rPr>
          <w:rFonts w:hint="eastAsia" w:ascii="仿宋_GB2312" w:hAnsi="仿宋_GB2312" w:eastAsia="仿宋_GB2312" w:cs="仿宋_GB2312"/>
          <w:b/>
          <w:sz w:val="32"/>
        </w:rPr>
        <w:t>8. 信息来源</w:t>
      </w:r>
    </w:p>
    <w:p w14:paraId="1E244D15">
      <w:pPr>
        <w:spacing w:before="0" w:after="0" w:line="540" w:lineRule="exact"/>
        <w:ind w:firstLine="640" w:firstLineChars="200"/>
        <w:jc w:val="both"/>
      </w:pPr>
      <w:r>
        <w:rPr>
          <w:rFonts w:hint="eastAsia" w:ascii="仿宋_GB2312" w:hAnsi="仿宋_GB2312" w:eastAsia="仿宋_GB2312" w:cs="仿宋_GB2312"/>
          <w:sz w:val="32"/>
        </w:rPr>
        <w:t>实际填写时，应逐条列出具体报告或数据页面的HTTP(S)网络链接，而非仅列机构首页。禁止展示本地文件名、路径、定位、哈希或证据编号。以下来源同样为格式占位示例，并非真实文献：</w:t>
      </w:r>
    </w:p>
    <w:p w14:paraId="245A3A27">
      <w:pPr>
        <w:spacing w:before="0" w:after="0" w:line="540" w:lineRule="exact"/>
        <w:ind w:firstLine="643" w:firstLineChars="200"/>
        <w:jc w:val="both"/>
      </w:pPr>
      <w:r>
        <w:rPr>
          <w:rFonts w:hint="eastAsia" w:ascii="仿宋_GB2312" w:hAnsi="仿宋_GB2312" w:eastAsia="仿宋_GB2312" w:cs="仿宋_GB2312"/>
          <w:b/>
          <w:sz w:val="32"/>
        </w:rPr>
        <w:t>[1] ××国卫生部：《2026年第35周登革热监测报告》</w:t>
      </w:r>
    </w:p>
    <w:p w14:paraId="6F5FB9D6">
      <w:pPr>
        <w:spacing w:before="0" w:after="0" w:line="540" w:lineRule="exact"/>
        <w:ind w:firstLine="640" w:firstLineChars="200"/>
        <w:jc w:val="both"/>
      </w:pPr>
      <w:r>
        <w:rPr>
          <w:rFonts w:hint="eastAsia" w:ascii="仿宋_GB2312" w:hAnsi="仿宋_GB2312" w:eastAsia="仿宋_GB2312" w:cs="仿宋_GB2312"/>
          <w:sz w:val="32"/>
        </w:rPr>
        <w:t>数据截至：2026年8月31日；发布日期：2026年9月2日。</w:t>
      </w:r>
    </w:p>
    <w:p w14:paraId="40B19490">
      <w:pPr>
        <w:spacing w:before="0" w:after="0" w:line="540" w:lineRule="exact"/>
        <w:ind w:firstLine="640" w:firstLineChars="200"/>
        <w:jc w:val="both"/>
      </w:pPr>
      <w:r>
        <w:rPr>
          <w:rFonts w:hint="eastAsia" w:ascii="仿宋_GB2312" w:hAnsi="仿宋_GB2312" w:eastAsia="仿宋_GB2312" w:cs="仿宋_GB2312"/>
          <w:sz w:val="32"/>
        </w:rPr>
        <w:t>URL：〈填写该份监测报告的真实链接〉</w:t>
      </w:r>
    </w:p>
    <w:p w14:paraId="3F3A0C1A">
      <w:pPr>
        <w:spacing w:before="0" w:after="0" w:line="540" w:lineRule="exact"/>
        <w:ind w:firstLine="640" w:firstLineChars="200"/>
        <w:jc w:val="both"/>
      </w:pPr>
      <w:r>
        <w:rPr>
          <w:rFonts w:hint="eastAsia" w:ascii="仿宋_GB2312" w:hAnsi="仿宋_GB2312" w:eastAsia="仿宋_GB2312" w:cs="仿宋_GB2312"/>
          <w:sz w:val="32"/>
        </w:rPr>
        <w:t>支持内容：病例、重症、死亡、地域分布及同期比较。</w:t>
      </w:r>
    </w:p>
    <w:p w14:paraId="64F6913A">
      <w:pPr>
        <w:spacing w:before="0" w:after="0" w:line="540" w:lineRule="exact"/>
        <w:ind w:firstLine="643" w:firstLineChars="200"/>
        <w:jc w:val="both"/>
      </w:pPr>
      <w:r>
        <w:rPr>
          <w:rFonts w:hint="eastAsia" w:ascii="仿宋_GB2312" w:hAnsi="仿宋_GB2312" w:eastAsia="仿宋_GB2312" w:cs="仿宋_GB2312"/>
          <w:b/>
          <w:sz w:val="32"/>
        </w:rPr>
        <w:t>[2] ××国国家公共卫生研究院：《登革病毒实验室监测通报》</w:t>
      </w:r>
    </w:p>
    <w:p w14:paraId="4364CB22">
      <w:pPr>
        <w:spacing w:before="0" w:after="0" w:line="540" w:lineRule="exact"/>
        <w:ind w:firstLine="640" w:firstLineChars="200"/>
        <w:jc w:val="both"/>
      </w:pPr>
      <w:r>
        <w:rPr>
          <w:rFonts w:hint="eastAsia" w:ascii="仿宋_GB2312" w:hAnsi="仿宋_GB2312" w:eastAsia="仿宋_GB2312" w:cs="仿宋_GB2312"/>
          <w:sz w:val="32"/>
        </w:rPr>
        <w:t>发布日期：2026年9月1日。</w:t>
      </w:r>
    </w:p>
    <w:p w14:paraId="46DCCA82">
      <w:pPr>
        <w:spacing w:before="0" w:after="0" w:line="540" w:lineRule="exact"/>
        <w:ind w:firstLine="640" w:firstLineChars="200"/>
        <w:jc w:val="both"/>
      </w:pPr>
      <w:r>
        <w:rPr>
          <w:rFonts w:hint="eastAsia" w:ascii="仿宋_GB2312" w:hAnsi="仿宋_GB2312" w:eastAsia="仿宋_GB2312" w:cs="仿宋_GB2312"/>
          <w:sz w:val="32"/>
        </w:rPr>
        <w:t>URL：〈填写该份实验室通报的真实链接〉</w:t>
      </w:r>
    </w:p>
    <w:p w14:paraId="470361E8">
      <w:pPr>
        <w:spacing w:before="0" w:after="0" w:line="540" w:lineRule="exact"/>
        <w:ind w:firstLine="640" w:firstLineChars="200"/>
        <w:jc w:val="both"/>
      </w:pPr>
      <w:r>
        <w:rPr>
          <w:rFonts w:hint="eastAsia" w:ascii="仿宋_GB2312" w:hAnsi="仿宋_GB2312" w:eastAsia="仿宋_GB2312" w:cs="仿宋_GB2312"/>
          <w:sz w:val="32"/>
        </w:rPr>
        <w:t>支持内容：血清型分布及检测能力。</w:t>
      </w:r>
    </w:p>
    <w:p w14:paraId="77360741">
      <w:pPr>
        <w:spacing w:before="0" w:after="0" w:line="540" w:lineRule="exact"/>
        <w:ind w:firstLine="643" w:firstLineChars="200"/>
        <w:jc w:val="both"/>
      </w:pPr>
      <w:r>
        <w:rPr>
          <w:rFonts w:hint="eastAsia" w:ascii="仿宋_GB2312" w:hAnsi="仿宋_GB2312" w:eastAsia="仿宋_GB2312" w:cs="仿宋_GB2312"/>
          <w:b/>
          <w:sz w:val="32"/>
        </w:rPr>
        <w:t>[3] ××国卫生部：《重点地区登革热应对工作通报》</w:t>
      </w:r>
    </w:p>
    <w:p w14:paraId="747F78A5">
      <w:pPr>
        <w:spacing w:before="0" w:after="0" w:line="540" w:lineRule="exact"/>
        <w:ind w:firstLine="640" w:firstLineChars="200"/>
        <w:jc w:val="both"/>
      </w:pPr>
      <w:r>
        <w:rPr>
          <w:rFonts w:hint="eastAsia" w:ascii="仿宋_GB2312" w:hAnsi="仿宋_GB2312" w:eastAsia="仿宋_GB2312" w:cs="仿宋_GB2312"/>
          <w:sz w:val="32"/>
        </w:rPr>
        <w:t>发布日期：2026年8月28日。</w:t>
      </w:r>
    </w:p>
    <w:p w14:paraId="48D8418B">
      <w:pPr>
        <w:spacing w:before="0" w:after="0" w:line="540" w:lineRule="exact"/>
        <w:ind w:firstLine="640" w:firstLineChars="200"/>
        <w:jc w:val="both"/>
      </w:pPr>
      <w:r>
        <w:rPr>
          <w:rFonts w:hint="eastAsia" w:ascii="仿宋_GB2312" w:hAnsi="仿宋_GB2312" w:eastAsia="仿宋_GB2312" w:cs="仿宋_GB2312"/>
          <w:sz w:val="32"/>
        </w:rPr>
        <w:t>URL：〈填写该份应对通报的真实链接〉</w:t>
      </w:r>
    </w:p>
    <w:p w14:paraId="345B9A92">
      <w:pPr>
        <w:spacing w:before="0" w:after="0" w:line="540" w:lineRule="exact"/>
        <w:ind w:firstLine="640" w:firstLineChars="200"/>
        <w:jc w:val="both"/>
      </w:pPr>
      <w:r>
        <w:rPr>
          <w:rFonts w:hint="eastAsia" w:ascii="仿宋_GB2312" w:hAnsi="仿宋_GB2312" w:eastAsia="仿宋_GB2312" w:cs="仿宋_GB2312"/>
          <w:sz w:val="32"/>
        </w:rPr>
        <w:t>支持内容：医疗负担及防控措施。</w:t>
      </w:r>
    </w:p>
    <w:p w14:paraId="1A2B87F2">
      <w:pPr>
        <w:spacing w:before="0" w:after="0" w:line="540" w:lineRule="exact"/>
        <w:ind w:firstLine="640" w:firstLineChars="200"/>
        <w:jc w:val="both"/>
      </w:pPr>
      <w:r>
        <w:rPr>
          <w:rFonts w:hint="eastAsia" w:ascii="仿宋_GB2312" w:hAnsi="仿宋_GB2312" w:eastAsia="仿宋_GB2312" w:cs="仿宋_GB2312"/>
          <w:sz w:val="32"/>
        </w:rPr>
        <w:t>正式报告中，每个国家重复这一结构即可。缺失的信息写“未公布”或“未检索到可核实资料”，不要为了填满卡片而推测；篇幅不必八项等长，有证据的重点内容多写，缺失项简要说明。</w:t>
      </w:r>
    </w:p>
    <w:p w14:paraId="77AB9E65">
      <w:pPr>
        <w:keepNext/>
        <w:keepLines/>
        <w:widowControl/>
        <w:spacing w:before="0" w:after="0" w:line="540" w:lineRule="exact"/>
        <w:ind w:left="0" w:right="0" w:firstLineChars="200"/>
        <w:jc w:val="both"/>
        <w:outlineLvl w:val="3"/>
      </w:pPr>
      <w:r>
        <w:rPr>
          <w:rFonts w:hint="eastAsia" w:ascii="黑体" w:hAnsi="黑体" w:eastAsia="黑体" w:cs="黑体"/>
          <w:b w:val="0"/>
          <w:color w:val="000000"/>
          <w:sz w:val="32"/>
          <w:szCs w:val="32"/>
        </w:rPr>
        <w:t>四、风险因素</w:t>
      </w:r>
    </w:p>
    <w:p w14:paraId="0ECA29DC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本部分介绍影响相关疾病传播、扩散、流行和防控的重要因素，重点帮助读者理解该疾病如果传播至上海市，可能的影响因素。综合以下内容，用两至三段简要概述，并区分一般机制与已有证据支持的本地条件。</w:t>
      </w:r>
    </w:p>
    <w:p w14:paraId="60C85F24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1. 病原体与人群免疫因素：如血清型转换、多血清型共流行、人群免疫空白。</w:t>
      </w:r>
    </w:p>
    <w:p w14:paraId="72F153BA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2. 媒介与生态因素：媒介分布扩大、温度、降水、极端气候和媒介抗药性；非媒介传播疾病按其实际环境条件分析，不机械套用媒介因素。</w:t>
      </w:r>
    </w:p>
    <w:p w14:paraId="085A3E01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3. 人口与社会因素：城市化、人口密度、跨境旅行、迁移、冲突和人道主义危机。</w:t>
      </w:r>
    </w:p>
    <w:p w14:paraId="0C11C8C7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4. 发现与报告能力：病例定义不一致、误诊漏诊、实验室检测不足、报告延迟。</w:t>
      </w:r>
    </w:p>
    <w:p w14:paraId="2032CBB1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5. 防控与卫生系统能力：媒介控制或相应传播途径控制、病例管理、物资、人力和协调机制是否足以应对多地同时暴发。</w:t>
      </w:r>
    </w:p>
    <w:p w14:paraId="5E13F2E0">
      <w:pPr>
        <w:keepNext/>
        <w:keepLines/>
        <w:pageBreakBefore/>
        <w:widowControl/>
        <w:spacing w:before="0" w:after="0" w:line="540" w:lineRule="exact"/>
        <w:ind w:left="0" w:right="0" w:firstLineChars="200"/>
        <w:jc w:val="both"/>
        <w:outlineLvl w:val="1"/>
      </w:pPr>
      <w:r>
        <w:rPr>
          <w:rFonts w:hint="eastAsia" w:ascii="楷体_GB2312" w:hAnsi="楷体_GB2312" w:eastAsia="楷体_GB2312" w:cs="楷体_GB2312"/>
          <w:b/>
          <w:color w:val="000000"/>
          <w:sz w:val="32"/>
          <w:szCs w:val="32"/>
        </w:rPr>
        <w:t>（二）呼吸道传染病</w:t>
      </w:r>
    </w:p>
    <w:p w14:paraId="4FDA3554">
      <w:pPr>
        <w:keepNext/>
        <w:keepLines/>
        <w:widowControl/>
        <w:spacing w:before="0" w:after="0" w:line="540" w:lineRule="exact"/>
        <w:ind w:left="0" w:right="0" w:firstLineChars="200"/>
        <w:jc w:val="both"/>
        <w:outlineLvl w:val="2"/>
      </w:pPr>
      <w:r>
        <w:rPr>
          <w:rFonts w:hint="eastAsia" w:ascii="仿宋_GB2312" w:hAnsi="仿宋_GB2312" w:eastAsia="仿宋_GB2312" w:cs="仿宋_GB2312"/>
          <w:b/>
          <w:color w:val="000000"/>
          <w:sz w:val="32"/>
          <w:szCs w:val="32"/>
        </w:rPr>
        <w:t>具体的病种名称</w:t>
      </w:r>
    </w:p>
    <w:p w14:paraId="4DADDC80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本分类下每个病种均独立填写以下四部分；存在多个病种时，逐病种重复完整结构，不将多个病种合写或省略为“同上”。</w:t>
      </w:r>
    </w:p>
    <w:p w14:paraId="11357417">
      <w:pPr>
        <w:keepNext/>
        <w:keepLines/>
        <w:widowControl/>
        <w:spacing w:before="0" w:after="0" w:line="540" w:lineRule="exact"/>
        <w:ind w:left="0" w:right="0" w:firstLineChars="200"/>
        <w:jc w:val="both"/>
        <w:outlineLvl w:val="3"/>
      </w:pPr>
      <w:r>
        <w:rPr>
          <w:rFonts w:hint="eastAsia" w:ascii="黑体" w:hAnsi="黑体" w:eastAsia="黑体" w:cs="黑体"/>
          <w:b w:val="0"/>
          <w:color w:val="000000"/>
          <w:sz w:val="32"/>
          <w:szCs w:val="32"/>
        </w:rPr>
        <w:t>一、疾病概述</w:t>
      </w:r>
    </w:p>
    <w:p w14:paraId="2F3E7CF4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本部分回答“评估的究竟是什么疾病”，控制在背景介绍层面，不写成完整科普。综合以下五方面，用两至三段简要概括，最后罗列信息来源。</w:t>
      </w:r>
    </w:p>
    <w:p w14:paraId="66BA7CE5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1. 病原学特征：病原体类型、血清型或基因型、主要宿主和媒介。</w:t>
      </w:r>
    </w:p>
    <w:p w14:paraId="449CE6B7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2. 传播特征：传播途径、传染源、潜伏期，以及传播所需的环境或媒介条件。</w:t>
      </w:r>
    </w:p>
    <w:p w14:paraId="39E5EA38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3. 临床与疾病负担：主要临床表现、重症和死亡风险、高风险人群。</w:t>
      </w:r>
    </w:p>
    <w:p w14:paraId="5A3AAD47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4. 防控条件：是否有疫苗、特异性治疗、成熟诊断方法和主要防控手段。</w:t>
      </w:r>
    </w:p>
    <w:p w14:paraId="5EB77C17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5. 既往全球分布：传统流行区、地方性流行范围及近年来的地理扩展。</w:t>
      </w:r>
    </w:p>
    <w:p w14:paraId="783BC5B4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信息来源：只列实际访问并核实的HTTP(S)网络链接，注明机构名称、资料标题、发布日期或更新日期及访问日期；不得展示本地文件名、路径、定位、哈希或证据编号。</w:t>
      </w:r>
    </w:p>
    <w:p w14:paraId="09B8FC4E">
      <w:pPr>
        <w:keepNext/>
        <w:keepLines/>
        <w:widowControl/>
        <w:spacing w:before="0" w:after="0" w:line="540" w:lineRule="exact"/>
        <w:ind w:left="0" w:right="0" w:firstLineChars="200"/>
        <w:jc w:val="both"/>
        <w:outlineLvl w:val="3"/>
      </w:pPr>
      <w:r>
        <w:rPr>
          <w:rFonts w:hint="eastAsia" w:ascii="黑体" w:hAnsi="黑体" w:eastAsia="黑体" w:cs="黑体"/>
          <w:b w:val="0"/>
          <w:color w:val="000000"/>
          <w:sz w:val="32"/>
          <w:szCs w:val="32"/>
        </w:rPr>
        <w:t>二、全球流行概况</w:t>
      </w:r>
    </w:p>
    <w:p w14:paraId="20679329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综合以下内容，用两至三段概述全球流行情况，最后罗列信息来源。</w:t>
      </w:r>
    </w:p>
    <w:p w14:paraId="7003E6D2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1. 数据范围与截止时间：明确报告年度、统计截止日期、覆盖国家和地区，以及病例定义差异。</w:t>
      </w:r>
    </w:p>
    <w:p w14:paraId="6707F676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2. 全球疫情规模：报告病例、实验室确诊、重症和死亡数；必要时给出发病率和病死率。</w:t>
      </w:r>
    </w:p>
    <w:p w14:paraId="08F80BD3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3. 时间趋势：与上年同期、近5年基线或历史峰值比较，判断是上升、下降还是异常波动。</w:t>
      </w:r>
    </w:p>
    <w:p w14:paraId="1D6FE88F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4. 地理分布：简要概述全球分布，包括传统流行区、地方性流行范围及近年来的地理扩展。</w:t>
      </w:r>
    </w:p>
    <w:p w14:paraId="1B7831C5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5. 疫情扩展特征：是否出现流行季提前或延长、受影响国家增加、向非传统流行区扩展，以及跨区域或跨国传播增加。</w:t>
      </w:r>
    </w:p>
    <w:p w14:paraId="52F10AB1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检索来源：检索世界卫生组织、美国CDC、欧盟CDC、英国公共卫生署、加拿大公共卫生署、澳大利亚公共卫生署、新西兰公共卫生署、日本国立传染病研究所、中国疾病预防控制中心、中国香港卫生署、中国澳门卫生局、中国台湾卫生福利部疾病管制署等机构的官方网站，获取全球疫情数据；检索时核实机构现名及官方入口，如机构已更名或调整，使用其现行官方机构或继任机构的资料。</w:t>
      </w:r>
    </w:p>
    <w:p w14:paraId="25C87F10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信息来源：只列实际访问并核实的HTTP(S)网络链接，注明机构名称、资料标题、发布日期或数据截至日期及访问日期；不得展示本地文件名、路径、定位、哈希或证据编号。</w:t>
      </w:r>
    </w:p>
    <w:p w14:paraId="766C77A0">
      <w:pPr>
        <w:keepNext/>
        <w:keepLines/>
        <w:widowControl/>
        <w:spacing w:before="0" w:after="0" w:line="540" w:lineRule="exact"/>
        <w:ind w:left="0" w:right="0" w:firstLineChars="200"/>
        <w:jc w:val="both"/>
        <w:outlineLvl w:val="3"/>
      </w:pPr>
      <w:r>
        <w:rPr>
          <w:rFonts w:hint="eastAsia" w:ascii="黑体" w:hAnsi="黑体" w:eastAsia="黑体" w:cs="黑体"/>
          <w:b w:val="0"/>
          <w:color w:val="000000"/>
          <w:sz w:val="32"/>
          <w:szCs w:val="32"/>
        </w:rPr>
        <w:t>三、重点国家流行情况</w:t>
      </w:r>
    </w:p>
    <w:p w14:paraId="17037144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按照《参赛国家和地区名单.csv》中的国家和地区逐一检索分析，覆盖全部名单条目；正文列出具有相关疫情的重点国家和地区。经核实本期无相关疫情的可不列出；未检索到资料或网站无法访问不能等同于无疫情，应保留待核实状态。</w:t>
      </w:r>
    </w:p>
    <w:p w14:paraId="73945A55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检索来源：国家和地区卫生部门官方网站，以及世界卫生组织、美国CDC、欧盟CDC、英国公共卫生署、加拿大公共卫生署、澳大利亚公共卫生署、新西兰公共卫生署、日本国立传染病研究所、中国疾病预防控制中心、中国香港卫生署、中国澳门卫生局、中国台湾卫生福利部疾病管制署等机构的官方网站；可参考重要媒体机构报道、用户提供的HealthMap文件中的具体内容，必要时开展拓展检索。媒体和HealthMap信息应回溯原始来源并优先交叉核实；未提供HealthMap文件时，不得假定已读取。</w:t>
      </w:r>
    </w:p>
    <w:p w14:paraId="337DF8A2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每个重点国家和地区采用下列统一“小卡片”结构，按实际纳入数量逐一重复：</w:t>
      </w:r>
    </w:p>
    <w:p w14:paraId="213EA4AE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国家/地区名称</w:t>
      </w:r>
    </w:p>
    <w:p w14:paraId="62D9C57F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1. 疫情规模和截止时间：病例数量、病例定义与统计口径、数据截止日期。</w:t>
      </w:r>
    </w:p>
    <w:p w14:paraId="445A9278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2. 重症、死亡和医疗负担：重症数、死亡数及住院或医疗服务压力。</w:t>
      </w:r>
    </w:p>
    <w:p w14:paraId="49260202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3. 主要受影响地区：重点省州、城市或其他地域。</w:t>
      </w:r>
    </w:p>
    <w:p w14:paraId="25AD24B6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4. 年龄、职业或其他重点人群：主要受影响及高风险人群。</w:t>
      </w:r>
    </w:p>
    <w:p w14:paraId="2865212A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5. 与上年同期及历史基线比较：病例、死亡或传播范围的变化；无可比资料时明确说明。</w:t>
      </w:r>
    </w:p>
    <w:p w14:paraId="1365E3DE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6. 监测、实验室及病例管理能力：病例发现、实验室检测、报告及时性与诊疗管理能力。</w:t>
      </w:r>
    </w:p>
    <w:p w14:paraId="7590D5DC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7. 其他重要信息：与该病种、本轮疫情或赛事相关的重要补充情况。</w:t>
      </w:r>
    </w:p>
    <w:p w14:paraId="7194472A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8. 信息来源：只列实际访问并核实的HTTP(S)网络链接，并注明机构、资料标题及数据截止日期；不得展示本地文件名、路径、定位、哈希或证据编号。</w:t>
      </w:r>
    </w:p>
    <w:p w14:paraId="462C5C61">
      <w:pPr>
        <w:keepNext/>
        <w:keepLines/>
        <w:widowControl/>
        <w:spacing w:before="0" w:after="0" w:line="540" w:lineRule="exact"/>
        <w:ind w:left="0" w:right="0" w:firstLineChars="200"/>
        <w:jc w:val="both"/>
        <w:outlineLvl w:val="3"/>
      </w:pPr>
      <w:r>
        <w:rPr>
          <w:rFonts w:hint="eastAsia" w:ascii="黑体" w:hAnsi="黑体" w:eastAsia="黑体" w:cs="黑体"/>
          <w:b w:val="0"/>
          <w:color w:val="000000"/>
          <w:sz w:val="32"/>
          <w:szCs w:val="32"/>
        </w:rPr>
        <w:t>四、风险因素</w:t>
      </w:r>
    </w:p>
    <w:p w14:paraId="6A49A530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本部分介绍影响相关疾病传播、扩散、流行和防控的重要因素，重点帮助读者理解该疾病如果传播至上海市，可能的影响因素。综合以下内容，用两至三段简要概述，并区分一般机制与已有证据支持的本地条件。</w:t>
      </w:r>
    </w:p>
    <w:p w14:paraId="485A1F6B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1. 病原体与人群免疫因素：如血清型转换、多血清型共流行、人群免疫空白。</w:t>
      </w:r>
    </w:p>
    <w:p w14:paraId="5E631B4A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2. 媒介与生态因素：媒介分布扩大、温度、降水、极端气候和媒介抗药性；非媒介传播疾病按其实际环境条件分析，不机械套用媒介因素。</w:t>
      </w:r>
    </w:p>
    <w:p w14:paraId="60C8B80A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3. 人口与社会因素：城市化、人口密度、跨境旅行、迁移、冲突和人道主义危机。</w:t>
      </w:r>
    </w:p>
    <w:p w14:paraId="64A50EC0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4. 发现与报告能力：病例定义不一致、误诊漏诊、实验室检测不足、报告延迟。</w:t>
      </w:r>
    </w:p>
    <w:p w14:paraId="086F027D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5. 防控与卫生系统能力：媒介控制或相应传播途径控制、病例管理、物资、人力和协调机制是否足以应对多地同时暴发。</w:t>
      </w:r>
    </w:p>
    <w:p w14:paraId="01663937">
      <w:pPr>
        <w:keepNext/>
        <w:keepLines/>
        <w:pageBreakBefore/>
        <w:widowControl/>
        <w:spacing w:before="0" w:after="0" w:line="540" w:lineRule="exact"/>
        <w:ind w:left="0" w:right="0" w:firstLineChars="200"/>
        <w:jc w:val="both"/>
        <w:outlineLvl w:val="1"/>
      </w:pPr>
      <w:r>
        <w:rPr>
          <w:rFonts w:hint="eastAsia" w:ascii="楷体_GB2312" w:hAnsi="楷体_GB2312" w:eastAsia="楷体_GB2312" w:cs="楷体_GB2312"/>
          <w:b/>
          <w:color w:val="000000"/>
          <w:sz w:val="32"/>
          <w:szCs w:val="32"/>
        </w:rPr>
        <w:t>（三）肠道及食源性传染病</w:t>
      </w:r>
    </w:p>
    <w:p w14:paraId="7325FD3B">
      <w:pPr>
        <w:keepNext/>
        <w:keepLines/>
        <w:widowControl/>
        <w:spacing w:before="0" w:after="0" w:line="540" w:lineRule="exact"/>
        <w:ind w:left="0" w:right="0" w:firstLineChars="200"/>
        <w:jc w:val="both"/>
        <w:outlineLvl w:val="2"/>
      </w:pPr>
      <w:r>
        <w:rPr>
          <w:rFonts w:hint="eastAsia" w:ascii="仿宋_GB2312" w:hAnsi="仿宋_GB2312" w:eastAsia="仿宋_GB2312" w:cs="仿宋_GB2312"/>
          <w:b/>
          <w:color w:val="000000"/>
          <w:sz w:val="32"/>
          <w:szCs w:val="32"/>
        </w:rPr>
        <w:t>具体的病种名称</w:t>
      </w:r>
    </w:p>
    <w:p w14:paraId="71A6D419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本分类下每个病种均独立填写以下四部分；存在多个病种时，逐病种重复完整结构，不将多个病种合写或省略为“同上”。</w:t>
      </w:r>
    </w:p>
    <w:p w14:paraId="5C3E2D74">
      <w:pPr>
        <w:keepNext/>
        <w:keepLines/>
        <w:widowControl/>
        <w:spacing w:before="0" w:after="0" w:line="540" w:lineRule="exact"/>
        <w:ind w:left="0" w:right="0" w:firstLineChars="200"/>
        <w:jc w:val="both"/>
        <w:outlineLvl w:val="3"/>
      </w:pPr>
      <w:r>
        <w:rPr>
          <w:rFonts w:hint="eastAsia" w:ascii="黑体" w:hAnsi="黑体" w:eastAsia="黑体" w:cs="黑体"/>
          <w:b w:val="0"/>
          <w:color w:val="000000"/>
          <w:sz w:val="32"/>
          <w:szCs w:val="32"/>
        </w:rPr>
        <w:t>一、疾病概述</w:t>
      </w:r>
    </w:p>
    <w:p w14:paraId="52253517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本部分回答“评估的究竟是什么疾病”，控制在背景介绍层面，不写成完整科普。综合以下五方面，用两至三段简要概括，最后罗列信息来源。</w:t>
      </w:r>
    </w:p>
    <w:p w14:paraId="28C88726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1. 病原学特征：病原体类型、血清型或基因型、主要宿主和媒介。</w:t>
      </w:r>
    </w:p>
    <w:p w14:paraId="0EDA3966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2. 传播特征：传播途径、传染源、潜伏期，以及传播所需的环境或媒介条件。</w:t>
      </w:r>
    </w:p>
    <w:p w14:paraId="65D88397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3. 临床与疾病负担：主要临床表现、重症和死亡风险、高风险人群。</w:t>
      </w:r>
    </w:p>
    <w:p w14:paraId="07C88546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4. 防控条件：是否有疫苗、特异性治疗、成熟诊断方法和主要防控手段。</w:t>
      </w:r>
    </w:p>
    <w:p w14:paraId="0081B786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5. 既往全球分布：传统流行区、地方性流行范围及近年来的地理扩展。</w:t>
      </w:r>
    </w:p>
    <w:p w14:paraId="25256DDB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信息来源：只列实际访问并核实的HTTP(S)网络链接，注明机构名称、资料标题、发布日期或更新日期及访问日期；不得展示本地文件名、路径、定位、哈希或证据编号。</w:t>
      </w:r>
    </w:p>
    <w:p w14:paraId="353D354F">
      <w:pPr>
        <w:keepNext/>
        <w:keepLines/>
        <w:widowControl/>
        <w:spacing w:before="0" w:after="0" w:line="540" w:lineRule="exact"/>
        <w:ind w:left="0" w:right="0" w:firstLineChars="200"/>
        <w:jc w:val="both"/>
        <w:outlineLvl w:val="3"/>
      </w:pPr>
      <w:r>
        <w:rPr>
          <w:rFonts w:hint="eastAsia" w:ascii="黑体" w:hAnsi="黑体" w:eastAsia="黑体" w:cs="黑体"/>
          <w:b w:val="0"/>
          <w:color w:val="000000"/>
          <w:sz w:val="32"/>
          <w:szCs w:val="32"/>
        </w:rPr>
        <w:t>二、全球流行概况</w:t>
      </w:r>
    </w:p>
    <w:p w14:paraId="6D70AA8E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综合以下内容，用两至三段概述全球流行情况，最后罗列信息来源。</w:t>
      </w:r>
    </w:p>
    <w:p w14:paraId="3D141F4B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1. 数据范围与截止时间：明确报告年度、统计截止日期、覆盖国家和地区，以及病例定义差异。</w:t>
      </w:r>
    </w:p>
    <w:p w14:paraId="281C0D97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2. 全球疫情规模：报告病例、实验室确诊、重症和死亡数；必要时给出发病率和病死率。</w:t>
      </w:r>
    </w:p>
    <w:p w14:paraId="34F52348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3. 时间趋势：与上年同期、近5年基线或历史峰值比较，判断是上升、下降还是异常波动。</w:t>
      </w:r>
    </w:p>
    <w:p w14:paraId="4182400E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4. 地理分布：简要概述全球分布，包括传统流行区、地方性流行范围及近年来的地理扩展。</w:t>
      </w:r>
    </w:p>
    <w:p w14:paraId="447D7952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5. 疫情扩展特征：是否出现流行季提前或延长、受影响国家增加、向非传统流行区扩展，以及跨区域或跨国传播增加。</w:t>
      </w:r>
    </w:p>
    <w:p w14:paraId="1E02F2EE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检索来源：检索世界卫生组织、美国CDC、欧盟CDC、英国公共卫生署、加拿大公共卫生署、澳大利亚公共卫生署、新西兰公共卫生署、日本国立传染病研究所、中国疾病预防控制中心、中国香港卫生署、中国澳门卫生局、中国台湾卫生福利部疾病管制署等机构的官方网站，获取全球疫情数据；检索时核实机构现名及官方入口，如机构已更名或调整，使用其现行官方机构或继任机构的资料。</w:t>
      </w:r>
    </w:p>
    <w:p w14:paraId="69CD0669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信息来源：只列实际访问并核实的HTTP(S)网络链接，注明机构名称、资料标题、发布日期或数据截至日期及访问日期；不得展示本地文件名、路径、定位、哈希或证据编号。</w:t>
      </w:r>
    </w:p>
    <w:p w14:paraId="3D67A837">
      <w:pPr>
        <w:keepNext/>
        <w:keepLines/>
        <w:widowControl/>
        <w:spacing w:before="0" w:after="0" w:line="540" w:lineRule="exact"/>
        <w:ind w:left="0" w:right="0" w:firstLineChars="200"/>
        <w:jc w:val="both"/>
        <w:outlineLvl w:val="3"/>
      </w:pPr>
      <w:r>
        <w:rPr>
          <w:rFonts w:hint="eastAsia" w:ascii="黑体" w:hAnsi="黑体" w:eastAsia="黑体" w:cs="黑体"/>
          <w:b w:val="0"/>
          <w:color w:val="000000"/>
          <w:sz w:val="32"/>
          <w:szCs w:val="32"/>
        </w:rPr>
        <w:t>三、重点国家流行情况</w:t>
      </w:r>
    </w:p>
    <w:p w14:paraId="5A1428B5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按照《参赛国家和地区名单.csv》中的国家和地区逐一检索分析，覆盖全部名单条目；正文列出具有相关疫情的重点国家和地区。经核实本期无相关疫情的可不列出；未检索到资料或网站无法访问不能等同于无疫情，应保留待核实状态。</w:t>
      </w:r>
    </w:p>
    <w:p w14:paraId="3F5F82F4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检索来源：国家和地区卫生部门官方网站，以及世界卫生组织、美国CDC、欧盟CDC、英国公共卫生署、加拿大公共卫生署、澳大利亚公共卫生署、新西兰公共卫生署、日本国立传染病研究所、中国疾病预防控制中心、中国香港卫生署、中国澳门卫生局、中国台湾卫生福利部疾病管制署等机构的官方网站；可参考重要媒体机构报道、用户提供的HealthMap文件中的具体内容，必要时开展拓展检索。媒体和HealthMap信息应回溯原始来源并优先交叉核实；未提供HealthMap文件时，不得假定已读取。</w:t>
      </w:r>
    </w:p>
    <w:p w14:paraId="6062BF2B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每个重点国家和地区采用下列统一“小卡片”结构，按实际纳入数量逐一重复：</w:t>
      </w:r>
    </w:p>
    <w:p w14:paraId="6E3BFF0F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国家/地区名称</w:t>
      </w:r>
    </w:p>
    <w:p w14:paraId="2ED71DDE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1. 疫情规模和截止时间：病例数量、病例定义与统计口径、数据截止日期。</w:t>
      </w:r>
    </w:p>
    <w:p w14:paraId="095D6B1F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2. 重症、死亡和医疗负担：重症数、死亡数及住院或医疗服务压力。</w:t>
      </w:r>
    </w:p>
    <w:p w14:paraId="75DB2A9B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3. 主要受影响地区：重点省州、城市或其他地域。</w:t>
      </w:r>
    </w:p>
    <w:p w14:paraId="69B07CD5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4. 年龄、职业或其他重点人群：主要受影响及高风险人群。</w:t>
      </w:r>
    </w:p>
    <w:p w14:paraId="5490498D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5. 与上年同期及历史基线比较：病例、死亡或传播范围的变化；无可比资料时明确说明。</w:t>
      </w:r>
    </w:p>
    <w:p w14:paraId="40905BBD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6. 监测、实验室及病例管理能力：病例发现、实验室检测、报告及时性与诊疗管理能力。</w:t>
      </w:r>
    </w:p>
    <w:p w14:paraId="258209BD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7. 其他重要信息：与该病种、本轮疫情或赛事相关的重要补充情况。</w:t>
      </w:r>
    </w:p>
    <w:p w14:paraId="21A9FC63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8. 信息来源：只列实际访问并核实的HTTP(S)网络链接，并注明机构、资料标题及数据截止日期；不得展示本地文件名、路径、定位、哈希或证据编号。</w:t>
      </w:r>
    </w:p>
    <w:p w14:paraId="1526A4F6">
      <w:pPr>
        <w:keepNext/>
        <w:keepLines/>
        <w:widowControl/>
        <w:spacing w:before="0" w:after="0" w:line="540" w:lineRule="exact"/>
        <w:ind w:left="0" w:right="0" w:firstLineChars="200"/>
        <w:jc w:val="both"/>
        <w:outlineLvl w:val="3"/>
      </w:pPr>
      <w:r>
        <w:rPr>
          <w:rFonts w:hint="eastAsia" w:ascii="黑体" w:hAnsi="黑体" w:eastAsia="黑体" w:cs="黑体"/>
          <w:b w:val="0"/>
          <w:color w:val="000000"/>
          <w:sz w:val="32"/>
          <w:szCs w:val="32"/>
        </w:rPr>
        <w:t>四、风险因素</w:t>
      </w:r>
    </w:p>
    <w:p w14:paraId="0D4F4E4B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本部分介绍影响相关疾病传播、扩散、流行和防控的重要因素，重点帮助读者理解该疾病如果传播至上海市，可能的影响因素。综合以下内容，用两至三段简要概述，并区分一般机制与已有证据支持的本地条件。</w:t>
      </w:r>
    </w:p>
    <w:p w14:paraId="6B491092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1. 病原体与人群免疫因素：如血清型转换、多血清型共流行、人群免疫空白。</w:t>
      </w:r>
    </w:p>
    <w:p w14:paraId="1970D033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2. 媒介与生态因素：媒介分布扩大、温度、降水、极端气候和媒介抗药性；非媒介传播疾病按其实际环境条件分析，不机械套用媒介因素。</w:t>
      </w:r>
    </w:p>
    <w:p w14:paraId="34FB4091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3. 人口与社会因素：城市化、人口密度、跨境旅行、迁移、冲突和人道主义危机。</w:t>
      </w:r>
    </w:p>
    <w:p w14:paraId="30AFD677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4. 发现与报告能力：病例定义不一致、误诊漏诊、实验室检测不足、报告延迟。</w:t>
      </w:r>
    </w:p>
    <w:p w14:paraId="2D902A22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5. 防控与卫生系统能力：媒介控制或相应传播途径控制、病例管理、物资、人力和协调机制是否足以应对多地同时暴发。</w:t>
      </w:r>
    </w:p>
    <w:p w14:paraId="0EE6ADCA">
      <w:pPr>
        <w:keepNext/>
        <w:keepLines/>
        <w:pageBreakBefore/>
        <w:widowControl/>
        <w:spacing w:before="0" w:after="0" w:line="540" w:lineRule="exact"/>
        <w:ind w:left="0" w:right="0" w:firstLineChars="200"/>
        <w:jc w:val="both"/>
        <w:outlineLvl w:val="1"/>
      </w:pPr>
      <w:r>
        <w:rPr>
          <w:rFonts w:hint="eastAsia" w:ascii="楷体_GB2312" w:hAnsi="楷体_GB2312" w:eastAsia="楷体_GB2312" w:cs="楷体_GB2312"/>
          <w:b/>
          <w:color w:val="000000"/>
          <w:sz w:val="32"/>
          <w:szCs w:val="32"/>
        </w:rPr>
        <w:t>（四）新发少见及高致病性传染病</w:t>
      </w:r>
    </w:p>
    <w:p w14:paraId="00946E4D">
      <w:pPr>
        <w:keepNext/>
        <w:keepLines/>
        <w:widowControl/>
        <w:spacing w:before="0" w:after="0" w:line="540" w:lineRule="exact"/>
        <w:ind w:left="0" w:right="0" w:firstLineChars="200"/>
        <w:jc w:val="both"/>
        <w:outlineLvl w:val="2"/>
      </w:pPr>
      <w:r>
        <w:rPr>
          <w:rFonts w:hint="eastAsia" w:ascii="仿宋_GB2312" w:hAnsi="仿宋_GB2312" w:eastAsia="仿宋_GB2312" w:cs="仿宋_GB2312"/>
          <w:b/>
          <w:color w:val="000000"/>
          <w:sz w:val="32"/>
          <w:szCs w:val="32"/>
        </w:rPr>
        <w:t>具体的病种名称</w:t>
      </w:r>
    </w:p>
    <w:p w14:paraId="1EE2A916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本分类下每个病种均独立填写以下四部分；存在多个病种时，逐病种重复完整结构，不将多个病种合写或省略为“同上”。</w:t>
      </w:r>
    </w:p>
    <w:p w14:paraId="726299E3">
      <w:pPr>
        <w:keepNext/>
        <w:keepLines/>
        <w:widowControl/>
        <w:spacing w:before="0" w:after="0" w:line="540" w:lineRule="exact"/>
        <w:ind w:left="0" w:right="0" w:firstLineChars="200"/>
        <w:jc w:val="both"/>
        <w:outlineLvl w:val="3"/>
      </w:pPr>
      <w:r>
        <w:rPr>
          <w:rFonts w:hint="eastAsia" w:ascii="黑体" w:hAnsi="黑体" w:eastAsia="黑体" w:cs="黑体"/>
          <w:b w:val="0"/>
          <w:color w:val="000000"/>
          <w:sz w:val="32"/>
          <w:szCs w:val="32"/>
        </w:rPr>
        <w:t>一、疾病概述</w:t>
      </w:r>
    </w:p>
    <w:p w14:paraId="606C9805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本部分回答“评估的究竟是什么疾病”，控制在背景介绍层面，不写成完整科普。综合以下五方面，用两至三段简要概括，最后罗列信息来源。</w:t>
      </w:r>
    </w:p>
    <w:p w14:paraId="267017D5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1. 病原学特征：病原体类型、血清型或基因型、主要宿主和媒介。</w:t>
      </w:r>
    </w:p>
    <w:p w14:paraId="046DA214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2. 传播特征：传播途径、传染源、潜伏期，以及传播所需的环境或媒介条件。</w:t>
      </w:r>
    </w:p>
    <w:p w14:paraId="6AB013A2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3. 临床与疾病负担：主要临床表现、重症和死亡风险、高风险人群。</w:t>
      </w:r>
    </w:p>
    <w:p w14:paraId="0D7011B3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4. 防控条件：是否有疫苗、特异性治疗、成熟诊断方法和主要防控手段。</w:t>
      </w:r>
    </w:p>
    <w:p w14:paraId="31CB178B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5. 既往全球分布：传统流行区、地方性流行范围及近年来的地理扩展。</w:t>
      </w:r>
    </w:p>
    <w:p w14:paraId="2B74F84D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信息来源：只列实际访问并核实的HTTP(S)网络链接，注明机构名称、资料标题、发布日期或更新日期及访问日期；不得展示本地文件名、路径、定位、哈希或证据编号。</w:t>
      </w:r>
    </w:p>
    <w:p w14:paraId="5B8FC030">
      <w:pPr>
        <w:keepNext/>
        <w:keepLines/>
        <w:widowControl/>
        <w:spacing w:before="0" w:after="0" w:line="540" w:lineRule="exact"/>
        <w:ind w:left="0" w:right="0" w:firstLineChars="200"/>
        <w:jc w:val="both"/>
        <w:outlineLvl w:val="3"/>
      </w:pPr>
      <w:r>
        <w:rPr>
          <w:rFonts w:hint="eastAsia" w:ascii="黑体" w:hAnsi="黑体" w:eastAsia="黑体" w:cs="黑体"/>
          <w:b w:val="0"/>
          <w:color w:val="000000"/>
          <w:sz w:val="32"/>
          <w:szCs w:val="32"/>
        </w:rPr>
        <w:t>二、全球流行概况</w:t>
      </w:r>
    </w:p>
    <w:p w14:paraId="61393480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综合以下内容，用两至三段概述全球流行情况，最后罗列信息来源。</w:t>
      </w:r>
    </w:p>
    <w:p w14:paraId="50D4EFC4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1. 数据范围与截止时间：明确报告年度、统计截止日期、覆盖国家和地区，以及病例定义差异。</w:t>
      </w:r>
    </w:p>
    <w:p w14:paraId="2A349D84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2. 全球疫情规模：报告病例、实验室确诊、重症和死亡数；必要时给出发病率和病死率。</w:t>
      </w:r>
    </w:p>
    <w:p w14:paraId="5906DCFE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3. 时间趋势：与上年同期、近5年基线或历史峰值比较，判断是上升、下降还是异常波动。</w:t>
      </w:r>
    </w:p>
    <w:p w14:paraId="4CDAD71B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4. 地理分布：简要概述全球分布，包括传统流行区、地方性流行范围及近年来的地理扩展。</w:t>
      </w:r>
    </w:p>
    <w:p w14:paraId="4E0FECED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5. 疫情扩展特征：是否出现流行季提前或延长、受影响国家增加、向非传统流行区扩展，以及跨区域或跨国传播增加。</w:t>
      </w:r>
    </w:p>
    <w:p w14:paraId="31BF7D18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检索来源：检索世界卫生组织、美国CDC、欧盟CDC、英国公共卫生署、加拿大公共卫生署、澳大利亚公共卫生署、新西兰公共卫生署、日本国立传染病研究所、中国疾病预防控制中心、中国香港卫生署、中国澳门卫生局、中国台湾卫生福利部疾病管制署等机构的官方网站，获取全球疫情数据；检索时核实机构现名及官方入口，如机构已更名或调整，使用其现行官方机构或继任机构的资料。</w:t>
      </w:r>
    </w:p>
    <w:p w14:paraId="6A83A7DA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信息来源：只列实际访问并核实的HTTP(S)网络链接，注明机构名称、资料标题、发布日期或数据截至日期及访问日期；不得展示本地文件名、路径、定位、哈希或证据编号。</w:t>
      </w:r>
    </w:p>
    <w:p w14:paraId="55225F39">
      <w:pPr>
        <w:keepNext/>
        <w:keepLines/>
        <w:widowControl/>
        <w:spacing w:before="0" w:after="0" w:line="540" w:lineRule="exact"/>
        <w:ind w:left="0" w:right="0" w:firstLineChars="200"/>
        <w:jc w:val="both"/>
        <w:outlineLvl w:val="3"/>
      </w:pPr>
      <w:r>
        <w:rPr>
          <w:rFonts w:hint="eastAsia" w:ascii="黑体" w:hAnsi="黑体" w:eastAsia="黑体" w:cs="黑体"/>
          <w:b w:val="0"/>
          <w:color w:val="000000"/>
          <w:sz w:val="32"/>
          <w:szCs w:val="32"/>
        </w:rPr>
        <w:t>三、重点国家流行情况</w:t>
      </w:r>
    </w:p>
    <w:p w14:paraId="74549EBA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按照《参赛国家和地区名单.csv》中的国家和地区逐一检索分析，覆盖全部名单条目；正文列出具有相关疫情的重点国家和地区。经核实本期无相关疫情的可不列出；未检索到资料或网站无法访问不能等同于无疫情，应保留待核实状态。</w:t>
      </w:r>
    </w:p>
    <w:p w14:paraId="51A27242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检索来源：国家和地区卫生部门官方网站，以及世界卫生组织、美国CDC、欧盟CDC、英国公共卫生署、加拿大公共卫生署、澳大利亚公共卫生署、新西兰公共卫生署、日本国立传染病研究所、中国疾病预防控制中心、中国香港卫生署、中国澳门卫生局、中国台湾卫生福利部疾病管制署等机构的官方网站；可参考重要媒体机构报道、用户提供的HealthMap文件中的具体内容，必要时开展拓展检索。媒体和HealthMap信息应回溯原始来源并优先交叉核实；未提供HealthMap文件时，不得假定已读取。</w:t>
      </w:r>
    </w:p>
    <w:p w14:paraId="162CCC39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每个重点国家和地区采用下列统一“小卡片”结构，按实际纳入数量逐一重复：</w:t>
      </w:r>
    </w:p>
    <w:p w14:paraId="67CC683D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国家/地区名称</w:t>
      </w:r>
    </w:p>
    <w:p w14:paraId="27828A4C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1. 疫情规模和截止时间：病例数量、病例定义与统计口径、数据截止日期。</w:t>
      </w:r>
    </w:p>
    <w:p w14:paraId="0CEFF212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2. 重症、死亡和医疗负担：重症数、死亡数及住院或医疗服务压力。</w:t>
      </w:r>
    </w:p>
    <w:p w14:paraId="187041EC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3. 主要受影响地区：重点省州、城市或其他地域。</w:t>
      </w:r>
    </w:p>
    <w:p w14:paraId="6CD8EF40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4. 年龄、职业或其他重点人群：主要受影响及高风险人群。</w:t>
      </w:r>
    </w:p>
    <w:p w14:paraId="79D8FD80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5. 与上年同期及历史基线比较：病例、死亡或传播范围的变化；无可比资料时明确说明。</w:t>
      </w:r>
    </w:p>
    <w:p w14:paraId="7628EAC0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6. 监测、实验室及病例管理能力：病例发现、实验室检测、报告及时性与诊疗管理能力。</w:t>
      </w:r>
    </w:p>
    <w:p w14:paraId="5347FEB3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7. 其他重要信息：与该病种、本轮疫情或赛事相关的重要补充情况。</w:t>
      </w:r>
    </w:p>
    <w:p w14:paraId="50A20ED5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8. 信息来源：只列实际访问并核实的HTTP(S)网络链接，并注明机构、资料标题及数据截止日期；不得展示本地文件名、路径、定位、哈希或证据编号。</w:t>
      </w:r>
    </w:p>
    <w:p w14:paraId="03620979">
      <w:pPr>
        <w:keepNext/>
        <w:keepLines/>
        <w:widowControl/>
        <w:spacing w:before="0" w:after="0" w:line="540" w:lineRule="exact"/>
        <w:ind w:left="0" w:right="0" w:firstLineChars="200"/>
        <w:jc w:val="both"/>
        <w:outlineLvl w:val="3"/>
      </w:pPr>
      <w:r>
        <w:rPr>
          <w:rFonts w:hint="eastAsia" w:ascii="黑体" w:hAnsi="黑体" w:eastAsia="黑体" w:cs="黑体"/>
          <w:b w:val="0"/>
          <w:color w:val="000000"/>
          <w:sz w:val="32"/>
          <w:szCs w:val="32"/>
        </w:rPr>
        <w:t>四、风险因素</w:t>
      </w:r>
    </w:p>
    <w:p w14:paraId="3B02FF39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本部分介绍影响相关疾病传播、扩散、流行和防控的重要因素，重点帮助读者理解该疾病如果传播至上海市，可能的影响因素。综合以下内容，用两至三段简要概述，并区分一般机制与已有证据支持的本地条件。</w:t>
      </w:r>
    </w:p>
    <w:p w14:paraId="1B106687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1. 病原体与人群免疫因素：如血清型转换、多血清型共流行、人群免疫空白。</w:t>
      </w:r>
    </w:p>
    <w:p w14:paraId="0ED94D21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2. 媒介与生态因素：媒介分布扩大、温度、降水、极端气候和媒介抗药性；非媒介传播疾病按其实际环境条件分析，不机械套用媒介因素。</w:t>
      </w:r>
    </w:p>
    <w:p w14:paraId="2305D7A4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3. 人口与社会因素：城市化、人口密度、跨境旅行、迁移、冲突和人道主义危机。</w:t>
      </w:r>
    </w:p>
    <w:p w14:paraId="27F941FA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4. 发现与报告能力：病例定义不一致、误诊漏诊、实验室检测不足、报告延迟。</w:t>
      </w:r>
    </w:p>
    <w:p w14:paraId="5B38DD55">
      <w:pPr>
        <w:widowControl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5. 防控与卫生系统能力：媒介控制或相应传播途径控制、病例管理、物资、人力和协调机制是否足以应对多地同时暴发。</w:t>
      </w:r>
    </w:p>
    <w:sectPr>
      <w:pgSz w:w="11906" w:h="16838"/>
      <w:pgMar w:top="1440" w:right="1587" w:bottom="1440" w:left="1587" w:header="851" w:footer="9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小标宋简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ED083E"/>
    <w:rsid w:val="0782682F"/>
    <w:rsid w:val="08185946"/>
    <w:rsid w:val="09AE4C7F"/>
    <w:rsid w:val="0B056276"/>
    <w:rsid w:val="10D66437"/>
    <w:rsid w:val="16D9284F"/>
    <w:rsid w:val="22FD5A1A"/>
    <w:rsid w:val="28683AFD"/>
    <w:rsid w:val="2A6C2600"/>
    <w:rsid w:val="32632EA7"/>
    <w:rsid w:val="355F614C"/>
    <w:rsid w:val="3DB7453A"/>
    <w:rsid w:val="430C640E"/>
    <w:rsid w:val="44A75D9F"/>
    <w:rsid w:val="4DA35A88"/>
    <w:rsid w:val="4DB72C31"/>
    <w:rsid w:val="57EE371D"/>
    <w:rsid w:val="585A14F2"/>
    <w:rsid w:val="5C3A3F98"/>
    <w:rsid w:val="70001E21"/>
    <w:rsid w:val="76F47A9A"/>
    <w:rsid w:val="7FB33D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56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55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38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45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4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41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61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3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3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62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6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4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60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9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37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8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139">
    <w:name w:val="List Paragraph"/>
    <w:basedOn w:val="1"/>
    <w:qFormat/>
    <w:uiPriority w:val="34"/>
    <w:pPr>
      <w:ind w:left="720"/>
      <w:contextualSpacing/>
    </w:pPr>
  </w:style>
  <w:style w:type="character" w:customStyle="1" w:styleId="14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41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4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43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4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5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6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7">
    <w:name w:val="Header Char"/>
    <w:basedOn w:val="133"/>
    <w:link w:val="25"/>
    <w:qFormat/>
    <w:uiPriority w:val="99"/>
  </w:style>
  <w:style w:type="character" w:customStyle="1" w:styleId="148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49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5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151">
    <w:name w:val="Quote"/>
    <w:basedOn w:val="1"/>
    <w:next w:val="1"/>
    <w:link w:val="15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52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53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54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56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57">
    <w:name w:val="Intense Quote Char"/>
    <w:basedOn w:val="133"/>
    <w:link w:val="144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Quote Char"/>
    <w:basedOn w:val="133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9">
    <w:name w:val="Book Title"/>
    <w:basedOn w:val="133"/>
    <w:qFormat/>
    <w:uiPriority w:val="33"/>
    <w:rPr>
      <w:b/>
      <w:bCs/>
      <w:smallCaps/>
      <w:spacing w:val="5"/>
    </w:rPr>
  </w:style>
  <w:style w:type="character" w:customStyle="1" w:styleId="160">
    <w:name w:val="Body Text 2 Char"/>
    <w:basedOn w:val="133"/>
    <w:link w:val="28"/>
    <w:qFormat/>
    <w:uiPriority w:val="99"/>
  </w:style>
  <w:style w:type="character" w:customStyle="1" w:styleId="161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2">
    <w:name w:val="Body Text Char"/>
    <w:basedOn w:val="133"/>
    <w:link w:val="19"/>
    <w:qFormat/>
    <w:uiPriority w:val="99"/>
  </w:style>
  <w:style w:type="character" w:customStyle="1" w:styleId="163">
    <w:name w:val="Footer Char"/>
    <w:basedOn w:val="133"/>
    <w:link w:val="24"/>
    <w:qFormat/>
    <w:uiPriority w:val="99"/>
  </w:style>
  <w:style w:type="character" w:customStyle="1" w:styleId="164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8670</Words>
  <Characters>9076</Characters>
  <TotalTime>2</TotalTime>
  <ScaleCrop>false</ScaleCrop>
  <LinksUpToDate>false</LinksUpToDate>
  <CharactersWithSpaces>9179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2026-09-09T19:57:00Z</dcterms:created>
  <dc:creator>guoxijin</dc:creator>
  <cp:lastModifiedBy>WPS_1649641407</cp:lastModifiedBy>
  <dcterms:modified xsi:type="dcterms:W3CDTF">2026-09-10T01:58:42Z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eyJoZGlkIjoiYzg0YWI1MTAwZDRhNmU3ODdhYTE0Mjk1ZTJlZWQ1MWMiLCJ1c2VySWQiOiIxMzU1Mjg1NjYxIn0=</vt:lpwstr>
  </property>
  <property fmtid="{D5CDD505-2E9C-101B-9397-08002B2CF9AE}" pid="3" name="KSOProductBuildVer">
    <vt:lpwstr>2052-12.1.0.28505</vt:lpwstr>
  </property>
  <property fmtid="{D5CDD505-2E9C-101B-9397-08002B2CF9AE}" pid="4" name="ICV">
    <vt:lpwstr>02CC8988601341ECB5BA4E3D1F9219BA_12</vt:lpwstr>
  </property>
</Properties>
</file>