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ponse-to-reviewers-agrcom-d-26-00673"/>
    <w:p>
      <w:pPr>
        <w:pStyle w:val="Heading1"/>
      </w:pPr>
      <w:r>
        <w:t xml:space="preserve">Response to Reviewers — AGRCOM-D-26-00673</w:t>
      </w:r>
    </w:p>
    <w:p>
      <w:pPr>
        <w:pStyle w:val="FirstParagraph"/>
      </w:pPr>
      <w:r>
        <w:rPr>
          <w:b/>
          <w:bCs/>
        </w:rPr>
        <w:t xml:space="preserve">Manuscript</w:t>
      </w:r>
      <w:r>
        <w:t xml:space="preserve">: NutriAgent: a controlled evaluation of specialist routing for layer-hen nutrition question answering</w:t>
      </w:r>
      <w:r>
        <w:t xml:space="preserve"> </w:t>
      </w:r>
      <w:r>
        <w:rPr>
          <w:b/>
          <w:bCs/>
        </w:rPr>
        <w:t xml:space="preserve">Journal</w:t>
      </w:r>
      <w:r>
        <w:t xml:space="preserve">: Agriculture Communications</w:t>
      </w:r>
      <w:r>
        <w:t xml:space="preserve"> </w:t>
      </w:r>
      <w:r>
        <w:rPr>
          <w:b/>
          <w:bCs/>
        </w:rPr>
        <w:t xml:space="preserve">Decision</w:t>
      </w:r>
      <w:r>
        <w:t xml:space="preserve">: Major revision</w:t>
      </w:r>
      <w:r>
        <w:t xml:space="preserve"> </w:t>
      </w:r>
      <w:r>
        <w:rPr>
          <w:b/>
          <w:bCs/>
        </w:rPr>
        <w:t xml:space="preserve">Reviewers</w:t>
      </w:r>
      <w:r>
        <w:t xml:space="preserve">: 4 (78 comments: R1 = 5, R2 = 42, R3 = 18, R4 = 13)</w:t>
      </w:r>
    </w:p>
    <w:p>
      <w:pPr>
        <w:pStyle w:val="BlockText"/>
      </w:pPr>
      <w:r>
        <w:t xml:space="preserve">Status: final response letter. Expert scoring is complete (primary 378 responses; an</w:t>
      </w:r>
      <w:r>
        <w:t xml:space="preserve"> </w:t>
      </w:r>
      <w:r>
        <w:t xml:space="preserve">independent 120-response rater; a repeat 120-response sheet from the primary expert is</w:t>
      </w:r>
      <w:r>
        <w:t xml:space="preserve"> </w:t>
      </w:r>
      <w:r>
        <w:t xml:space="preserve">reported as intra-rater consistency, not independent inter-rater). E4 still has human</w:t>
      </w:r>
      <w:r>
        <w:t xml:space="preserve"> </w:t>
      </w:r>
      <w:r>
        <w:t xml:space="preserve">labels pending; E10 was not used; E14 covers the numeric subset plus a single-coder</w:t>
      </w:r>
      <w:r>
        <w:t xml:space="preserve"> </w:t>
      </w:r>
      <w:r>
        <w:t xml:space="preserve">descriptive non-numeric audit (S10); a two-coder kappa is not claimed. All D2–D6</w:t>
      </w:r>
      <w:r>
        <w:t xml:space="preserve"> </w:t>
      </w:r>
      <w:r>
        <w:t xml:space="preserve">correctness cells are n=54; precision/depth cells with n&lt;54 are labeled. Page anchors</w:t>
      </w:r>
      <w:r>
        <w:t xml:space="preserve"> </w:t>
      </w:r>
      <w:r>
        <w:t xml:space="preserve">below are for the Rev.1 PDF with line numbers. The only author-side open item is the</w:t>
      </w:r>
      <w:r>
        <w:t xml:space="preserve"> </w:t>
      </w:r>
      <w:r>
        <w:t xml:space="preserve">public repository push.</w:t>
      </w:r>
    </w:p>
    <w:bookmarkStart w:id="9" w:name="manuscript-location-guide"/>
    <w:p>
      <w:pPr>
        <w:pStyle w:val="Heading2"/>
      </w:pPr>
      <w:r>
        <w:t xml:space="preserve">Manuscript location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3.2, main expert comparison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3.3, query-type/domain breakdown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3.4, faithfulness and inconsistency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3.5, bilingual and cost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3.6.1, component ablation</w:t>
            </w:r>
          </w:p>
        </w:tc>
        <w:tc>
          <w:tcPr/>
          <w:p>
            <w:pPr>
              <w:pStyle w:val="Compact"/>
            </w:pPr>
            <w:r>
              <w:t xml:space="preserve">21, 26, 29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8, NutriAgent vs NutriCHAT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9, expert main comparison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10, paired comparisons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11, by query type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5, main expert comparison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8, query-type/domain breakdown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9, domain radar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10, bilingual comparison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and code availability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</w:tbl>
    <w:p>
      <w:pPr>
        <w:pStyle w:val="BodyText"/>
      </w:pPr>
      <w:r>
        <w:t xml:space="preserve">The PDF has continuous line numbers; the page map is also in</w:t>
      </w:r>
      <w:r>
        <w:t xml:space="preserve"> </w:t>
      </w:r>
      <w:r>
        <w:rPr>
          <w:rStyle w:val="VerbatimChar"/>
        </w:rPr>
        <w:t xml:space="preserve">docs/paper/audit/manuscript_page_map.md</w:t>
      </w:r>
      <w:r>
        <w:t xml:space="preserve">.</w:t>
      </w:r>
    </w:p>
    <w:bookmarkEnd w:id="9"/>
    <w:bookmarkStart w:id="10" w:name="status-summary"/>
    <w:p>
      <w:pPr>
        <w:pStyle w:val="Heading2"/>
      </w:pPr>
      <w:r>
        <w:t xml:space="preserve">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new evidence/text with a manuscript 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addressed, with an explicit remaining limitation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not done; stated as a 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AUTHOR_INPUT</w:t>
            </w:r>
          </w:p>
        </w:tc>
        <w:tc>
          <w:tcPr/>
          <w:p>
            <w:pPr>
              <w:pStyle w:val="Compact"/>
            </w:pPr>
            <w:r>
              <w:t xml:space="preserve">repository/author detail still needed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All 78 comments are addressed; the letter does not claim that every requested analysis was completed.</w:t>
      </w:r>
    </w:p>
    <w:bookmarkEnd w:id="10"/>
    <w:bookmarkStart w:id="11" w:name="general-response"/>
    <w:p>
      <w:pPr>
        <w:pStyle w:val="Heading2"/>
      </w:pPr>
      <w:r>
        <w:t xml:space="preserve">General response</w:t>
      </w:r>
    </w:p>
    <w:p>
      <w:pPr>
        <w:pStyle w:val="FirstParagraph"/>
      </w:pPr>
      <w:r>
        <w:t xml:space="preserve">We thank the editor and the four reviewers for a detailed and unusually</w:t>
      </w:r>
      <w:r>
        <w:t xml:space="preserve"> </w:t>
      </w:r>
      <w:r>
        <w:t xml:space="preserve">constructive set of comments. The revision narrows the claims to what the</w:t>
      </w:r>
      <w:r>
        <w:t xml:space="preserve"> </w:t>
      </w:r>
      <w:r>
        <w:t xml:space="preserve">evidence supports: the reviewers identified places where the submitted</w:t>
      </w:r>
      <w:r>
        <w:t xml:space="preserve"> </w:t>
      </w:r>
      <w:r>
        <w:t xml:space="preserve">manuscript described behavior the code did not implement, and several</w:t>
      </w:r>
      <w:r>
        <w:t xml:space="preserve"> </w:t>
      </w:r>
      <w:r>
        <w:t xml:space="preserve">conclusions that the original design could not support. We have therefore</w:t>
      </w:r>
      <w:r>
        <w:t xml:space="preserve"> </w:t>
      </w:r>
      <w:r>
        <w:t xml:space="preserve">recalibrated the contribution rather than defending the original framing.</w:t>
      </w:r>
    </w:p>
    <w:p>
      <w:pPr>
        <w:pStyle w:val="BodyText"/>
      </w:pPr>
      <w:r>
        <w:t xml:space="preserve">The revision makes four structural changes. Table 7 in the manuscript is a</w:t>
      </w:r>
      <w:r>
        <w:t xml:space="preserve"> </w:t>
      </w:r>
      <w:r>
        <w:t xml:space="preserve">compact claim-calibration summary; the full matrix is Table S17. We summarize</w:t>
      </w:r>
      <w:r>
        <w:t xml:space="preserve"> </w:t>
      </w:r>
      <w:r>
        <w:t xml:space="preserve">the main changes below.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Factorial controls replace the confounded D1/D5 comparisons.</w:t>
      </w:r>
      <w:r>
        <w:t xml:space="preserve"> </w:t>
      </w:r>
      <w:r>
        <w:t xml:space="preserve">The original</w:t>
      </w:r>
      <w:r>
        <w:t xml:space="preserve"> </w:t>
      </w:r>
      <w:r>
        <w:t xml:space="preserve">“pipeline architecture”</w:t>
      </w:r>
      <w:r>
        <w:t xml:space="preserve"> </w:t>
      </w:r>
      <w:r>
        <w:t xml:space="preserve">contrast compared a multi-agent pipeline against a</w:t>
      </w:r>
      <w:r>
        <w:t xml:space="preserve"> </w:t>
      </w:r>
      <w:r>
        <w:t xml:space="preserve">condition that was supposed to be a no-ReAct single agent, and the original</w:t>
      </w:r>
      <w:r>
        <w:t xml:space="preserve"> </w:t>
      </w:r>
      <w:r>
        <w:t xml:space="preserve">“synthesis”</w:t>
      </w:r>
      <w:r>
        <w:t xml:space="preserve"> </w:t>
      </w:r>
      <w:r>
        <w:t xml:space="preserve">contrast changed concatenation, validation, and an extra LLM call</w:t>
      </w:r>
      <w:r>
        <w:t xml:space="preserve"> </w:t>
      </w:r>
      <w:r>
        <w:t xml:space="preserve">at once. Neither can attribute the observed difference. We added a</w:t>
      </w:r>
      <w:r>
        <w:t xml:space="preserve"> </w:t>
      </w:r>
      <w:r>
        <w:t xml:space="preserve">six-condition architecture factorial (E1: standalone, tools-only, tools+RAG,</w:t>
      </w:r>
      <w:r>
        <w:t xml:space="preserve"> </w:t>
      </w:r>
      <w:r>
        <w:t xml:space="preserve">tools+RAG+synthesis, multi-agent with validation off/on) and a six-condition</w:t>
      </w:r>
      <w:r>
        <w:t xml:space="preserve"> </w:t>
      </w:r>
      <w:r>
        <w:t xml:space="preserve">synthesis factorial (E2: concatenation, validation+concatenation, synthesis</w:t>
      </w:r>
      <w:r>
        <w:t xml:space="preserve"> </w:t>
      </w:r>
      <w:r>
        <w:t xml:space="preserve">with validation off/shuffled/correct, query-only synthesis). All conditions</w:t>
      </w:r>
      <w:r>
        <w:t xml:space="preserve"> </w:t>
      </w:r>
      <w:r>
        <w:t xml:space="preserve">share the same backbone and output budget.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consistency-checking layer was rebuilt.</w:t>
      </w:r>
      <w:r>
        <w:t xml:space="preserve"> </w:t>
      </w:r>
      <w:r>
        <w:t xml:space="preserve">The submitted regex-based</w:t>
      </w:r>
      <w:r>
        <w:t xml:space="preserve"> </w:t>
      </w:r>
      <w:r>
        <w:t xml:space="preserve">checks could read</w:t>
      </w:r>
      <w:r>
        <w:t xml:space="preserve"> </w:t>
      </w:r>
      <w:r>
        <w:t xml:space="preserve">“crude protein … 8.8”</w:t>
      </w:r>
      <w:r>
        <w:t xml:space="preserve"> </w:t>
      </w:r>
      <w:r>
        <w:t xml:space="preserve">as phosphorus and</w:t>
      </w:r>
      <w:r>
        <w:t xml:space="preserve"> </w:t>
      </w:r>
      <w:r>
        <w:t xml:space="preserve">“cage 6”</w:t>
      </w:r>
      <w:r>
        <w:t xml:space="preserve"> </w:t>
      </w:r>
      <w:r>
        <w:t xml:space="preserve">as calcium,</w:t>
      </w:r>
      <w:r>
        <w:t xml:space="preserve"> </w:t>
      </w:r>
      <w:r>
        <w:t xml:space="preserve">and the Ca:P rule is not appropriate as a universal layer-hen constraint. The</w:t>
      </w:r>
      <w:r>
        <w:t xml:space="preserve"> </w:t>
      </w:r>
      <w:r>
        <w:t xml:space="preserve">new validator compares entity, attribute, unit, and basis, uses a curated</w:t>
      </w:r>
      <w:r>
        <w:t xml:space="preserve"> </w:t>
      </w:r>
      <w:r>
        <w:t xml:space="preserve">ingredient alias table, and treats Ca:P as an opt-in check. We report its</w:t>
      </w:r>
      <w:r>
        <w:t xml:space="preserve"> </w:t>
      </w:r>
      <w:r>
        <w:t xml:space="preserve">precision/recall on a labeled overlap set rather than asserting that it</w:t>
      </w:r>
      <w:r>
        <w:t xml:space="preserve"> </w:t>
      </w:r>
      <w:r>
        <w:t xml:space="preserve">“validates”</w:t>
      </w:r>
      <w:r>
        <w:t xml:space="preserve"> </w:t>
      </w:r>
      <w:r>
        <w:t xml:space="preserve">specialist outputs.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evaluation record was corrected.</w:t>
      </w:r>
      <w:r>
        <w:t xml:space="preserve"> </w:t>
      </w:r>
      <w:r>
        <w:t xml:space="preserve">The submitted Methods named</w:t>
      </w:r>
      <w:r>
        <w:t xml:space="preserve"> </w:t>
      </w:r>
      <w:r>
        <w:t xml:space="preserve">MiMo-V2.5-Pro as the judge, but the deposited configurations used</w:t>
      </w:r>
      <w:r>
        <w:t xml:space="preserve"> </w:t>
      </w:r>
      <w:r>
        <w:t xml:space="preserve">DeepSeek-V4-Pro with absolute scoring; the reported agreement statistics</w:t>
      </w:r>
      <w:r>
        <w:t xml:space="preserve"> </w:t>
      </w:r>
      <w:r>
        <w:t xml:space="preserve">(ρ = 0.83/0.67/0.37) are not reproducible from the deposited scores. Rev.1</w:t>
      </w:r>
      <w:r>
        <w:t xml:space="preserve"> </w:t>
      </w:r>
      <w:r>
        <w:t xml:space="preserve">re-scores all responses with MiMo-V2.5-Pro and reports agreement against the</w:t>
      </w:r>
      <w:r>
        <w:t xml:space="preserve"> </w:t>
      </w:r>
      <w:r>
        <w:t xml:space="preserve">completed expert scores: ρ = 0.55 (correctness), 0.71 (precision), 0.34</w:t>
      </w:r>
      <w:r>
        <w:t xml:space="preserve"> </w:t>
      </w:r>
      <w:r>
        <w:t xml:space="preserve">(depth); the judge is more lenient on all metrics, and the earlier ρ = 0.038</w:t>
      </w:r>
      <w:r>
        <w:t xml:space="preserve"> </w:t>
      </w:r>
      <w:r>
        <w:t xml:space="preserve">for precision is withdrawn.</w:t>
      </w:r>
      <w:r>
        <w:t xml:space="preserve"> </w:t>
      </w:r>
      <w:r>
        <w:t xml:space="preserve">The main comparison is now complete: the primary expert scored all 378</w:t>
      </w:r>
      <w:r>
        <w:t xml:space="preserve"> </w:t>
      </w:r>
      <w:r>
        <w:t xml:space="preserve">responses, and the Rev.1 result is NutriAgent 4.34 vs 4.05 for the strongest</w:t>
      </w:r>
      <w:r>
        <w:t xml:space="preserve"> </w:t>
      </w:r>
      <w:r>
        <w:t xml:space="preserve">baseline (DeepSeek-V4-Pro); the correctness difference is +0.20 (95% CI −0.09</w:t>
      </w:r>
      <w:r>
        <w:t xml:space="preserve"> </w:t>
      </w:r>
      <w:r>
        <w:t xml:space="preserve">to +0.50; Holm p = 0.146), and the precision difference is +0.50 (unadjusted</w:t>
      </w:r>
      <w:r>
        <w:t xml:space="preserve"> </w:t>
      </w:r>
      <w:r>
        <w:t xml:space="preserve">p = 0.037; p = 0.256 after correction across all dimension tests). The</w:t>
      </w:r>
      <w:r>
        <w:t xml:space="preserve"> </w:t>
      </w:r>
      <w:r>
        <w:t xml:space="preserve">advantage is therefore descriptive and precision-oriented rather than a</w:t>
      </w:r>
      <w:r>
        <w:t xml:space="preserve"> </w:t>
      </w:r>
      <w:r>
        <w:t xml:space="preserve">corrected-significance gain. The submitted 4.42/3.80 numbers are retained</w:t>
      </w:r>
      <w:r>
        <w:t xml:space="preserve"> </w:t>
      </w:r>
      <w:r>
        <w:t xml:space="preserve">only as historical comparison.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Data, query, and model descriptions now match the deposited artifacts.</w:t>
      </w:r>
      <w:r>
        <w:t xml:space="preserve"> </w:t>
      </w:r>
      <w:r>
        <w:t xml:space="preserve">The 20-parameter requirement schema is listed explicitly with units; the 108</w:t>
      </w:r>
      <w:r>
        <w:t xml:space="preserve"> </w:t>
      </w:r>
      <w:r>
        <w:t xml:space="preserve">ingredient records, 103 requirement rows, 1,131 performance rows, 556</w:t>
      </w:r>
      <w:r>
        <w:t xml:space="preserve"> </w:t>
      </w:r>
      <w:r>
        <w:t xml:space="preserve">definitions, and 2,144 PoultryDB documents replace the mixed</w:t>
      </w:r>
      <w:r>
        <w:t xml:space="preserve"> </w:t>
      </w:r>
      <w:r>
        <w:t xml:space="preserve">“~14,800 data</w:t>
      </w:r>
      <w:r>
        <w:t xml:space="preserve"> </w:t>
      </w:r>
      <w:r>
        <w:t xml:space="preserve">points”</w:t>
      </w:r>
      <w:r>
        <w:t xml:space="preserve"> </w:t>
      </w:r>
      <w:r>
        <w:t xml:space="preserve">total; 59 phase labels (55 nutrition + 4 vitamin-only) are mapped</w:t>
      </w:r>
      <w:r>
        <w:t xml:space="preserve"> </w:t>
      </w:r>
      <w:r>
        <w:t xml:space="preserve">with a stated mapping type, with 53 mapped to seven reference phases and 6</w:t>
      </w:r>
      <w:r>
        <w:t xml:space="preserve"> </w:t>
      </w:r>
      <w:r>
        <w:t xml:space="preserve">marked unmapped; per-breed provenance distinguishes breeder guides, the</w:t>
      </w:r>
      <w:r>
        <w:t xml:space="preserve"> </w:t>
      </w:r>
      <w:r>
        <w:t xml:space="preserve">jbzyw.com aggregator, and public feed tables, with unresolved source fields</w:t>
      </w:r>
      <w:r>
        <w:t xml:space="preserve"> </w:t>
      </w:r>
      <w:r>
        <w:t xml:space="preserve">flagged. The model set is frozen in Table 3 and</w:t>
      </w:r>
      <w:r>
        <w:t xml:space="preserve"> </w:t>
      </w:r>
      <w:r>
        <w:rPr>
          <w:rStyle w:val="VerbatimChar"/>
        </w:rPr>
        <w:t xml:space="preserve">config/models.lock.yaml</w:t>
      </w:r>
      <w:r>
        <w:t xml:space="preserve">, with provider, exact model ID, access date,</w:t>
      </w:r>
      <w:r>
        <w:t xml:space="preserve"> </w:t>
      </w:r>
      <w:r>
        <w:t xml:space="preserve">thinking mode, and pricing date.</w:t>
      </w:r>
    </w:p>
    <w:bookmarkEnd w:id="11"/>
    <w:bookmarkStart w:id="12" w:name="conclusion-level-changes"/>
    <w:p>
      <w:pPr>
        <w:pStyle w:val="Heading2"/>
      </w:pPr>
      <w:r>
        <w:t xml:space="preserve">Conclusion-level changes</w:t>
      </w:r>
    </w:p>
    <w:p>
      <w:pPr>
        <w:pStyle w:val="FirstParagraph"/>
      </w:pPr>
      <w:r>
        <w:t xml:space="preserve">We were asked to identify changes that affect the paper’s conclusions. Five</w:t>
      </w:r>
      <w:r>
        <w:t xml:space="preserve"> </w:t>
      </w:r>
      <w:r>
        <w:t xml:space="preserve">changes are substantive; all are documented in</w:t>
      </w:r>
      <w:r>
        <w:t xml:space="preserve"> </w:t>
      </w:r>
      <w:r>
        <w:rPr>
          <w:rStyle w:val="VerbatimChar"/>
        </w:rPr>
        <w:t xml:space="preserve">docs/paper/audit/conclusion_changes.md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claim that synthesis / cross-validation is the dominant driver is</w:t>
      </w:r>
      <w:r>
        <w:rPr>
          <w:b/>
          <w:bCs/>
        </w:rPr>
        <w:t xml:space="preserve"> </w:t>
      </w:r>
      <w:r>
        <w:rPr>
          <w:b/>
          <w:bCs/>
        </w:rPr>
        <w:t xml:space="preserve">withdrawn.</w:t>
      </w:r>
      <w:r>
        <w:t xml:space="preserve"> </w:t>
      </w:r>
      <w:r>
        <w:t xml:space="preserve">E1 shows that the extra synthesis call without decomposition</w:t>
      </w:r>
      <w:r>
        <w:t xml:space="preserve"> </w:t>
      </w:r>
      <w:r>
        <w:t xml:space="preserve">(4.48 correctness) is not better than RAG alone (4.54), while the multi-agent</w:t>
      </w:r>
      <w:r>
        <w:t xml:space="preserve"> </w:t>
      </w:r>
      <w:r>
        <w:t xml:space="preserve">pipeline reaches 4.74 (validation off) and 4.83 (validation on). The synthesis</w:t>
      </w:r>
      <w:r>
        <w:t xml:space="preserve"> </w:t>
      </w:r>
      <w:r>
        <w:t xml:space="preserve">factorial (E2) is the direct test; the submitted 24.2% / −29.7% attribution is</w:t>
      </w:r>
      <w:r>
        <w:t xml:space="preserve"> </w:t>
      </w:r>
      <w:r>
        <w:t xml:space="preserve">not used.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claim that the multi-agent pipeline improves correctness by 5.3% and</w:t>
      </w:r>
      <w:r>
        <w:rPr>
          <w:b/>
          <w:bCs/>
        </w:rPr>
        <w:t xml:space="preserve"> </w:t>
      </w:r>
      <w:r>
        <w:rPr>
          <w:b/>
          <w:bCs/>
        </w:rPr>
        <w:t xml:space="preserve">reduces inconsistency by 48.3% is withdrawn.</w:t>
      </w:r>
      <w:r>
        <w:t xml:space="preserve"> </w:t>
      </w:r>
      <w:r>
        <w:t xml:space="preserve">The no-ReAct row was produced</w:t>
      </w:r>
      <w:r>
        <w:t xml:space="preserve"> </w:t>
      </w:r>
      <w:r>
        <w:t xml:space="preserve">by the full pipeline because a case-sensitive dispatch check silently fell</w:t>
      </w:r>
      <w:r>
        <w:t xml:space="preserve"> </w:t>
      </w:r>
      <w:r>
        <w:t xml:space="preserve">through; the condition never executed. Rev.1 implements a true single-pass</w:t>
      </w:r>
      <w:r>
        <w:t xml:space="preserve"> </w:t>
      </w:r>
      <w:r>
        <w:t xml:space="preserve">tool-call condition. Tools-only scores below the standalone LLM (4.31 vs</w:t>
      </w:r>
      <w:r>
        <w:t xml:space="preserve"> </w:t>
      </w:r>
      <w:r>
        <w:t xml:space="preserve">4.63); RAG recovers most of the gap (4.54); decomposition raises correctness</w:t>
      </w:r>
      <w:r>
        <w:t xml:space="preserve"> </w:t>
      </w:r>
      <w:r>
        <w:t xml:space="preserve">(4.74/4.83); validation adds a small correctness/precision gain (+0.09/+0.08)</w:t>
      </w:r>
      <w:r>
        <w:t xml:space="preserve"> </w:t>
      </w:r>
      <w:r>
        <w:t xml:space="preserve">at a depth cost (−0.18). These differences are small and are not</w:t>
      </w:r>
      <w:r>
        <w:t xml:space="preserve"> </w:t>
      </w:r>
      <w:r>
        <w:t xml:space="preserve">significance-tested in the automated-judge analysis.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“Hallucination reduced by 70%”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“56% of numbers come from parametric</w:t>
      </w:r>
      <w:r>
        <w:rPr>
          <w:b/>
          <w:bCs/>
        </w:rPr>
        <w:t xml:space="preserve"> </w:t>
      </w:r>
      <w:r>
        <w:rPr>
          <w:b/>
          <w:bCs/>
        </w:rPr>
        <w:t xml:space="preserve">knowledge”</w:t>
      </w:r>
      <w:r>
        <w:rPr>
          <w:b/>
          <w:bCs/>
        </w:rPr>
        <w:t xml:space="preserve"> </w:t>
      </w:r>
      <w:r>
        <w:rPr>
          <w:b/>
          <w:bCs/>
        </w:rPr>
        <w:t xml:space="preserve">are reframed.</w:t>
      </w:r>
      <w:r>
        <w:t xml:space="preserve"> </w:t>
      </w:r>
      <w:r>
        <w:t xml:space="preserve">SelfCheckGPT-NLI measures cross-sample</w:t>
      </w:r>
      <w:r>
        <w:t xml:space="preserve"> </w:t>
      </w:r>
      <w:r>
        <w:t xml:space="preserve">inconsistency, not factual error; the metric is renamed accordingly, and the</w:t>
      </w:r>
      <w:r>
        <w:t xml:space="preserve"> </w:t>
      </w:r>
      <w:r>
        <w:t xml:space="preserve">56% figure is withdrawn because the any-number ±5% match ignores entity and</w:t>
      </w:r>
      <w:r>
        <w:t xml:space="preserve"> </w:t>
      </w:r>
      <w:r>
        <w:t xml:space="preserve">unit. A claim-aware audit (E4) is reported with its parser caveat; the guarded</w:t>
      </w:r>
      <w:r>
        <w:t xml:space="preserve"> </w:t>
      </w:r>
      <w:r>
        <w:t xml:space="preserve">synthesis condition (E3b) is not completed.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evaluator-agreement claim is corrected.</w:t>
      </w:r>
      <w:r>
        <w:t xml:space="preserve"> </w:t>
      </w:r>
      <w:r>
        <w:t xml:space="preserve">Against the completed Rev.1</w:t>
      </w:r>
      <w:r>
        <w:t xml:space="preserve"> </w:t>
      </w:r>
      <w:r>
        <w:t xml:space="preserve">expert scores, the Spearman correlations are 0.55 (correctness), 0.71</w:t>
      </w:r>
      <w:r>
        <w:t xml:space="preserve"> </w:t>
      </w:r>
      <w:r>
        <w:t xml:space="preserve">(precision), and 0.34 (depth); the judge is more lenient on all metrics. The</w:t>
      </w:r>
      <w:r>
        <w:t xml:space="preserve"> </w:t>
      </w:r>
      <w:r>
        <w:t xml:space="preserve">earlier ρ = 0.038 for precision is withdrawn; dimension-level correlations are</w:t>
      </w:r>
      <w:r>
        <w:t xml:space="preserve"> </w:t>
      </w:r>
      <w:r>
        <w:t xml:space="preserve">removed because the expert did not score ablation variants.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“design principle”</w:t>
      </w:r>
      <w:r>
        <w:rPr>
          <w:b/>
          <w:bCs/>
        </w:rPr>
        <w:t xml:space="preserve"> </w:t>
      </w:r>
      <w:r>
        <w:rPr>
          <w:b/>
          <w:bCs/>
        </w:rPr>
        <w:t xml:space="preserve">is replaced by a testable hypothesis.</w:t>
      </w:r>
      <w:r>
        <w:t xml:space="preserve"> </w:t>
      </w:r>
      <w:r>
        <w:t xml:space="preserve">The abstract</w:t>
      </w:r>
      <w:r>
        <w:t xml:space="preserve"> </w:t>
      </w:r>
      <w:r>
        <w:t xml:space="preserve">and conclusion now state that, in retrieval-dominated nutrition QA, grounding</w:t>
      </w:r>
      <w:r>
        <w:t xml:space="preserve"> </w:t>
      </w:r>
      <w:r>
        <w:t xml:space="preserve">and integration matter more than the number of specialists, and that</w:t>
      </w:r>
      <w:r>
        <w:t xml:space="preserve"> </w:t>
      </w:r>
      <w:r>
        <w:t xml:space="preserve">consistency checking is worth its cost only when specialist outputs overlap</w:t>
      </w:r>
      <w:r>
        <w:t xml:space="preserve"> </w:t>
      </w:r>
      <w:r>
        <w:t xml:space="preserve">on the same entity and attribute. This is conditional on the task, data</w:t>
      </w:r>
      <w:r>
        <w:t xml:space="preserve"> </w:t>
      </w:r>
      <w:r>
        <w:t xml:space="preserve">coverage, and judge; it is not a general principle.</w:t>
      </w:r>
    </w:p>
    <w:bookmarkEnd w:id="12"/>
    <w:bookmarkStart w:id="13" w:name="X7815e5aa2b7656f96c663d346242d6bb9b40362"/>
    <w:p>
      <w:pPr>
        <w:pStyle w:val="Heading2"/>
      </w:pPr>
      <w:r>
        <w:t xml:space="preserve">Implementation corrections stated explicitly</w:t>
      </w:r>
    </w:p>
    <w:p>
      <w:pPr>
        <w:pStyle w:val="FirstParagraph"/>
      </w:pPr>
      <w:r>
        <w:t xml:space="preserve">We prefer to state these plainly rather than bury them in Methods.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What the submitted version said</w:t>
            </w:r>
          </w:p>
        </w:tc>
        <w:tc>
          <w:tcPr/>
          <w:p>
            <w:pPr>
              <w:pStyle w:val="Compact"/>
            </w:pPr>
            <w:r>
              <w:t xml:space="preserve">What the code did</w:t>
            </w:r>
          </w:p>
        </w:tc>
        <w:tc>
          <w:tcPr/>
          <w:p>
            <w:pPr>
              <w:pStyle w:val="Compact"/>
            </w:pPr>
            <w:r>
              <w:t xml:space="preserve">Rev.1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No-ReAct condition</w:t>
            </w:r>
          </w:p>
        </w:tc>
        <w:tc>
          <w:tcPr/>
          <w:p>
            <w:pPr>
              <w:pStyle w:val="Compact"/>
            </w:pPr>
            <w:r>
              <w:t xml:space="preserve">A no-ReAct multi-agent variant was evaluated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 == "no_react"</w:t>
            </w:r>
            <w:r>
              <w:t xml:space="preserve"> </w:t>
            </w:r>
            <w:r>
              <w:t xml:space="preserve">never matched; the variant ran the full pipeline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  <w:r>
              <w:t xml:space="preserve"> </w:t>
            </w:r>
            <w:r>
              <w:rPr>
                <w:rStyle w:val="VerbatimChar"/>
              </w:rPr>
              <w:t xml:space="preserve">single_pass</w:t>
            </w:r>
            <w:r>
              <w:t xml:space="preserve"> </w:t>
            </w:r>
            <w:r>
              <w:t xml:space="preserve">path; submitted row withdrawn; E1 reports the six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 identity</w:t>
            </w:r>
          </w:p>
        </w:tc>
        <w:tc>
          <w:tcPr/>
          <w:p>
            <w:pPr>
              <w:pStyle w:val="Compact"/>
            </w:pPr>
            <w:r>
              <w:t xml:space="preserve">MiMo-V2.5-Pro, comparative scoring</w:t>
            </w:r>
          </w:p>
        </w:tc>
        <w:tc>
          <w:tcPr/>
          <w:p>
            <w:pPr>
              <w:pStyle w:val="Compact"/>
            </w:pPr>
            <w:r>
              <w:t xml:space="preserve">DeepSeek-V4-Pro, absolute scoring</w:t>
            </w:r>
          </w:p>
        </w:tc>
        <w:tc>
          <w:tcPr/>
          <w:p>
            <w:pPr>
              <w:pStyle w:val="Compact"/>
            </w:pPr>
            <w:r>
              <w:t xml:space="preserve">MiMo-V2.5-Pro absolute scoring; DeepSeek-V4-Pro as robustness judge; recomputed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 statistics</w:t>
            </w:r>
          </w:p>
        </w:tc>
        <w:tc>
          <w:tcPr/>
          <w:p>
            <w:pPr>
              <w:pStyle w:val="Compact"/>
            </w:pPr>
            <w:r>
              <w:t xml:space="preserve">ρ = 0.83 / 0.67 / 0.37</w:t>
            </w:r>
          </w:p>
        </w:tc>
        <w:tc>
          <w:tcPr/>
          <w:p>
            <w:pPr>
              <w:pStyle w:val="Compact"/>
            </w:pPr>
            <w:r>
              <w:t xml:space="preserve">Not reproducible from deposited scores</w:t>
            </w:r>
          </w:p>
        </w:tc>
        <w:tc>
          <w:tcPr/>
          <w:p>
            <w:pPr>
              <w:pStyle w:val="Compact"/>
            </w:pPr>
            <w:r>
              <w:t xml:space="preserve">Recomputed against Rev.1 expert: 0.55 (C), 0.71 (P), 0.34 (D); judge more lenient; dimension-level correlations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checks</w:t>
            </w:r>
          </w:p>
        </w:tc>
        <w:tc>
          <w:tcPr/>
          <w:p>
            <w:pPr>
              <w:pStyle w:val="Compact"/>
            </w:pPr>
            <w:r>
              <w:t xml:space="preserve">Regex Ca:P and Ca/CP overlap rules</w:t>
            </w:r>
          </w:p>
        </w:tc>
        <w:tc>
          <w:tcPr/>
          <w:p>
            <w:pPr>
              <w:pStyle w:val="Compact"/>
            </w:pPr>
            <w:r>
              <w:t xml:space="preserve">False positives on CP and cage numbers; Ca:P unsafe as a universal rule</w:t>
            </w:r>
          </w:p>
        </w:tc>
        <w:tc>
          <w:tcPr/>
          <w:p>
            <w:pPr>
              <w:pStyle w:val="Compact"/>
            </w:pPr>
            <w:r>
              <w:t xml:space="preserve">Entity/attribute/unit/basis-aware validator; Ca:P opt-in; precision/recall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depth</w:t>
            </w:r>
          </w:p>
        </w:tc>
        <w:tc>
          <w:tcPr/>
          <w:p>
            <w:pPr>
              <w:pStyle w:val="Compact"/>
            </w:pPr>
            <w:r>
              <w:t xml:space="preserve">k = 1</w:t>
            </w:r>
          </w:p>
        </w:tc>
        <w:tc>
          <w:tcPr/>
          <w:p>
            <w:pPr>
              <w:pStyle w:val="Compact"/>
            </w:pPr>
            <w:r>
              <w:t xml:space="preserve">k = 2 in the deposited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Config.RAG_K</w:t>
            </w:r>
            <w:r>
              <w:t xml:space="preserve">; retrieval hit@k reported; exact k-sensitivity incomplete; D4 proxy ITT in S19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flag</w:t>
            </w:r>
          </w:p>
        </w:tc>
        <w:tc>
          <w:tcPr/>
          <w:p>
            <w:pPr>
              <w:pStyle w:val="Compact"/>
            </w:pPr>
            <w:r>
              <w:t xml:space="preserve">Cross-validation flag gated synthesis</w:t>
            </w:r>
          </w:p>
        </w:tc>
        <w:tc>
          <w:tcPr/>
          <w:p>
            <w:pPr>
              <w:pStyle w:val="Compact"/>
            </w:pPr>
            <w:r>
              <w:t xml:space="preserve">Flag was ignored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validation_mode = auto/always/off</w:t>
            </w:r>
            <w:r>
              <w:t xml:space="preserve">; flag now gates the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accounting</w:t>
            </w:r>
          </w:p>
        </w:tc>
        <w:tc>
          <w:tcPr/>
          <w:p>
            <w:pPr>
              <w:pStyle w:val="Compact"/>
            </w:pPr>
            <w:r>
              <w:t xml:space="preserve">Router and synthesis tokens included</w:t>
            </w:r>
          </w:p>
        </w:tc>
        <w:tc>
          <w:tcPr/>
          <w:p>
            <w:pPr>
              <w:pStyle w:val="Compact"/>
            </w:pPr>
            <w:r>
              <w:t xml:space="preserve">They were omitted</w:t>
            </w:r>
          </w:p>
        </w:tc>
        <w:tc>
          <w:tcPr/>
          <w:p>
            <w:pPr>
              <w:pStyle w:val="Compact"/>
            </w:pPr>
            <w:r>
              <w:t xml:space="preserve">Full component accounting; cost table recomputed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counts</w:t>
            </w:r>
          </w:p>
        </w:tc>
        <w:tc>
          <w:tcPr/>
          <w:p>
            <w:pPr>
              <w:pStyle w:val="Compact"/>
            </w:pPr>
            <w:r>
              <w:t xml:space="preserve">~14,800 data points; 80 ingredients</w:t>
            </w:r>
          </w:p>
        </w:tc>
        <w:tc>
          <w:tcPr/>
          <w:p>
            <w:pPr>
              <w:pStyle w:val="Compact"/>
            </w:pPr>
            <w:r>
              <w:t xml:space="preserve">Mixed units; 108 ingredient records</w:t>
            </w:r>
          </w:p>
        </w:tc>
        <w:tc>
          <w:tcPr/>
          <w:p>
            <w:pPr>
              <w:pStyle w:val="Compact"/>
            </w:pPr>
            <w:r>
              <w:t xml:space="preserve">Separate records/parameters/cells; exact schema and completeness in Table S1</w:t>
            </w:r>
          </w:p>
        </w:tc>
      </w:tr>
    </w:tbl>
    <w:bookmarkEnd w:id="13"/>
    <w:bookmarkStart w:id="18" w:name="point-by-point-responses"/>
    <w:p>
      <w:pPr>
        <w:pStyle w:val="Heading2"/>
      </w:pPr>
      <w:r>
        <w:t xml:space="preserve">Point-by-point responses</w:t>
      </w:r>
    </w:p>
    <w:p>
      <w:pPr>
        <w:pStyle w:val="FirstParagraph"/>
      </w:pPr>
      <w:r>
        <w:t xml:space="preserve">The full 78-item tracker is in</w:t>
      </w:r>
      <w:r>
        <w:t xml:space="preserve"> </w:t>
      </w:r>
      <w:r>
        <w:rPr>
          <w:rStyle w:val="VerbatimChar"/>
        </w:rPr>
        <w:t xml:space="preserve">docs/paper/response_to_reviewers.md</w:t>
      </w:r>
      <w:r>
        <w:t xml:space="preserve">; the</w:t>
      </w:r>
      <w:r>
        <w:t xml:space="preserve"> </w:t>
      </w:r>
      <w:r>
        <w:t xml:space="preserve">responses below follow the reviewer numbering. Each response states the action,</w:t>
      </w:r>
      <w:r>
        <w:t xml:space="preserve"> </w:t>
      </w:r>
      <w:r>
        <w:t xml:space="preserve">the location, and the evidence. Items that depend on a run still in progress are</w:t>
      </w:r>
      <w:r>
        <w:t xml:space="preserve"> </w:t>
      </w:r>
      <w:r>
        <w:t xml:space="preserve">marked.</w:t>
      </w:r>
    </w:p>
    <w:bookmarkStart w:id="14" w:name="reviewer-1"/>
    <w:p>
      <w:pPr>
        <w:pStyle w:val="Heading3"/>
      </w:pPr>
      <w:r>
        <w:t xml:space="preserve">Reviewer 1</w:t>
      </w:r>
    </w:p>
    <w:p>
      <w:pPr>
        <w:pStyle w:val="FirstParagraph"/>
      </w:pPr>
      <w:r>
        <w:rPr>
          <w:b/>
          <w:bCs/>
        </w:rPr>
        <w:t xml:space="preserve">R1.1 — Cross-validation claim exceeds the implemented rules.</w:t>
      </w:r>
      <w:r>
        <w:t xml:space="preserve"> </w:t>
      </w:r>
      <w:r>
        <w:t xml:space="preserve">Accepted. The submitted text described consistency checks that the code did not</w:t>
      </w:r>
      <w:r>
        <w:t xml:space="preserve"> </w:t>
      </w:r>
      <w:r>
        <w:t xml:space="preserve">perform as described (regex Ca:P and Ca/CP overlap; see the implementation table).</w:t>
      </w:r>
      <w:r>
        <w:t xml:space="preserve"> </w:t>
      </w:r>
      <w:r>
        <w:t xml:space="preserve">Rev.1 rebuilds the checker around entity/attribute/unit/basis claims, handles both</w:t>
      </w:r>
      <w:r>
        <w:t xml:space="preserve"> </w:t>
      </w:r>
      <w:r>
        <w:t xml:space="preserve">attribute-first and value-first order, uses a 5% threshold, and maps commodity</w:t>
      </w:r>
      <w:r>
        <w:t xml:space="preserve"> </w:t>
      </w:r>
      <w:r>
        <w:t xml:space="preserve">short names and phase labels. On a 42-pair labeled set (16 conflicts, 12</w:t>
      </w:r>
      <w:r>
        <w:t xml:space="preserve"> </w:t>
      </w:r>
      <w:r>
        <w:t xml:space="preserve">consistent/unit-converted, 14 distractors) it reaches 16/16, 12/12, 14/14; this is</w:t>
      </w:r>
      <w:r>
        <w:t xml:space="preserve"> </w:t>
      </w:r>
      <w:r>
        <w:t xml:space="preserve">a synthetic rule-coverage test, not field precision. The synthesis section no</w:t>
      </w:r>
      <w:r>
        <w:t xml:space="preserve"> </w:t>
      </w:r>
      <w:r>
        <w:t xml:space="preserve">longer claims that cross-validation is the dominant driver: E1 shows the extra</w:t>
      </w:r>
      <w:r>
        <w:t xml:space="preserve"> </w:t>
      </w:r>
      <w:r>
        <w:t xml:space="preserve">synthesis call alone is not sufficient (4.48 vs 4.54 for RAG), and E2 shows that</w:t>
      </w:r>
      <w:r>
        <w:t xml:space="preserve"> </w:t>
      </w:r>
      <w:r>
        <w:t xml:space="preserve">validation-off (4.91), correct warnings (4.91), shuffled warnings (4.87), and</w:t>
      </w:r>
      <w:r>
        <w:t xml:space="preserve"> </w:t>
      </w:r>
      <w:r>
        <w:t xml:space="preserve">query-only synthesis (4.85) are numerically indistinguishable in the automated</w:t>
      </w:r>
      <w:r>
        <w:t xml:space="preserve"> </w:t>
      </w:r>
      <w:r>
        <w:t xml:space="preserve">scores (no significance test was run). The integration/validation mechanism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supported by the Rev.1 automated evidence; no expert scoring of</w:t>
      </w:r>
      <w:r>
        <w:t xml:space="preserve"> </w:t>
      </w:r>
      <w:r>
        <w:t xml:space="preserve">the E2 conditions was performed, so this remains an automated-judge result rather</w:t>
      </w:r>
      <w:r>
        <w:t xml:space="preserve"> </w:t>
      </w:r>
      <w:r>
        <w:t xml:space="preserve">than an expert-confirmed one.</w:t>
      </w:r>
    </w:p>
    <w:p>
      <w:pPr>
        <w:pStyle w:val="BodyText"/>
      </w:pPr>
      <w:r>
        <w:rPr>
          <w:b/>
          <w:bCs/>
        </w:rPr>
        <w:t xml:space="preserve">R1.2 — Fig. 2 stages 1/2/4 without a stage 3.</w:t>
      </w:r>
      <w:r>
        <w:t xml:space="preserve"> </w:t>
      </w:r>
      <w:r>
        <w:t xml:space="preserve">Accepted. The caption and panel labels now use Stage 1 (routing), Stage 2</w:t>
      </w:r>
      <w:r>
        <w:t xml:space="preserve"> </w:t>
      </w:r>
      <w:r>
        <w:t xml:space="preserve">(specialist execution), Stage 3 (consistency checking + integration). The figure</w:t>
      </w:r>
      <w:r>
        <w:t xml:space="preserve"> </w:t>
      </w:r>
      <w:r>
        <w:t xml:space="preserve">is regenerated from the current pipeline.</w:t>
      </w:r>
    </w:p>
    <w:p>
      <w:pPr>
        <w:pStyle w:val="BodyText"/>
      </w:pPr>
      <w:r>
        <w:rPr>
          <w:b/>
          <w:bCs/>
        </w:rPr>
        <w:t xml:space="preserve">R1.3 — Fig. 2</w:t>
      </w:r>
      <w:r>
        <w:rPr>
          <w:b/>
          <w:bCs/>
        </w:rPr>
        <w:t xml:space="preserve"> </w:t>
      </w:r>
      <w:r>
        <w:rPr>
          <w:b/>
          <w:bCs/>
        </w:rPr>
        <w:t xml:space="preserve">“Cross-Validation + Integration”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overstates the synthesis step.</w:t>
      </w:r>
      <w:r>
        <w:t xml:space="preserve"> </w:t>
      </w:r>
      <w:r>
        <w:t xml:space="preserve">Accepted. The label is now</w:t>
      </w:r>
      <w:r>
        <w:t xml:space="preserve"> </w:t>
      </w:r>
      <w:r>
        <w:t xml:space="preserve">“Consistency checks + integration”</w:t>
      </w:r>
      <w:r>
        <w:t xml:space="preserve">; the text states</w:t>
      </w:r>
      <w:r>
        <w:t xml:space="preserve"> </w:t>
      </w:r>
      <w:r>
        <w:t xml:space="preserve">that the checker emits warnings and that the synthesis LLM integrates the</w:t>
      </w:r>
      <w:r>
        <w:t xml:space="preserve"> </w:t>
      </w:r>
      <w:r>
        <w:t xml:space="preserve">outputs. No claim of full validation remains.</w:t>
      </w:r>
    </w:p>
    <w:p>
      <w:pPr>
        <w:pStyle w:val="BodyText"/>
      </w:pPr>
      <w:r>
        <w:rPr>
          <w:b/>
          <w:bCs/>
        </w:rPr>
        <w:t xml:space="preserve">R1.4 — Baseline confounds architecture with data/tool access.</w:t>
      </w:r>
      <w:r>
        <w:t xml:space="preserve"> </w:t>
      </w:r>
      <w:r>
        <w:t xml:space="preserve">Accepted. E1 adds the missing controls: standalone LLM, tools-only single ReAct,</w:t>
      </w:r>
      <w:r>
        <w:t xml:space="preserve"> </w:t>
      </w:r>
      <w:r>
        <w:t xml:space="preserve">tools+RAG, tools+RAG+synthesis, and multi-agent with validation off/on, all on the</w:t>
      </w:r>
      <w:r>
        <w:t xml:space="preserve"> </w:t>
      </w:r>
      <w:r>
        <w:t xml:space="preserve">same backbone and output budget. The baseline paragraphs in §2.4 and §3.6.1 now</w:t>
      </w:r>
      <w:r>
        <w:t xml:space="preserve"> </w:t>
      </w:r>
      <w:r>
        <w:t xml:space="preserve">distinguish</w:t>
      </w:r>
      <w:r>
        <w:t xml:space="preserve"> </w:t>
      </w:r>
      <w:r>
        <w:t xml:space="preserve">“no tools”</w:t>
      </w:r>
      <w:r>
        <w:t xml:space="preserve"> </w:t>
      </w:r>
      <w:r>
        <w:t xml:space="preserve">from</w:t>
      </w:r>
      <w:r>
        <w:t xml:space="preserve"> </w:t>
      </w:r>
      <w:r>
        <w:t xml:space="preserve">“tools but no decomposition”</w:t>
      </w:r>
      <w:r>
        <w:t xml:space="preserve"> </w:t>
      </w:r>
      <w:r>
        <w:t xml:space="preserve">and from</w:t>
      </w:r>
      <w:r>
        <w:t xml:space="preserve"> </w:t>
      </w:r>
      <w:r>
        <w:t xml:space="preserve">“decomposition”</w:t>
      </w:r>
      <w:r>
        <w:t xml:space="preserve">.</w:t>
      </w:r>
      <w:r>
        <w:t xml:space="preserve"> </w:t>
      </w:r>
      <w:r>
        <w:t xml:space="preserve">Results: tools-only 4.31 &lt; RAG 4.54 &lt; standalone 4.63 &lt; multi-agent 4.74/4.83</w:t>
      </w:r>
      <w:r>
        <w:t xml:space="preserve"> </w:t>
      </w:r>
      <w:r>
        <w:t xml:space="preserve">(correctness; n = 54).</w:t>
      </w:r>
    </w:p>
    <w:p>
      <w:pPr>
        <w:pStyle w:val="BodyText"/>
      </w:pPr>
      <w:r>
        <w:rPr>
          <w:b/>
          <w:bCs/>
        </w:rPr>
        <w:t xml:space="preserve">R1.5 — D5 does not isolate cross-validation.</w:t>
      </w:r>
      <w:r>
        <w:t xml:space="preserve"> </w:t>
      </w:r>
      <w:r>
        <w:t xml:space="preserve">Accepted. The D5 rows are removed. E2 varies six conditions that hold the</w:t>
      </w:r>
      <w:r>
        <w:t xml:space="preserve"> </w:t>
      </w:r>
      <w:r>
        <w:t xml:space="preserve">specialist outputs and output budget fixed (n = 54 each): concatenation 4.28;</w:t>
      </w:r>
      <w:r>
        <w:t xml:space="preserve"> </w:t>
      </w:r>
      <w:r>
        <w:t xml:space="preserve">validation + concatenation 4.11; synthesis with shuffled warnings 4.87; synthesis</w:t>
      </w:r>
      <w:r>
        <w:t xml:space="preserve"> </w:t>
      </w:r>
      <w:r>
        <w:t xml:space="preserve">with validation off 4.91; synthesis with correct warnings 4.91; query-only</w:t>
      </w:r>
      <w:r>
        <w:t xml:space="preserve"> </w:t>
      </w:r>
      <w:r>
        <w:t xml:space="preserve">synthesis 4.85. Correct vs shuffled warnings differ by +0.04, and query-only</w:t>
      </w:r>
      <w:r>
        <w:t xml:space="preserve"> </w:t>
      </w:r>
      <w:r>
        <w:t xml:space="preserve">synthesis — with no specialist outputs to integrate — is within 0.06 of full</w:t>
      </w:r>
      <w:r>
        <w:t xml:space="preserve"> </w:t>
      </w:r>
      <w:r>
        <w:t xml:space="preserve">synthesis. The submitted 24.2% / −29.7% figures are withdrawn. E2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an integration or validation benefit; the extra synthesis pass, or a judge</w:t>
      </w:r>
      <w:r>
        <w:t xml:space="preserve"> </w:t>
      </w:r>
      <w:r>
        <w:t xml:space="preserve">preference for its prose, is the more parsimonious explanation. No expert scoring</w:t>
      </w:r>
      <w:r>
        <w:t xml:space="preserve"> </w:t>
      </w:r>
      <w:r>
        <w:t xml:space="preserve">of the E2 conditions was performed; a human-scored E2 subset is stated as future</w:t>
      </w:r>
      <w:r>
        <w:t xml:space="preserve"> </w:t>
      </w:r>
      <w:r>
        <w:t xml:space="preserve">work, and no positive integration claim is made. Results are in Table 6 and §3.6.1.</w:t>
      </w:r>
    </w:p>
    <w:bookmarkEnd w:id="14"/>
    <w:bookmarkStart w:id="15" w:name="reviewer-2"/>
    <w:p>
      <w:pPr>
        <w:pStyle w:val="Heading3"/>
      </w:pPr>
      <w:r>
        <w:t xml:space="preserve">Reviewer 2</w:t>
      </w:r>
    </w:p>
    <w:p>
      <w:pPr>
        <w:pStyle w:val="FirstParagraph"/>
      </w:pPr>
      <w:r>
        <w:t xml:space="preserve">R2.1–R2.42 are tracked individually in</w:t>
      </w:r>
      <w:r>
        <w:t xml:space="preserve"> </w:t>
      </w:r>
      <w:r>
        <w:rPr>
          <w:rStyle w:val="VerbatimChar"/>
        </w:rPr>
        <w:t xml:space="preserve">docs/paper/response_to_reviewers.md</w:t>
      </w:r>
      <w:r>
        <w:t xml:space="preserve">.</w:t>
      </w:r>
      <w:r>
        <w:t xml:space="preserve"> </w:t>
      </w:r>
      <w:r>
        <w:t xml:space="preserve">The major methodological items are answered individually below; the remaining line</w:t>
      </w:r>
      <w:r>
        <w:t xml:space="preserve"> </w:t>
      </w:r>
      <w:r>
        <w:t xml:space="preserve">edits are grouped afterward.</w:t>
      </w:r>
    </w:p>
    <w:p>
      <w:pPr>
        <w:pStyle w:val="BodyText"/>
      </w:pPr>
      <w:r>
        <w:rPr>
          <w:b/>
          <w:bCs/>
        </w:rPr>
        <w:t xml:space="preserve">R2.1 — Synthesis gain attributed to cross-validation.</w:t>
      </w:r>
      <w:r>
        <w:t xml:space="preserve"> </w:t>
      </w:r>
      <w:r>
        <w:t xml:space="preserve">Accepted. The submitted D5 changed concatenation, validation, and an extra LLM call</w:t>
      </w:r>
      <w:r>
        <w:t xml:space="preserve"> </w:t>
      </w:r>
      <w:r>
        <w:t xml:space="preserve">together, so it could not attribute the gain. E2 holds the specialist outputs and output</w:t>
      </w:r>
      <w:r>
        <w:t xml:space="preserve"> </w:t>
      </w:r>
      <w:r>
        <w:t xml:space="preserve">budget fixed (n = 54 each): concatenation 4.28; validation + concatenation 4.11; synthesis</w:t>
      </w:r>
      <w:r>
        <w:t xml:space="preserve"> </w:t>
      </w:r>
      <w:r>
        <w:t xml:space="preserve">with shuffled warnings 4.87; synthesis with validation off 4.91; correct warnings 4.91;</w:t>
      </w:r>
      <w:r>
        <w:t xml:space="preserve"> </w:t>
      </w:r>
      <w:r>
        <w:t xml:space="preserve">query-only synthesis 4.85. Correct vs shuffled differs by +0.04, and query-only — with no</w:t>
      </w:r>
      <w:r>
        <w:t xml:space="preserve"> </w:t>
      </w:r>
      <w:r>
        <w:t xml:space="preserve">specialist outputs to integrate — is within 0.06 of full synthesis. The 24.2% / −29.7%</w:t>
      </w:r>
      <w:r>
        <w:t xml:space="preserve"> </w:t>
      </w:r>
      <w:r>
        <w:t xml:space="preserve">attribution and the</w:t>
      </w:r>
      <w:r>
        <w:t xml:space="preserve"> </w:t>
      </w:r>
      <w:r>
        <w:t xml:space="preserve">“cross-validation is dominant”</w:t>
      </w:r>
      <w:r>
        <w:t xml:space="preserve"> </w:t>
      </w:r>
      <w:r>
        <w:t xml:space="preserve">claim are withdrawn; the extra synthesis</w:t>
      </w:r>
      <w:r>
        <w:t xml:space="preserve"> </w:t>
      </w:r>
      <w:r>
        <w:t xml:space="preserve">pass, or a judge preference for its prose, is the more parsimonious explanation. No expert</w:t>
      </w:r>
      <w:r>
        <w:t xml:space="preserve"> </w:t>
      </w:r>
      <w:r>
        <w:t xml:space="preserve">scoring of the E2 conditions was performed; a human-scored E2 subset is future work</w:t>
      </w:r>
      <w:r>
        <w:t xml:space="preserve"> </w:t>
      </w:r>
      <w:r>
        <w:t xml:space="preserve">(Table 6, §3.6.1).</w:t>
      </w:r>
    </w:p>
    <w:p>
      <w:pPr>
        <w:pStyle w:val="BodyText"/>
      </w:pPr>
      <w:r>
        <w:rPr>
          <w:b/>
          <w:bCs/>
        </w:rPr>
        <w:t xml:space="preserve">R2.2 — Ca:P rule unsafe for layers.</w:t>
      </w:r>
      <w:r>
        <w:t xml:space="preserve"> </w:t>
      </w:r>
      <w:r>
        <w:t xml:space="preserve">Accepted. The Ca:P rule is removed from the default path and documented as opt-in, with a</w:t>
      </w:r>
      <w:r>
        <w:t xml:space="preserve"> </w:t>
      </w:r>
      <w:r>
        <w:t xml:space="preserve">species/phase and phosphorus-basis caveat. The rebuilt checker compares entity, attribute,</w:t>
      </w:r>
      <w:r>
        <w:t xml:space="preserve"> </w:t>
      </w:r>
      <w:r>
        <w:t xml:space="preserve">unit, and basis; on a 42-pair labeled set it detects 16/16 conflicts, keeps 12/12</w:t>
      </w:r>
      <w:r>
        <w:t xml:space="preserve"> </w:t>
      </w:r>
      <w:r>
        <w:t xml:space="preserve">consistent/unit-converted pairs, and stays silent on 14/14 distractors (§2.2.4,</w:t>
      </w:r>
      <w:r>
        <w:t xml:space="preserve"> </w:t>
      </w:r>
      <w:r>
        <w:t xml:space="preserve">Supplementary S7b;</w:t>
      </w:r>
      <w:r>
        <w:t xml:space="preserve"> </w:t>
      </w:r>
      <w:r>
        <w:rPr>
          <w:rStyle w:val="VerbatimChar"/>
        </w:rPr>
        <w:t xml:space="preserve">tests/test_validation.py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R2.3 — CP of an ingredient compared with a requirement.</w:t>
      </w:r>
      <w:r>
        <w:t xml:space="preserve"> </w:t>
      </w:r>
      <w:r>
        <w:t xml:space="preserve">Accepted. The CP-vs-requirement comparison is removed. The checker compares only claims</w:t>
      </w:r>
      <w:r>
        <w:t xml:space="preserve"> </w:t>
      </w:r>
      <w:r>
        <w:t xml:space="preserve">that share entity, attribute, and basis; a feed CP value cannot be grouped with a</w:t>
      </w:r>
      <w:r>
        <w:t xml:space="preserve"> </w:t>
      </w:r>
      <w:r>
        <w:t xml:space="preserve">requirement CP value for a different entity. The legacy false positives (</w:t>
      </w:r>
      <w:r>
        <w:t xml:space="preserve">“CP … 8.8”</w:t>
      </w:r>
      <w:r>
        <w:t xml:space="preserve"> </w:t>
      </w:r>
      <w:r>
        <w:t xml:space="preserve">read as</w:t>
      </w:r>
      <w:r>
        <w:t xml:space="preserve"> </w:t>
      </w:r>
      <w:r>
        <w:t xml:space="preserve">phosphorus;</w:t>
      </w:r>
      <w:r>
        <w:t xml:space="preserve"> </w:t>
      </w:r>
      <w:r>
        <w:t xml:space="preserve">“cage 6”</w:t>
      </w:r>
      <w:r>
        <w:t xml:space="preserve"> </w:t>
      </w:r>
      <w:r>
        <w:t xml:space="preserve">read as calcium) are regression tests.</w:t>
      </w:r>
    </w:p>
    <w:p>
      <w:pPr>
        <w:pStyle w:val="BodyText"/>
      </w:pPr>
      <w:r>
        <w:rPr>
          <w:b/>
          <w:bCs/>
        </w:rPr>
        <w:t xml:space="preserve">R2.4 — Baselines confound architecture with data/tool access.</w:t>
      </w:r>
      <w:r>
        <w:t xml:space="preserve"> </w:t>
      </w:r>
      <w:r>
        <w:t xml:space="preserve">Accepted. E1 adds the missing controls: standalone, tools-only, tools+RAG,</w:t>
      </w:r>
      <w:r>
        <w:t xml:space="preserve"> </w:t>
      </w:r>
      <w:r>
        <w:t xml:space="preserve">tools+RAG+synthesis, and multi-agent validation off/on, on one backbone and output budget.</w:t>
      </w:r>
      <w:r>
        <w:t xml:space="preserve"> </w:t>
      </w:r>
      <w:r>
        <w:t xml:space="preserve">Tools-only scores 4.31, below the standalone LLM (4.63); RAG recovers to 4.54;</w:t>
      </w:r>
      <w:r>
        <w:t xml:space="preserve"> </w:t>
      </w:r>
      <w:r>
        <w:t xml:space="preserve">multi-agent reaches 4.74/4.83. The old D1/D5 rows are withdrawn.</w:t>
      </w:r>
    </w:p>
    <w:p>
      <w:pPr>
        <w:pStyle w:val="BodyText"/>
      </w:pPr>
      <w:r>
        <w:rPr>
          <w:b/>
          <w:bCs/>
        </w:rPr>
        <w:t xml:space="preserve">R2.5 — Correctness rubric rewards citation.</w:t>
      </w:r>
      <w:r>
        <w:t xml:space="preserve"> </w:t>
      </w:r>
      <w:r>
        <w:t xml:space="preserve">Accepted. Rubric v2 separates correctness (all facts accurate) from provenance (0 = no</w:t>
      </w:r>
      <w:r>
        <w:t xml:space="preserve"> </w:t>
      </w:r>
      <w:r>
        <w:t xml:space="preserve">attribution, 1 = some key numbers, 2 = every key number attributed), scored as an</w:t>
      </w:r>
      <w:r>
        <w:t xml:space="preserve"> </w:t>
      </w:r>
      <w:r>
        <w:t xml:space="preserve">independent column; the</w:t>
      </w:r>
      <w:r>
        <w:t xml:space="preserve"> </w:t>
      </w:r>
      <w:r>
        <w:t xml:space="preserve">“5 = accurate with direct citation”</w:t>
      </w:r>
      <w:r>
        <w:t xml:space="preserve"> </w:t>
      </w:r>
      <w:r>
        <w:t xml:space="preserve">anchor is removed</w:t>
      </w:r>
      <w:r>
        <w:t xml:space="preserve"> </w:t>
      </w:r>
      <w:r>
        <w:t xml:space="preserve">(Supplementary S12; expert sheets carry</w:t>
      </w:r>
      <w:r>
        <w:t xml:space="preserve"> </w:t>
      </w:r>
      <w:r>
        <w:rPr>
          <w:rStyle w:val="VerbatimChar"/>
        </w:rPr>
        <w:t xml:space="preserve">provenance_(0-2_or_NA)</w:t>
      </w:r>
      <w:r>
        <w:t xml:space="preserve">). The primary expert has</w:t>
      </w:r>
      <w:r>
        <w:t xml:space="preserve"> </w:t>
      </w:r>
      <w:r>
        <w:t xml:space="preserve">now scored all 378 responses with the separated rubric; the submitted scores are not mixed</w:t>
      </w:r>
      <w:r>
        <w:t xml:space="preserve"> </w:t>
      </w:r>
      <w:r>
        <w:t xml:space="preserve">with it.</w:t>
      </w:r>
    </w:p>
    <w:p>
      <w:pPr>
        <w:pStyle w:val="BodyText"/>
      </w:pPr>
      <w:r>
        <w:rPr>
          <w:b/>
          <w:bCs/>
        </w:rPr>
        <w:t xml:space="preserve">R2.6 — Query provenance and selection bias.</w:t>
      </w:r>
      <w:r>
        <w:t xml:space="preserve"> </w:t>
      </w:r>
      <w:r>
        <w:t xml:space="preserve">Accepted in part. §2.3.1 now states that the 195-query pool was compiled by the study team</w:t>
      </w:r>
      <w:r>
        <w:t xml:space="preserve"> </w:t>
      </w:r>
      <w:r>
        <w:t xml:space="preserve">from four existing query sets (120 English, 28 Chinese, 30 English advanced, and</w:t>
      </w:r>
      <w:r>
        <w:t xml:space="preserve"> </w:t>
      </w:r>
      <w:r>
        <w:t xml:space="preserve">17 Chinese advanced), and that the 54-query set was selected by purposeful</w:t>
      </w:r>
      <w:r>
        <w:t xml:space="preserve"> </w:t>
      </w:r>
      <w:r>
        <w:t xml:space="preserve">stratified selection across seven query types and six domains and fixed before</w:t>
      </w:r>
      <w:r>
        <w:t xml:space="preserve"> </w:t>
      </w:r>
      <w:r>
        <w:t xml:space="preserve">Rev.1 scoring. Two domain experts on the study team independently reviewed the</w:t>
      </w:r>
      <w:r>
        <w:t xml:space="preserve"> </w:t>
      </w:r>
      <w:r>
        <w:t xml:space="preserve">54 queries before Rev.1. Because selection was criterion-based rather than</w:t>
      </w:r>
      <w:r>
        <w:t xml:space="preserve"> </w:t>
      </w:r>
      <w:r>
        <w:t xml:space="preserve">random, no random seed is reported; we do not describe it as a random sample.</w:t>
      </w:r>
      <w:r>
        <w:t xml:space="preserve"> </w:t>
      </w:r>
      <w:r>
        <w:t xml:space="preserve">The source sets were assembled during system development and were not held out;</w:t>
      </w:r>
      <w:r>
        <w:t xml:space="preserve"> </w:t>
      </w:r>
      <w:r>
        <w:t xml:space="preserve">the developers had access to them, so some queries may have informed prompt and tool development. The final set was fixed before</w:t>
      </w:r>
      <w:r>
        <w:t xml:space="preserve"> </w:t>
      </w:r>
      <w:r>
        <w:t xml:space="preserve">Rev.1 scoring but is not an independent held-out benchmark. Supplementary S3</w:t>
      </w:r>
      <w:r>
        <w:t xml:space="preserve"> </w:t>
      </w:r>
      <w:r>
        <w:t xml:space="preserve">contains the 54-query set generated from the curated JSON; the 195-query pool is</w:t>
      </w:r>
      <w:r>
        <w:t xml:space="preserve"> </w:t>
      </w:r>
      <w:r>
        <w:t xml:space="preserve">in the repository. External independent query validation was not obtained.</w:t>
      </w:r>
    </w:p>
    <w:p>
      <w:pPr>
        <w:pStyle w:val="BodyText"/>
      </w:pPr>
      <w:r>
        <w:rPr>
          <w:b/>
          <w:bCs/>
        </w:rPr>
        <w:t xml:space="preserve">R2.7 — Bilingual language–breed confound.</w:t>
      </w:r>
      <w:r>
        <w:t xml:space="preserve"> </w:t>
      </w:r>
      <w:r>
        <w:t xml:space="preserve">Accepted. §2.3.1 now states that the 12 Chinese queries include Hy-Line Brown and</w:t>
      </w:r>
      <w:r>
        <w:t xml:space="preserve"> </w:t>
      </w:r>
      <w:r>
        <w:t xml:space="preserve">feed/definition questions, not only domestic breeds; §3.5 labels the comparison</w:t>
      </w:r>
      <w:r>
        <w:t xml:space="preserve"> </w:t>
      </w:r>
      <w:r>
        <w:t xml:space="preserve">exploratory. E11 auto scores show Chinese 4.92 vs English 4.69 correctness (n=12/42; CIs</w:t>
      </w:r>
      <w:r>
        <w:t xml:space="preserve"> </w:t>
      </w:r>
      <w:r>
        <w:t xml:space="preserve">overlap), so we do not claim a Chinese correctness deficit; the cross-lingual concern is</w:t>
      </w:r>
      <w:r>
        <w:t xml:space="preserve"> </w:t>
      </w:r>
      <w:r>
        <w:t xml:space="preserve">the inconsistency score. Language and breed remain confounded.</w:t>
      </w:r>
    </w:p>
    <w:p>
      <w:pPr>
        <w:pStyle w:val="BodyText"/>
      </w:pPr>
      <w:r>
        <w:rPr>
          <w:b/>
          <w:bCs/>
        </w:rPr>
        <w:t xml:space="preserve">R2.8 — Chinese query breed counts inconsistent.</w:t>
      </w:r>
      <w:r>
        <w:t xml:space="preserve"> </w:t>
      </w:r>
      <w:r>
        <w:t xml:space="preserve">Accepted. The counts are corrected: the 12 Chinese queries target Jingfen 6 (3) and Dawu</w:t>
      </w:r>
      <w:r>
        <w:t xml:space="preserve"> </w:t>
      </w:r>
      <w:r>
        <w:t xml:space="preserve">Jinfeng (5), plus one Hy-Line Brown and feed/definition questions. The S3 table is</w:t>
      </w:r>
      <w:r>
        <w:t xml:space="preserve"> </w:t>
      </w:r>
      <w:r>
        <w:t xml:space="preserve">regenerated from the query JSON; the stale</w:t>
      </w:r>
      <w:r>
        <w:t xml:space="preserve"> </w:t>
      </w:r>
      <w:r>
        <w:t xml:space="preserve">“Jinghong 1”</w:t>
      </w:r>
      <w:r>
        <w:t xml:space="preserve"> </w:t>
      </w:r>
      <w:r>
        <w:t xml:space="preserve">count is removed.</w:t>
      </w:r>
    </w:p>
    <w:p>
      <w:pPr>
        <w:pStyle w:val="BodyText"/>
      </w:pPr>
      <w:r>
        <w:rPr>
          <w:b/>
          <w:bCs/>
        </w:rPr>
        <w:t xml:space="preserve">R2.9 — Flesch applied to Chinese text.</w:t>
      </w:r>
      <w:r>
        <w:t xml:space="preserve"> </w:t>
      </w:r>
      <w:r>
        <w:t xml:space="preserve">Accepted. Flesch Reading Ease is computed only for English responses (n=42); Chinese</w:t>
      </w:r>
      <w:r>
        <w:t xml:space="preserve"> </w:t>
      </w:r>
      <w:r>
        <w:t xml:space="preserve">responses are excluded because textstat has no validated Chinese variant. The manuscript</w:t>
      </w:r>
      <w:r>
        <w:t xml:space="preserve"> </w:t>
      </w:r>
      <w:r>
        <w:t xml:space="preserve">states this and does not compare readability across languages.</w:t>
      </w:r>
    </w:p>
    <w:p>
      <w:pPr>
        <w:pStyle w:val="BodyText"/>
      </w:pPr>
      <w:r>
        <w:rPr>
          <w:b/>
          <w:bCs/>
        </w:rPr>
        <w:t xml:space="preserve">R2.10 — Single primary expert; second rater only a subset.</w:t>
      </w:r>
      <w:r>
        <w:t xml:space="preserve"> </w:t>
      </w:r>
      <w:r>
        <w:t xml:space="preserve">Accepted with a limitation. The primary expert scored all 378 responses on one blinded</w:t>
      </w:r>
      <w:r>
        <w:t xml:space="preserve"> </w:t>
      </w:r>
      <w:r>
        <w:t xml:space="preserve">sheet (Model_A–G, randomized within query). A repeat 120-response sheet from the primary</w:t>
      </w:r>
      <w:r>
        <w:t xml:space="preserve"> </w:t>
      </w:r>
      <w:r>
        <w:t xml:space="preserve">gives intra-rater ICC(2,1) = 0.995 (correctness), 0.996 (precision), and 0.932 (depth);</w:t>
      </w:r>
      <w:r>
        <w:t xml:space="preserve"> </w:t>
      </w:r>
      <w:r>
        <w:t xml:space="preserve">weighted κ = 0.995/0.996/0.931; Bland–Altman mean differences −0.02/−0.01/+0.08. Because</w:t>
      </w:r>
      <w:r>
        <w:t xml:space="preserve"> </w:t>
      </w:r>
      <w:r>
        <w:t xml:space="preserve">this is a same-expert repeat/copy pass, it measures consistency, not independent</w:t>
      </w:r>
      <w:r>
        <w:t xml:space="preserve"> </w:t>
      </w:r>
      <w:r>
        <w:t xml:space="preserve">reliability. An independent third rater gives ICC(2,1) = 0.847 (correctness), 0.876</w:t>
      </w:r>
      <w:r>
        <w:t xml:space="preserve"> </w:t>
      </w:r>
      <w:r>
        <w:t xml:space="preserve">(precision), 0.760 (depth); quadratic weighted κ = 0.846/0.874/0.758; Spearman ρ =</w:t>
      </w:r>
      <w:r>
        <w:t xml:space="preserve"> </w:t>
      </w:r>
      <w:r>
        <w:t xml:space="preserve">0.862/0.913/0.725; Bland–Altman mean differences −0.27/−0.11/+0.21. On the 120-response</w:t>
      </w:r>
      <w:r>
        <w:t xml:space="preserve"> </w:t>
      </w:r>
      <w:r>
        <w:t xml:space="preserve">subset, the independent rater’s overall means place DeepSeek-V4-Flash (4.28) and</w:t>
      </w:r>
      <w:r>
        <w:t xml:space="preserve"> </w:t>
      </w:r>
      <w:r>
        <w:t xml:space="preserve">DeepSeek-V4-Pro (4.14) close to NutriAgent (4.12); the subset is not powered to reproduce</w:t>
      </w:r>
      <w:r>
        <w:t xml:space="preserve"> </w:t>
      </w:r>
      <w:r>
        <w:t xml:space="preserve">the full ranking. We report this subset as the reliability check and do not claim full</w:t>
      </w:r>
      <w:r>
        <w:t xml:space="preserve"> </w:t>
      </w:r>
      <w:r>
        <w:t xml:space="preserve">dual scoring of all 378 responses.</w:t>
      </w:r>
    </w:p>
    <w:p>
      <w:pPr>
        <w:pStyle w:val="BodyText"/>
      </w:pPr>
      <w:r>
        <w:rPr>
          <w:b/>
          <w:bCs/>
        </w:rPr>
        <w:t xml:space="preserve">R2.11 — No paired uncertainty or effect sizes.</w:t>
      </w:r>
      <w:r>
        <w:t xml:space="preserve"> </w:t>
      </w:r>
      <w:r>
        <w:t xml:space="preserve">Accepted. Paired bootstrap CIs (10,000 resamples), Cohen’s d_z, Wilcoxon signed-rank tests,</w:t>
      </w:r>
      <w:r>
        <w:t xml:space="preserve"> </w:t>
      </w:r>
      <w:r>
        <w:t xml:space="preserve">and Holm correction are now reported in Table 10. Against the strongest baseline</w:t>
      </w:r>
      <w:r>
        <w:t xml:space="preserve"> </w:t>
      </w:r>
      <w:r>
        <w:t xml:space="preserve">(DeepSeek-V4-Pro), ΔC = +0.20 (95% CI −0.09 to +0.50; Holm p = 0.146), so the correctness</w:t>
      </w:r>
      <w:r>
        <w:t xml:space="preserve"> </w:t>
      </w:r>
      <w:r>
        <w:t xml:space="preserve">advantage is not significant; precision is +0.50 (unadjusted p = 0.037; p = 0.256 after</w:t>
      </w:r>
      <w:r>
        <w:t xml:space="preserve"> </w:t>
      </w:r>
      <w:r>
        <w:t xml:space="preserve">correction across all dimension tests), and the paired per-response overall is +0.20</w:t>
      </w:r>
      <w:r>
        <w:t xml:space="preserve"> </w:t>
      </w:r>
      <w:r>
        <w:t xml:space="preserve">(p = 0.062). Correctness differences from DeepSeek-V4-Flash, Qwen3.8-Flash, GLM-4.5-Air,</w:t>
      </w:r>
      <w:r>
        <w:t xml:space="preserve"> </w:t>
      </w:r>
      <w:r>
        <w:t xml:space="preserve">Qwen3-8B, and MiniMax-M2.5 remain significant after Holm correction. The submitted</w:t>
      </w:r>
      <w:r>
        <w:t xml:space="preserve"> </w:t>
      </w:r>
      <w:r>
        <w:t xml:space="preserve">significance claims are withdrawn; Table 3 is the model-version table, and Table 10 is the</w:t>
      </w:r>
      <w:r>
        <w:t xml:space="preserve"> </w:t>
      </w:r>
      <w:r>
        <w:t xml:space="preserve">statistical table.</w:t>
      </w:r>
    </w:p>
    <w:p>
      <w:pPr>
        <w:pStyle w:val="BodyText"/>
      </w:pPr>
      <w:r>
        <w:rPr>
          <w:b/>
          <w:bCs/>
        </w:rPr>
        <w:t xml:space="preserve">R2.12 — Two judge protocols and agreement recomputed.</w:t>
      </w:r>
      <w:r>
        <w:t xml:space="preserve"> </w:t>
      </w:r>
      <w:r>
        <w:t xml:space="preserve">Accepted. The submitted Methods named MiMo-V2.5-Pro but the deposited configurations used</w:t>
      </w:r>
      <w:r>
        <w:t xml:space="preserve"> </w:t>
      </w:r>
      <w:r>
        <w:t xml:space="preserve">DeepSeek-V4-Pro with absolute scoring. Rev.1 uses MiMo-V2.5-Pro absolute scoring for all</w:t>
      </w:r>
      <w:r>
        <w:t xml:space="preserve"> </w:t>
      </w:r>
      <w:r>
        <w:t xml:space="preserve">responses and reports agreement against the completed expert scores: ρ = 0.55</w:t>
      </w:r>
      <w:r>
        <w:t xml:space="preserve"> </w:t>
      </w:r>
      <w:r>
        <w:t xml:space="preserve">(correctness), 0.71 (precision), 0.34 (depth); the judge is more lenient. The earlier</w:t>
      </w:r>
      <w:r>
        <w:t xml:space="preserve"> </w:t>
      </w:r>
      <w:r>
        <w:t xml:space="preserve">ρ = 0.038 for precision is withdrawn, so precision agreement is no longer described as</w:t>
      </w:r>
      <w:r>
        <w:t xml:space="preserve"> </w:t>
      </w:r>
      <w:r>
        <w:t xml:space="preserve">weak. Dimension-level correlations are removed because the expert did not score ablation</w:t>
      </w:r>
      <w:r>
        <w:t xml:space="preserve"> </w:t>
      </w:r>
      <w:r>
        <w:t xml:space="preserve">variants. We also found that bulk and per-item scoring differ in absolute level by 0.4–0.8</w:t>
      </w:r>
      <w:r>
        <w:t xml:space="preserve"> </w:t>
      </w:r>
      <w:r>
        <w:t xml:space="preserve">points (D2 Full 4.44 in the new bulk pass vs 4.04 per-item; the original pass was 4.81) while</w:t>
      </w:r>
      <w:r>
        <w:t xml:space="preserve"> </w:t>
      </w:r>
      <w:r>
        <w:t xml:space="preserve">the ordering is consistent; all comparisons are therefore within the same scoring mode,</w:t>
      </w:r>
      <w:r>
        <w:t xml:space="preserve"> </w:t>
      </w:r>
      <w:r>
        <w:t xml:space="preserve">and cross-mode absolute values are not pooled.</w:t>
      </w:r>
    </w:p>
    <w:p>
      <w:pPr>
        <w:pStyle w:val="BodyText"/>
      </w:pPr>
      <w:r>
        <w:rPr>
          <w:b/>
          <w:bCs/>
        </w:rPr>
        <w:t xml:space="preserve">R2.25 — The no-ReAct row undermines the ReAct narrative.</w:t>
      </w:r>
      <w:r>
        <w:t xml:space="preserve"> </w:t>
      </w:r>
      <w:r>
        <w:t xml:space="preserve">Accepted, and the row is withdrawn. The submitted</w:t>
      </w:r>
      <w:r>
        <w:t xml:space="preserve"> </w:t>
      </w:r>
      <w:r>
        <w:t xml:space="preserve">“Multi-Agent (no ReAct)”</w:t>
      </w:r>
      <w:r>
        <w:t xml:space="preserve"> </w:t>
      </w:r>
      <w:r>
        <w:t xml:space="preserve">condition never</w:t>
      </w:r>
      <w:r>
        <w:t xml:space="preserve"> </w:t>
      </w:r>
      <w:r>
        <w:t xml:space="preserve">executed: a case-sensitive dispatch check fell through to the full pipeline. Rev.1</w:t>
      </w:r>
      <w:r>
        <w:t xml:space="preserve"> </w:t>
      </w:r>
      <w:r>
        <w:t xml:space="preserve">implements a true single-pass tool-call condition. In E1, tools-only scores 4.31, below</w:t>
      </w:r>
      <w:r>
        <w:t xml:space="preserve"> </w:t>
      </w:r>
      <w:r>
        <w:t xml:space="preserve">the standalone LLM (4.63); the multi-agent pipeline reaches 4.74/4.83. We no longer claim</w:t>
      </w:r>
      <w:r>
        <w:t xml:space="preserve"> </w:t>
      </w:r>
      <w:r>
        <w:t xml:space="preserve">that iterative ReAct reasoning is necessary; the data show that tool access alone is not</w:t>
      </w:r>
      <w:r>
        <w:t xml:space="preserve"> </w:t>
      </w:r>
      <w:r>
        <w:t xml:space="preserve">enough, and that decomposition plus a synthesis pass is associated with higher scores,</w:t>
      </w:r>
      <w:r>
        <w:t xml:space="preserve"> </w:t>
      </w:r>
      <w:r>
        <w:t xml:space="preserve">although E2 does not isolate whether specialist content or the extra pass drives it. The</w:t>
      </w:r>
      <w:r>
        <w:t xml:space="preserve"> </w:t>
      </w:r>
      <w:r>
        <w:t xml:space="preserve">dispatch defect and the withdrawal are stated in §3.6.1 and Table 7.</w:t>
      </w:r>
    </w:p>
    <w:p>
      <w:pPr>
        <w:pStyle w:val="BodyText"/>
      </w:pPr>
      <w:r>
        <w:rPr>
          <w:b/>
          <w:bCs/>
        </w:rPr>
        <w:t xml:space="preserve">R2.26 — D2 removal does not measure domain importance; information leak.</w:t>
      </w:r>
      <w:r>
        <w:t xml:space="preserve"> </w:t>
      </w:r>
      <w:r>
        <w:t xml:space="preserve">Partially accepted. D2 removes the specialist and its tool, but the shared PoultryDB can</w:t>
      </w:r>
      <w:r>
        <w:t xml:space="preserve"> </w:t>
      </w:r>
      <w:r>
        <w:t xml:space="preserve">still surface public feed documents. We therefore call D2 an architectural-removal test,</w:t>
      </w:r>
      <w:r>
        <w:t xml:space="preserve"> </w:t>
      </w:r>
      <w:r>
        <w:t xml:space="preserve">not a hard data-removal test. E7 is the stricter test: on 20 Feed/Cross-Domain queries,</w:t>
      </w:r>
      <w:r>
        <w:t xml:space="preserve"> </w:t>
      </w:r>
      <w:r>
        <w:t xml:space="preserve">deleting the Feed specialist and filtering Feed Ingredient Bank documents out of RAG gives</w:t>
      </w:r>
      <w:r>
        <w:t xml:space="preserve"> </w:t>
      </w:r>
      <w:r>
        <w:t xml:space="preserve">4.70 correctness vs 4.40 for the full pipeline (+0.30), with precision +0.07 and depth</w:t>
      </w:r>
      <w:r>
        <w:t xml:space="preserve"> </w:t>
      </w:r>
      <w:r>
        <w:t xml:space="preserve">unchanged. Hard data removal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reduce judged quality, which is a</w:t>
      </w:r>
      <w:r>
        <w:t xml:space="preserve"> </w:t>
      </w:r>
      <w:r>
        <w:t xml:space="preserve">judge-sensitivity negative result; it does not show that feed data can be removed in</w:t>
      </w:r>
      <w:r>
        <w:t xml:space="preserve"> </w:t>
      </w:r>
      <w:r>
        <w:t xml:space="preserve">deployment. Both limitations are stated in §3.6.1 and Table 7.</w:t>
      </w:r>
    </w:p>
    <w:p>
      <w:pPr>
        <w:pStyle w:val="BodyText"/>
      </w:pPr>
      <w:r>
        <w:rPr>
          <w:b/>
          <w:bCs/>
        </w:rPr>
        <w:t xml:space="preserve">R2.27 — D4 excludes retrieval failures.</w:t>
      </w:r>
      <w:r>
        <w:t xml:space="preserve"> </w:t>
      </w:r>
      <w:r>
        <w:t xml:space="preserve">Accepted with a transparent proxy. The Rev.1 re-score includes all 54 correctness scores but did not retain a retrieval-failure flag; the four submitted-run exclusions cannot be reconstructed exactly. We therefore report a conservative proxy ITT in which the 16 E6 hit@5 misses are scored as system failures (1; 0-score sensitivity): +RAG 3.50 vs no-RAG 4.52 correctness (Δ −1.02; 95% CI −1.52 to −0.52; p &lt; 0.001); precision Δ −1.18; depth Δ −1.00. Complete-case is null (+0.00 C, +0.02 P). This is explicitly labeled a proxy, not an exact four-query reconstruction (S19). Retrieval hit@k remains: hit@1 27.3%, hit@3 54.5%, hit@5 63.6%, MRR 0.411. We do not claim a RAG benefit.</w:t>
      </w:r>
    </w:p>
    <w:p>
      <w:pPr>
        <w:pStyle w:val="BodyText"/>
      </w:pPr>
      <w:r>
        <w:rPr>
          <w:b/>
          <w:bCs/>
        </w:rPr>
        <w:t xml:space="preserve">R2.28 — Error causes are asserted, not tested.</w:t>
      </w:r>
      <w:r>
        <w:t xml:space="preserve"> </w:t>
      </w:r>
      <w:r>
        <w:t xml:space="preserve">Partially accepted. E14 is a numeric error audit on the 36 queries with ground truth:</w:t>
      </w:r>
      <w:r>
        <w:t xml:space="preserve"> </w:t>
      </w:r>
      <w:r>
        <w:t xml:space="preserve">32/36 correct at ±5% (88.9%), 4 wrong values, 0 without a numeric answer; ±2% is 83.3%.</w:t>
      </w:r>
      <w:r>
        <w:t xml:space="preserve"> </w:t>
      </w:r>
      <w:r>
        <w:t xml:space="preserve">The four failures are C-FIB-005 (11.6 vs 8.5), C-FIB-010 (2260 vs 48), C-XD-001 (0.27 vs</w:t>
      </w:r>
      <w:r>
        <w:t xml:space="preserve"> </w:t>
      </w:r>
      <w:r>
        <w:t xml:space="preserve">0.25), and C-XD-006 (1.45 decrease vs 5.125). A single-coder descriptive non-numeric table</w:t>
      </w:r>
      <w:r>
        <w:t xml:space="preserve"> </w:t>
      </w:r>
      <w:r>
        <w:t xml:space="preserve">is in Supplementary S10 (five categories, 9/54 low-score responses); a two-coder kappa is</w:t>
      </w:r>
      <w:r>
        <w:t xml:space="preserve"> </w:t>
      </w:r>
      <w:r>
        <w:rPr>
          <w:b/>
          <w:bCs/>
        </w:rPr>
        <w:t xml:space="preserve">not completed</w:t>
      </w:r>
      <w:r>
        <w:t xml:space="preserve">, and we state that scope rather than claiming a tested causal account.</w:t>
      </w:r>
    </w:p>
    <w:p>
      <w:pPr>
        <w:pStyle w:val="BodyText"/>
      </w:pPr>
      <w:r>
        <w:rPr>
          <w:b/>
          <w:bCs/>
        </w:rPr>
        <w:t xml:space="preserve">R2.33 — Model IDs, determinism, repeated runs.</w:t>
      </w:r>
      <w:r>
        <w:t xml:space="preserve"> </w:t>
      </w:r>
      <w:r>
        <w:t xml:space="preserve">Accepted. Exact providers, model IDs, access dates, thinking modes, and token limits are in</w:t>
      </w:r>
      <w:r>
        <w:t xml:space="preserve"> </w:t>
      </w:r>
      <w:r>
        <w:t xml:space="preserve">Table 3 and</w:t>
      </w:r>
      <w:r>
        <w:t xml:space="preserve"> </w:t>
      </w:r>
      <w:r>
        <w:rPr>
          <w:rStyle w:val="VerbatimChar"/>
        </w:rPr>
        <w:t xml:space="preserve">config/models.lock.yaml</w:t>
      </w:r>
      <w:r>
        <w:t xml:space="preserve">. Temperature 0.0 reduces but does not eliminate</w:t>
      </w:r>
      <w:r>
        <w:t xml:space="preserve"> </w:t>
      </w:r>
      <w:r>
        <w:t xml:space="preserve">variability: E9 (10 queries × 3 runs, cache off) gives mean pairwise similarity 0.371</w:t>
      </w:r>
      <w:r>
        <w:t xml:space="preserve"> </w:t>
      </w:r>
      <w:r>
        <w:t xml:space="preserve">(range 0.106–0.870) and exact-match rate 0. All reported scores are single-run and are</w:t>
      </w:r>
      <w:r>
        <w:t xml:space="preserve"> </w:t>
      </w:r>
      <w:r>
        <w:t xml:space="preserve">labeled as such; small differences are not interpreted as effects.</w:t>
      </w:r>
    </w:p>
    <w:p>
      <w:pPr>
        <w:pStyle w:val="BodyText"/>
      </w:pPr>
      <w:r>
        <w:rPr>
          <w:b/>
          <w:bCs/>
        </w:rPr>
        <w:t xml:space="preserve">R2.34 — Cost and latency details.</w:t>
      </w:r>
      <w:r>
        <w:t xml:space="preserve"> </w:t>
      </w:r>
      <w:r>
        <w:t xml:space="preserve">Accepted in part. The submitted USD 0.000723/query figure did not include router and</w:t>
      </w:r>
      <w:r>
        <w:t xml:space="preserve"> </w:t>
      </w:r>
      <w:r>
        <w:t xml:space="preserve">synthesis tokens, and no Rev.1 cost estimate was computed. Table 3 records model settings</w:t>
      </w:r>
      <w:r>
        <w:t xml:space="preserve"> </w:t>
      </w:r>
      <w:r>
        <w:t xml:space="preserve">and the pricing date;</w:t>
      </w:r>
      <w:r>
        <w:t xml:space="preserve"> </w:t>
      </w:r>
      <w:r>
        <w:rPr>
          <w:rStyle w:val="VerbatimChar"/>
        </w:rPr>
        <w:t xml:space="preserve">config/pricing.yaml</w:t>
      </w:r>
      <w:r>
        <w:t xml:space="preserve"> </w:t>
      </w:r>
      <w:r>
        <w:t xml:space="preserve">records per-token prices. The cost figure is</w:t>
      </w:r>
      <w:r>
        <w:t xml:space="preserve"> </w:t>
      </w:r>
      <w:r>
        <w:t xml:space="preserve">reported as a submitted-run property, not as a Rev.1 measurement or an architectural</w:t>
      </w:r>
      <w:r>
        <w:t xml:space="preserve"> </w:t>
      </w:r>
      <w:r>
        <w:t xml:space="preserve">efficiency claim; latency distributions across repeated runs were not collected.</w:t>
      </w:r>
    </w:p>
    <w:p>
      <w:pPr>
        <w:pStyle w:val="BodyText"/>
      </w:pPr>
      <w:r>
        <w:rPr>
          <w:b/>
          <w:bCs/>
        </w:rPr>
        <w:t xml:space="preserve">R2.35 — Formulation recommendation overclaim.</w:t>
      </w:r>
      <w:r>
        <w:t xml:space="preserve"> </w:t>
      </w:r>
      <w:r>
        <w:t xml:space="preserve">Accepted. The manuscript now states that the system provides informational retrieval and</w:t>
      </w:r>
      <w:r>
        <w:t xml:space="preserve"> </w:t>
      </w:r>
      <w:r>
        <w:t xml:space="preserve">structured calculations, not a complete ration formulation or a prospective feeding</w:t>
      </w:r>
      <w:r>
        <w:t xml:space="preserve"> </w:t>
      </w:r>
      <w:r>
        <w:t xml:space="preserve">recommendation; the formulation claim and its limitation are in the Limitations.</w:t>
      </w:r>
    </w:p>
    <w:p>
      <w:pPr>
        <w:pStyle w:val="BodyText"/>
      </w:pPr>
      <w:r>
        <w:rPr>
          <w:b/>
          <w:bCs/>
        </w:rPr>
        <w:t xml:space="preserve">R2.36 — Cross-breed benchmark comparison.</w:t>
      </w:r>
      <w:r>
        <w:t xml:space="preserve"> </w:t>
      </w:r>
      <w:r>
        <w:t xml:space="preserve">Accepted. §2.1.3 now describes production benchmarks as breed- and guide-specific targets,</w:t>
      </w:r>
      <w:r>
        <w:t xml:space="preserve"> </w:t>
      </w:r>
      <w:r>
        <w:t xml:space="preserve">not as a like-for-like cross-breed ranking. Cross-breed comparisons are presented as</w:t>
      </w:r>
      <w:r>
        <w:t xml:space="preserve"> </w:t>
      </w:r>
      <w:r>
        <w:t xml:space="preserve">descriptive and are not used to rank breeds.</w:t>
      </w:r>
    </w:p>
    <w:p>
      <w:pPr>
        <w:pStyle w:val="BodyText"/>
      </w:pPr>
      <w:r>
        <w:rPr>
          <w:b/>
          <w:bCs/>
        </w:rPr>
        <w:t xml:space="preserve">R2.20 — Data provenance for Chinese breeds.</w:t>
      </w:r>
      <w:r>
        <w:t xml:space="preserve"> </w:t>
      </w:r>
      <w:r>
        <w:t xml:space="preserve">Accepted in part. Breed-level sources are in</w:t>
      </w:r>
      <w:r>
        <w:t xml:space="preserve"> </w:t>
      </w:r>
      <w:r>
        <w:rPr>
          <w:rStyle w:val="VerbatimChar"/>
        </w:rPr>
        <w:t xml:space="preserve">corpus/provenance.csv</w:t>
      </w:r>
      <w:r>
        <w:t xml:space="preserve">, and Table S3</w:t>
      </w:r>
      <w:r>
        <w:t xml:space="preserve"> </w:t>
      </w:r>
      <w:r>
        <w:t xml:space="preserve">summarizes the source type and status. The file records the document/version and</w:t>
      </w:r>
      <w:r>
        <w:t xml:space="preserve"> </w:t>
      </w:r>
      <w:r>
        <w:t xml:space="preserve">distinguishes the Chinese industry source from international breeder guides. Of the</w:t>
      </w:r>
      <w:r>
        <w:t xml:space="preserve"> </w:t>
      </w:r>
      <w:r>
        <w:t xml:space="preserve">50 rows, 27 still need a primary source (mostly Chinese aggregator entries), 19 need</w:t>
      </w:r>
      <w:r>
        <w:t xml:space="preserve"> </w:t>
      </w:r>
      <w:r>
        <w:t xml:space="preserve">a version and URL, 3 need a license check, and 1 needs author input; these are</w:t>
      </w:r>
      <w:r>
        <w:t xml:space="preserve"> </w:t>
      </w:r>
      <w:r>
        <w:t xml:space="preserve">flagged in the status column rather than presented as resolved. Where a Chinese value</w:t>
      </w:r>
      <w:r>
        <w:t xml:space="preserve"> </w:t>
      </w:r>
      <w:r>
        <w:t xml:space="preserve">could not be matched to a primary technical document, it is labeled as</w:t>
      </w:r>
      <w:r>
        <w:t xml:space="preserve"> </w:t>
      </w:r>
      <w:r>
        <w:t xml:space="preserve">industry-compiled rather than as a breeder specification.</w:t>
      </w:r>
    </w:p>
    <w:p>
      <w:pPr>
        <w:pStyle w:val="BodyText"/>
      </w:pPr>
      <w:r>
        <w:rPr>
          <w:b/>
          <w:bCs/>
        </w:rPr>
        <w:t xml:space="preserve">R2.21 — Phase remapping undocumented.</w:t>
      </w:r>
      <w:r>
        <w:t xml:space="preserve"> </w:t>
      </w:r>
      <w:r>
        <w:t xml:space="preserve">Accepted. The phase crosswalk is reported in Table S2 and</w:t>
      </w:r>
      <w:r>
        <w:t xml:space="preserve"> </w:t>
      </w:r>
      <w:r>
        <w:rPr>
          <w:rStyle w:val="VerbatimChar"/>
        </w:rPr>
        <w:t xml:space="preserve">phase_crosswalk.csv</w:t>
      </w:r>
      <w:r>
        <w:t xml:space="preserve">,</w:t>
      </w:r>
      <w:r>
        <w:t xml:space="preserve"> </w:t>
      </w:r>
      <w:r>
        <w:t xml:space="preserve">with the source phase, target phase, and the rule used for each breed. The main</w:t>
      </w:r>
      <w:r>
        <w:t xml:space="preserve"> </w:t>
      </w:r>
      <w:r>
        <w:t xml:space="preserve">text now points to the crosswalk rather than implying that phases are directly</w:t>
      </w:r>
      <w:r>
        <w:t xml:space="preserve"> </w:t>
      </w:r>
      <w:r>
        <w:t xml:space="preserve">interchangeable.</w:t>
      </w:r>
    </w:p>
    <w:p>
      <w:pPr>
        <w:pStyle w:val="BodyText"/>
      </w:pPr>
      <w:r>
        <w:rPr>
          <w:b/>
          <w:bCs/>
        </w:rPr>
        <w:t xml:space="preserve">R2.22 — “Data points” mixes units.</w:t>
      </w:r>
      <w:r>
        <w:t xml:space="preserve"> </w:t>
      </w:r>
      <w:r>
        <w:t xml:space="preserve">Accepted. §2.1 now defines each count: ingredient records, parameters, populated</w:t>
      </w:r>
      <w:r>
        <w:t xml:space="preserve"> </w:t>
      </w:r>
      <w:r>
        <w:t xml:space="preserve">cells, and vitamin/mineral cells are reported separately, with units and missing</w:t>
      </w:r>
      <w:r>
        <w:t xml:space="preserve"> </w:t>
      </w:r>
      <w:r>
        <w:t xml:space="preserve">cells distinguished. The aggregate “data points” label is removed.</w:t>
      </w:r>
    </w:p>
    <w:p>
      <w:pPr>
        <w:pStyle w:val="BodyText"/>
      </w:pPr>
      <w:r>
        <w:rPr>
          <w:b/>
          <w:bCs/>
        </w:rPr>
        <w:t xml:space="preserve">R2.23 — Entity resolution is fragile.</w:t>
      </w:r>
      <w:r>
        <w:t xml:space="preserve"> </w:t>
      </w:r>
      <w:r>
        <w:t xml:space="preserve">Partially accepted. A curated alias table is added, and E15 (39 perturbations)</w:t>
      </w:r>
      <w:r>
        <w:t xml:space="preserve"> </w:t>
      </w:r>
      <w:r>
        <w:t xml:space="preserve">gives 100% family-level resolution for exact, commodity-short, and case/whitespace</w:t>
      </w:r>
      <w:r>
        <w:t xml:space="preserve"> </w:t>
      </w:r>
      <w:r>
        <w:t xml:space="preserve">names, but only 37.5% for misspellings and 0% for Chinese aliases. The feed index</w:t>
      </w:r>
      <w:r>
        <w:t xml:space="preserve"> </w:t>
      </w:r>
      <w:r>
        <w:t xml:space="preserve">remains English-only and substring-based; we state this as a limitation rather</w:t>
      </w:r>
      <w:r>
        <w:t xml:space="preserve"> </w:t>
      </w:r>
      <w:r>
        <w:t xml:space="preserve">than claiming robust bilingual entity resolution.</w:t>
      </w:r>
    </w:p>
    <w:p>
      <w:pPr>
        <w:pStyle w:val="BodyText"/>
      </w:pPr>
      <w:r>
        <w:rPr>
          <w:b/>
          <w:bCs/>
        </w:rPr>
        <w:t xml:space="preserve">R2.30 — USDA source is wrong for eggs.</w:t>
      </w:r>
      <w:r>
        <w:t xml:space="preserve"> </w:t>
      </w:r>
      <w:r>
        <w:t xml:space="preserve">Accepted. The egg-production share now cites Yang (2021); the USDA report is not</w:t>
      </w:r>
      <w:r>
        <w:t xml:space="preserve"> </w:t>
      </w:r>
      <w:r>
        <w:t xml:space="preserve">used as the source for that value.</w:t>
      </w:r>
    </w:p>
    <w:p>
      <w:pPr>
        <w:pStyle w:val="BodyText"/>
      </w:pPr>
      <w:r>
        <w:rPr>
          <w:b/>
          <w:bCs/>
        </w:rPr>
        <w:t xml:space="preserve">R2.31 — Balaguer percent vs percentage points.</w:t>
      </w:r>
      <w:r>
        <w:t xml:space="preserve"> </w:t>
      </w:r>
      <w:r>
        <w:t xml:space="preserve">Accepted. The text now states</w:t>
      </w:r>
      <w:r>
        <w:t xml:space="preserve"> </w:t>
      </w:r>
      <w:r>
        <w:t xml:space="preserve">“more than six percentage points”</w:t>
      </w:r>
      <w:r>
        <w:t xml:space="preserve"> </w:t>
      </w:r>
      <w:r>
        <w:t xml:space="preserve">for fine-tuning and</w:t>
      </w:r>
      <w:r>
        <w:t xml:space="preserve"> </w:t>
      </w:r>
      <w:r>
        <w:t xml:space="preserve">“approximately five percentage points further”</w:t>
      </w:r>
      <w:r>
        <w:t xml:space="preserve"> </w:t>
      </w:r>
      <w:r>
        <w:t xml:space="preserve">for RAG in the cumulative setup, and</w:t>
      </w:r>
      <w:r>
        <w:t xml:space="preserve"> </w:t>
      </w:r>
      <w:r>
        <w:t xml:space="preserve">no longer describes the difference as a percent increase.</w:t>
      </w:r>
    </w:p>
    <w:p>
      <w:pPr>
        <w:pStyle w:val="BodyText"/>
      </w:pPr>
      <w:r>
        <w:rPr>
          <w:b/>
          <w:bCs/>
        </w:rPr>
        <w:t xml:space="preserve">R2.32 — Nutritionist shortage is unsourced.</w:t>
      </w:r>
      <w:r>
        <w:t xml:space="preserve"> </w:t>
      </w:r>
      <w:r>
        <w:t xml:space="preserve">Accepted. The workforce claim is removed from the argument or explicitly labeled</w:t>
      </w:r>
      <w:r>
        <w:t xml:space="preserve"> </w:t>
      </w:r>
      <w:r>
        <w:t xml:space="preserve">as contextual; it is no longer used as quantitative motivation.</w:t>
      </w:r>
    </w:p>
    <w:p>
      <w:pPr>
        <w:pStyle w:val="BodyText"/>
      </w:pPr>
      <w:r>
        <w:rPr>
          <w:b/>
          <w:bCs/>
        </w:rPr>
        <w:t xml:space="preserve">R2.37 — Seven vs six baselines; four vs seven query types.</w:t>
      </w:r>
      <w:r>
        <w:t xml:space="preserve"> </w:t>
      </w:r>
      <w:r>
        <w:t xml:space="preserve">Accepted. §1/§2.4 now state six standalone LLM baselines plus one single-agent</w:t>
      </w:r>
      <w:r>
        <w:t xml:space="preserve"> </w:t>
      </w:r>
      <w:r>
        <w:t xml:space="preserve">architectural control, and seven query types across six knowledge domains. The</w:t>
      </w:r>
      <w:r>
        <w:t xml:space="preserve"> </w:t>
      </w:r>
      <w:r>
        <w:t xml:space="preserve">stale counts are removed from the abstract and Table 5 notes.</w:t>
      </w:r>
    </w:p>
    <w:p>
      <w:pPr>
        <w:pStyle w:val="BodyText"/>
      </w:pPr>
      <w:r>
        <w:rPr>
          <w:b/>
          <w:bCs/>
        </w:rPr>
        <w:t xml:space="preserve">R2.38 — General design principle overstated.</w:t>
      </w:r>
      <w:r>
        <w:t xml:space="preserve"> </w:t>
      </w:r>
      <w:r>
        <w:t xml:space="preserve">Accepted. The “design principle applicable beyond poultry nutrition” sentence is</w:t>
      </w:r>
      <w:r>
        <w:t xml:space="preserve"> </w:t>
      </w:r>
      <w:r>
        <w:t xml:space="preserve">now framed as a hypothesis for future cross-domain work, not as a demonstrated</w:t>
      </w:r>
      <w:r>
        <w:t xml:space="preserve"> </w:t>
      </w:r>
      <w:r>
        <w:t xml:space="preserve">general conclusion (Conclusion and Limitations).</w:t>
      </w:r>
    </w:p>
    <w:p>
      <w:pPr>
        <w:pStyle w:val="BodyText"/>
      </w:pPr>
      <w:r>
        <w:rPr>
          <w:b/>
          <w:bCs/>
        </w:rPr>
        <w:t xml:space="preserve">R2.39 — SID definition; Stein is pigs.</w:t>
      </w:r>
      <w:r>
        <w:t xml:space="preserve"> </w:t>
      </w:r>
      <w:r>
        <w:t xml:space="preserve">Accepted. SID is defined as standardized ileal digestibility; the Stein reference,</w:t>
      </w:r>
      <w:r>
        <w:t xml:space="preserve"> </w:t>
      </w:r>
      <w:r>
        <w:t xml:space="preserve">which concerns pigs, is removed from the poultry justification.</w:t>
      </w:r>
    </w:p>
    <w:p>
      <w:pPr>
        <w:pStyle w:val="BodyText"/>
      </w:pPr>
      <w:r>
        <w:rPr>
          <w:b/>
          <w:bCs/>
        </w:rPr>
        <w:t xml:space="preserve">R2.40 — “Species-independent” is imprecise.</w:t>
      </w:r>
      <w:r>
        <w:t xml:space="preserve"> </w:t>
      </w:r>
      <w:r>
        <w:t xml:space="preserve">Accepted. The wording is changed to “shared across layer breeds”; the manuscript</w:t>
      </w:r>
      <w:r>
        <w:t xml:space="preserve"> </w:t>
      </w:r>
      <w:r>
        <w:t xml:space="preserve">no longer claims species independence for the shared ingredient/definition</w:t>
      </w:r>
      <w:r>
        <w:t xml:space="preserve"> </w:t>
      </w:r>
      <w:r>
        <w:t xml:space="preserve">modules.</w:t>
      </w:r>
    </w:p>
    <w:p>
      <w:pPr>
        <w:pStyle w:val="BodyText"/>
      </w:pPr>
      <w:r>
        <w:rPr>
          <w:b/>
          <w:bCs/>
        </w:rPr>
        <w:t xml:space="preserve">R2.41 — Suggested citations.</w:t>
      </w:r>
      <w:r>
        <w:t xml:space="preserve"> </w:t>
      </w:r>
      <w:r>
        <w:t xml:space="preserve">Accepted. All three suggested works were verified by DOI and added: Ruchay et al.</w:t>
      </w:r>
      <w:r>
        <w:t xml:space="preserve"> </w:t>
      </w:r>
      <w:r>
        <w:t xml:space="preserve">(2027, agentic AI for livestock housing), Tian et al. (2026, foundation models in</w:t>
      </w:r>
      <w:r>
        <w:t xml:space="preserve"> </w:t>
      </w:r>
      <w:r>
        <w:t xml:space="preserve">precision livestock farming), and Silvestri et al. (2026, digital technologies in</w:t>
      </w:r>
      <w:r>
        <w:t xml:space="preserve"> </w:t>
      </w:r>
      <w:r>
        <w:t xml:space="preserve">animal housing). CottonBot (Kandamali et al., 2025) and the RAG-grounded greenhouse</w:t>
      </w:r>
      <w:r>
        <w:t xml:space="preserve"> </w:t>
      </w:r>
      <w:r>
        <w:t xml:space="preserve">architecture (Pardo-Pina et al., 2026) were also verified and added to the</w:t>
      </w:r>
      <w:r>
        <w:t xml:space="preserve"> </w:t>
      </w:r>
      <w:r>
        <w:t xml:space="preserve">Introduction and Table 1. The duplicate AgroLLM preprint was removed: the</w:t>
      </w:r>
      <w:r>
        <w:t xml:space="preserve"> </w:t>
      </w:r>
      <w:r>
        <w:t xml:space="preserve">peer-reviewed AgriEngineering version (Ravindran et al., 2026) is retained, and the</w:t>
      </w:r>
      <w:r>
        <w:t xml:space="preserve"> </w:t>
      </w:r>
      <w:r>
        <w:t xml:space="preserve">earlier Samuel et al. (2025) arXiv entry is no longer cited as independent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R2.13 / R2.14 / R2.15 / R2.16 / R2.17 / R2.18 (metrics).</w:t>
      </w:r>
      <w:r>
        <w:t xml:space="preserve"> </w:t>
      </w:r>
      <w:r>
        <w:t xml:space="preserve">SelfCheckGPT-NLI</w:t>
      </w:r>
      <w:r>
        <w:t xml:space="preserve"> </w:t>
      </w:r>
      <w:r>
        <w:t xml:space="preserve">is renamed and interpreted as cross-sample inconsistency; the exact NLI model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MoritzLaurer/mDeBERTa-v3-base-mnli-xnli</w:t>
      </w:r>
      <w:r>
        <w:t xml:space="preserve"> </w:t>
      </w:r>
      <w:r>
        <w:t xml:space="preserve">(the local snapshot is pinned in</w:t>
      </w:r>
      <w:r>
        <w:t xml:space="preserve"> </w:t>
      </w:r>
      <w:r>
        <w:rPr>
          <w:rStyle w:val="VerbatimChar"/>
        </w:rPr>
        <w:t xml:space="preserve">config/models.lock.yaml</w:t>
      </w:r>
      <w:r>
        <w:t xml:space="preserve">, with file hashes in the run manifest; the upstream</w:t>
      </w:r>
      <w:r>
        <w:t xml:space="preserve"> </w:t>
      </w:r>
      <w:r>
        <w:t xml:space="preserve">repository revision is not recorded, which we state as a limitation); numeric</w:t>
      </w:r>
      <w:r>
        <w:t xml:space="preserve"> </w:t>
      </w:r>
      <w:r>
        <w:t xml:space="preserve">faithfulness is described as a permissive</w:t>
      </w:r>
      <w:r>
        <w:t xml:space="preserve"> </w:t>
      </w:r>
      <w:r>
        <w:t xml:space="preserve">any-number match, not provenance; the rule-based claim-aware audit (E4) is</w:t>
      </w:r>
      <w:r>
        <w:t xml:space="preserve"> </w:t>
      </w:r>
      <w:r>
        <w:t xml:space="preserve">reported with its parser caveat, and the human-labeled subset is still pending.</w:t>
      </w:r>
      <w:r>
        <w:t xml:space="preserve"> </w:t>
      </w:r>
      <w:r>
        <w:t xml:space="preserve">The tolerance implementation now matches the relative-error 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|p−g|/|g| ≤ τ</w:t>
      </w:r>
      <w:r>
        <w:t xml:space="preserve">); E14 gives 32/36 correct at ±5% (88.9%), 83.3% at ±2%, with</w:t>
      </w:r>
      <w:r>
        <w:t xml:space="preserve"> </w:t>
      </w:r>
      <w:r>
        <w:t xml:space="preserve">4 wrong values and no missing numeric answers. The old interval rule agrees on</w:t>
      </w:r>
      <w:r>
        <w:t xml:space="preserve"> </w:t>
      </w:r>
      <w:r>
        <w:t xml:space="preserve">every case in this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R2.19–R2.24 (data and query description).</w:t>
      </w:r>
      <w:r>
        <w:t xml:space="preserve"> </w:t>
      </w:r>
      <w:r>
        <w:t xml:space="preserve">The 20-parameter schema, 108</w:t>
      </w:r>
      <w:r>
        <w:t xml:space="preserve"> </w:t>
      </w:r>
      <w:r>
        <w:t xml:space="preserve">ingredient records, completeness, phase crosswalk, provenance, and entity</w:t>
      </w:r>
      <w:r>
        <w:t xml:space="preserve"> </w:t>
      </w:r>
      <w:r>
        <w:t xml:space="preserve">resolution are reported in §2.1/§2.3 and Tables S1–S3; retrieval hit@k is</w:t>
      </w:r>
      <w:r>
        <w:t xml:space="preserve"> </w:t>
      </w:r>
      <w:r>
        <w:t xml:space="preserve">reported (E6); the exact k-sensitivity is not completed, while the D4 proxy ITT is</w:t>
      </w:r>
      <w:r>
        <w:t xml:space="preserve"> </w:t>
      </w:r>
      <w:r>
        <w:t xml:space="preserve">reported in R2.27 and S19.</w:t>
      </w:r>
      <w:r>
        <w:t xml:space="preserve"> </w:t>
      </w:r>
      <w:r>
        <w:t xml:space="preserve">A 39-case perturbation test (E15) found 100% family-level resolution for exact,</w:t>
      </w:r>
      <w:r>
        <w:t xml:space="preserve"> </w:t>
      </w:r>
      <w:r>
        <w:t xml:space="preserve">commodity short, and case/whitespace names, but only 37.5% family-correct for</w:t>
      </w:r>
      <w:r>
        <w:t xml:space="preserve"> </w:t>
      </w:r>
      <w:r>
        <w:t xml:space="preserve">misspellings and 0% for Chinese aliases; the feed index is English-only, so</w:t>
      </w:r>
      <w:r>
        <w:t xml:space="preserve"> </w:t>
      </w:r>
      <w:r>
        <w:t xml:space="preserve">Chinese inputs depend on the model translating the ingredient name before the</w:t>
      </w:r>
      <w:r>
        <w:t xml:space="preserve"> </w:t>
      </w:r>
      <w:r>
        <w:t xml:space="preserve">tool call. We state this as a limitation rather than claiming robust bilingual</w:t>
      </w:r>
      <w:r>
        <w:t xml:space="preserve"> </w:t>
      </w:r>
      <w:r>
        <w:t xml:space="preserve">entity resolution.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R2.29–R2.42 (positioning and line edits).</w:t>
      </w:r>
      <w:r>
        <w:t xml:space="preserve"> </w:t>
      </w:r>
      <w:r>
        <w:t xml:space="preserve">Categorical absence claims are</w:t>
      </w:r>
      <w:r>
        <w:t xml:space="preserve"> </w:t>
      </w:r>
      <w:r>
        <w:t xml:space="preserve">softened; USDA is replaced by Yang (2021); Balaguer’s 5% is corrected to</w:t>
      </w:r>
      <w:r>
        <w:t xml:space="preserve"> </w:t>
      </w:r>
      <w:r>
        <w:t xml:space="preserve">percentage points; the workforce claim is sourced/softened; model IDs and</w:t>
      </w:r>
      <w:r>
        <w:t xml:space="preserve"> </w:t>
      </w:r>
      <w:r>
        <w:t xml:space="preserve">determinism are corrected. A 10-query × 3-run check at temperature 0.0 gives mean</w:t>
      </w:r>
      <w:r>
        <w:t xml:space="preserve"> </w:t>
      </w:r>
      <w:r>
        <w:t xml:space="preserve">pairwise similarity 0.371 (range 0.106–0.870) and exact-match rate 0, so all</w:t>
      </w:r>
      <w:r>
        <w:t xml:space="preserve"> </w:t>
      </w:r>
      <w:r>
        <w:t xml:space="preserve">scores are labeled single-run and small differences are not overinterpreted</w:t>
      </w:r>
      <w:r>
        <w:t xml:space="preserve"> </w:t>
      </w:r>
      <w:r>
        <w:t xml:space="preserve">(E9, §2.3.5). Cost details, formulation caveats, baseline counts, and</w:t>
      </w:r>
      <w:r>
        <w:t xml:space="preserve"> </w:t>
      </w:r>
      <w:r>
        <w:t xml:space="preserve">SID/species-independent wording are corrected. The 60+ line edits are applied in</w:t>
      </w:r>
      <w:r>
        <w:t xml:space="preserve"> </w:t>
      </w:r>
      <w:r>
        <w:t xml:space="preserve">the revised manuscript; page anchors are in the location guide at the top, and</w:t>
      </w:r>
      <w:r>
        <w:t xml:space="preserve"> </w:t>
      </w:r>
      <w:r>
        <w:t xml:space="preserve">the PDF carries continuous line numbers.</w:t>
      </w:r>
    </w:p>
    <w:bookmarkEnd w:id="15"/>
    <w:bookmarkStart w:id="16" w:name="reviewer-3"/>
    <w:p>
      <w:pPr>
        <w:pStyle w:val="Heading3"/>
      </w:pPr>
      <w:r>
        <w:t xml:space="preserve">Reviewer 3</w:t>
      </w:r>
    </w:p>
    <w:p>
      <w:pPr>
        <w:pStyle w:val="FirstParagraph"/>
      </w:pPr>
      <w:r>
        <w:rPr>
          <w:b/>
          <w:bCs/>
        </w:rPr>
        <w:t xml:space="preserve">R3.1 / R3.2 — Novelty vs NutriCHAT; adopted vs new components.</w:t>
      </w:r>
      <w:r>
        <w:t xml:space="preserve"> </w:t>
      </w:r>
      <w:r>
        <w:t xml:space="preserve">Accepted. Supplementary S14 is a new attribution table that separates adopted components</w:t>
      </w:r>
      <w:r>
        <w:t xml:space="preserve"> </w:t>
      </w:r>
      <w:r>
        <w:t xml:space="preserve">(ReAct loop, four tools, RAG) from Rev.1 contributions (specialist routing, entity-aware</w:t>
      </w:r>
      <w:r>
        <w:t xml:space="preserve"> </w:t>
      </w:r>
      <w:r>
        <w:t xml:space="preserve">consistency checker, bilingual layer-hen corpus, E1/E2 factorial controls, blinded</w:t>
      </w:r>
      <w:r>
        <w:t xml:space="preserve"> </w:t>
      </w:r>
      <w:r>
        <w:t xml:space="preserve">re-score). Table 8 compares the design dimensions; the manuscript no longer presents</w:t>
      </w:r>
      <w:r>
        <w:t xml:space="preserve"> </w:t>
      </w:r>
      <w:r>
        <w:t xml:space="preserve">adopted components as novel.</w:t>
      </w:r>
    </w:p>
    <w:p>
      <w:pPr>
        <w:pStyle w:val="BodyText"/>
      </w:pPr>
      <w:r>
        <w:rPr>
          <w:b/>
          <w:bCs/>
        </w:rPr>
        <w:t xml:space="preserve">R3.3 — Related work on multi-agent mechanisms.</w:t>
      </w:r>
      <w:r>
        <w:t xml:space="preserve"> </w:t>
      </w:r>
      <w:r>
        <w:t xml:space="preserve">Accepted in part. The related-work section now discusses specialist routing, validation,</w:t>
      </w:r>
      <w:r>
        <w:t xml:space="preserve"> </w:t>
      </w:r>
      <w:r>
        <w:t xml:space="preserve">and failure modes; we did not attempt a comprehensive survey of every multi-agent</w:t>
      </w:r>
      <w:r>
        <w:t xml:space="preserve"> </w:t>
      </w:r>
      <w:r>
        <w:t xml:space="preserve">framework. The N=5 choice is supported by E5 (next item). Retrieval hit@k (E6) still shows</w:t>
      </w:r>
      <w:r>
        <w:t xml:space="preserve"> </w:t>
      </w:r>
      <w:r>
        <w:t xml:space="preserve">k=1 misses most annotated targets; the D4 proxy ITT is reported in R3.10 and S19. We state</w:t>
      </w:r>
      <w:r>
        <w:t xml:space="preserve"> </w:t>
      </w:r>
      <w:r>
        <w:t xml:space="preserve">these as limitations rather than claiming an exact ITT or a complete k-sensitivity.</w:t>
      </w:r>
    </w:p>
    <w:p>
      <w:pPr>
        <w:pStyle w:val="BodyText"/>
      </w:pPr>
      <w:r>
        <w:rPr>
          <w:b/>
          <w:bCs/>
        </w:rPr>
        <w:t xml:space="preserve">R3.4 / R3.5 — D5 and D1 do not isolate the mechanism.</w:t>
      </w:r>
      <w:r>
        <w:t xml:space="preserve"> </w:t>
      </w:r>
      <w:r>
        <w:t xml:space="preserve">Accepted. E2 holds inputs and output budget fixed and shows validation-off = correct</w:t>
      </w:r>
      <w:r>
        <w:t xml:space="preserve"> </w:t>
      </w:r>
      <w:r>
        <w:t xml:space="preserve">warnings = 4.91, shuffled 4.87, query-only 4.85, concatenation 4.28; the integration claim</w:t>
      </w:r>
      <w:r>
        <w:t xml:space="preserve"> </w:t>
      </w:r>
      <w:r>
        <w:t xml:space="preserve">is withdrawn. E1 provides the true single-pass and tools/RAG controls; the submitted</w:t>
      </w:r>
      <w:r>
        <w:t xml:space="preserve"> </w:t>
      </w:r>
      <w:r>
        <w:t xml:space="preserve">no-ReAct row was a dispatch defect and is withdrawn.</w:t>
      </w:r>
    </w:p>
    <w:p>
      <w:pPr>
        <w:pStyle w:val="BodyText"/>
      </w:pPr>
      <w:r>
        <w:rPr>
          <w:b/>
          <w:bCs/>
        </w:rPr>
        <w:t xml:space="preserve">R3.6 / R3.7 — Rules need justification; NLI model identity.</w:t>
      </w:r>
      <w:r>
        <w:t xml:space="preserve"> </w:t>
      </w:r>
      <w:r>
        <w:t xml:space="preserve">Accepted. The checker now compares entity, attribute, unit, and basis, handles both word</w:t>
      </w:r>
      <w:r>
        <w:t xml:space="preserve"> </w:t>
      </w:r>
      <w:r>
        <w:t xml:space="preserve">orders, and uses a 5% threshold; the Ca:P rule is opt-in. E3’s 42-pair test detects 16/16</w:t>
      </w:r>
      <w:r>
        <w:t xml:space="preserve"> </w:t>
      </w:r>
      <w:r>
        <w:t xml:space="preserve">conflicts and stays silent on 26 consistent/distractor pairs (rule-coverage caveat in S7b).</w:t>
      </w:r>
      <w:r>
        <w:t xml:space="preserve"> </w:t>
      </w:r>
      <w:r>
        <w:t xml:space="preserve">The NLI model is exactly</w:t>
      </w:r>
      <w:r>
        <w:t xml:space="preserve"> </w:t>
      </w:r>
      <w:r>
        <w:rPr>
          <w:rStyle w:val="VerbatimChar"/>
        </w:rPr>
        <w:t xml:space="preserve">MoritzLaurer/mDeBERTa-v3-base-mnli-xnli</w:t>
      </w:r>
      <w:r>
        <w:t xml:space="preserve">; the local snapshot is pinned in</w:t>
      </w:r>
      <w:r>
        <w:t xml:space="preserve"> </w:t>
      </w:r>
      <w:r>
        <w:rPr>
          <w:rStyle w:val="VerbatimChar"/>
        </w:rPr>
        <w:t xml:space="preserve">config/models.lock.yaml</w:t>
      </w:r>
      <w:r>
        <w:t xml:space="preserve">, file hashes are recorded by</w:t>
      </w:r>
      <w:r>
        <w:t xml:space="preserve"> </w:t>
      </w:r>
      <w:r>
        <w:rPr>
          <w:rStyle w:val="VerbatimChar"/>
        </w:rPr>
        <w:t xml:space="preserve">run_manifest.py</w:t>
      </w:r>
      <w:r>
        <w:t xml:space="preserve">, and the upstream revision is not recorded (stated as a limitation).</w:t>
      </w:r>
    </w:p>
    <w:p>
      <w:pPr>
        <w:pStyle w:val="BodyText"/>
      </w:pPr>
      <w:r>
        <w:rPr>
          <w:b/>
          <w:bCs/>
        </w:rPr>
        <w:t xml:space="preserve">R3.8 — Expert design; kappa vs rho.</w:t>
      </w:r>
      <w:r>
        <w:t xml:space="preserve"> </w:t>
      </w:r>
      <w:r>
        <w:t xml:space="preserve">Completed. The primary expert scored 378 responses. A repeat 120-response sheet from the</w:t>
      </w:r>
      <w:r>
        <w:t xml:space="preserve"> </w:t>
      </w:r>
      <w:r>
        <w:t xml:space="preserve">primary gives intra-rater ICC(2,1) = 0.995/0.996/0.932 (correctness/precision/depth);</w:t>
      </w:r>
      <w:r>
        <w:t xml:space="preserve"> </w:t>
      </w:r>
      <w:r>
        <w:t xml:space="preserve">weighted κ = 0.995/0.996/0.931; it is a same-expert repeat/copy pass and is not used as an</w:t>
      </w:r>
      <w:r>
        <w:t xml:space="preserve"> </w:t>
      </w:r>
      <w:r>
        <w:t xml:space="preserve">independent rater. The independent third rater gives ICC(2,1) = 0.847 (correctness), 0.876</w:t>
      </w:r>
      <w:r>
        <w:t xml:space="preserve"> </w:t>
      </w:r>
      <w:r>
        <w:t xml:space="preserve">(precision), 0.760 (depth); quadratic weighted κ = 0.846/0.874/0.758; Spearman ρ =</w:t>
      </w:r>
      <w:r>
        <w:t xml:space="preserve"> </w:t>
      </w:r>
      <w:r>
        <w:t xml:space="preserve">0.862/0.913/0.725; Bland–Altman mean differences −0.27/−0.11/+0.21. We report both κ and ρ,</w:t>
      </w:r>
      <w:r>
        <w:t xml:space="preserve"> </w:t>
      </w:r>
      <w:r>
        <w:t xml:space="preserve">do not claim full dual scoring of all 378 responses, and have withdrawn the unverifiable</w:t>
      </w:r>
      <w:r>
        <w:t xml:space="preserve"> </w:t>
      </w:r>
      <w:r>
        <w:t xml:space="preserve">submitted rho values (R2.10).</w:t>
      </w:r>
    </w:p>
    <w:p>
      <w:pPr>
        <w:pStyle w:val="BodyText"/>
      </w:pPr>
      <w:r>
        <w:rPr>
          <w:b/>
          <w:bCs/>
        </w:rPr>
        <w:t xml:space="preserve">R3.9 — N=5 stabilization claim.</w:t>
      </w:r>
      <w:r>
        <w:t xml:space="preserve"> </w:t>
      </w:r>
      <w:r>
        <w:t xml:space="preserve">Accepted. The unsupported stabilization wording is removed. E5 (20 queries) gives means</w:t>
      </w:r>
      <w:r>
        <w:t xml:space="preserve"> </w:t>
      </w:r>
      <w:r>
        <w:t xml:space="preserve">0.163/0.153/0.149 at N=5/10/20 with Pearson 0.977/0.963/0.995: N=5 is adequate for relative</w:t>
      </w:r>
      <w:r>
        <w:t xml:space="preserve"> </w:t>
      </w:r>
      <w:r>
        <w:t xml:space="preserve">comparisons, but absolute scores are N-dependent (Supplementary S6).</w:t>
      </w:r>
    </w:p>
    <w:p>
      <w:pPr>
        <w:pStyle w:val="BodyText"/>
      </w:pPr>
      <w:r>
        <w:rPr>
          <w:b/>
          <w:bCs/>
        </w:rPr>
        <w:t xml:space="preserve">R3.10 — D4 excludes retrieval failures.</w:t>
      </w:r>
      <w:r>
        <w:t xml:space="preserve"> </w:t>
      </w:r>
      <w:r>
        <w:t xml:space="preserve">Accepted with a transparent proxy. The Rev.1 re-score has all 54 correctness scores but no retained failure flag; the four submitted-run exclusions cannot be reconstructed. Using the 16 E6 hit@5 misses as a conservative failure proxy (score 1), +RAG is 3.50 vs no-RAG 4.52 (Δ −1.02; 95% CI −1.52 to −0.52; p &lt; 0.001); complete-case is null (4.52 vs 4.52). The proxy is labeled as such and is not an exact four-query ITT (S19). E6 hit@1 27.3%, hit@3 54.5%, hit@5 63.6% (MRR 0.411) still quantifies the retrieval miss rate.</w:t>
      </w:r>
    </w:p>
    <w:p>
      <w:pPr>
        <w:pStyle w:val="BodyText"/>
      </w:pPr>
      <w:r>
        <w:rPr>
          <w:b/>
          <w:bCs/>
        </w:rPr>
        <w:t xml:space="preserve">R3.11 — Cost comparison confounded; NutriCHAT model wrong.</w:t>
      </w:r>
      <w:r>
        <w:t xml:space="preserve"> </w:t>
      </w:r>
      <w:r>
        <w:t xml:space="preserve">Accepted. NutriCHAT uses GPT-4o for generation and Claude Sonnet 4.5 as its evaluator; the</w:t>
      </w:r>
      <w:r>
        <w:t xml:space="preserve"> </w:t>
      </w:r>
      <w:r>
        <w:t xml:space="preserve">cost paragraph and Table 8 are corrected. The USD 0.0007 vs USD 0.0124 figures are explicitly</w:t>
      </w:r>
      <w:r>
        <w:t xml:space="preserve"> </w:t>
      </w:r>
      <w:r>
        <w:t xml:space="preserve">not treated as architectural efficiency.</w:t>
      </w:r>
    </w:p>
    <w:p>
      <w:pPr>
        <w:pStyle w:val="BodyText"/>
      </w:pPr>
      <w:r>
        <w:rPr>
          <w:b/>
          <w:bCs/>
        </w:rPr>
        <w:t xml:space="preserve">R3.12 — Chinese breed provenance.</w:t>
      </w:r>
      <w:r>
        <w:t xml:space="preserve"> </w:t>
      </w:r>
      <w:r>
        <w:t xml:space="preserve">Accepted in part.</w:t>
      </w:r>
      <w:r>
        <w:t xml:space="preserve"> </w:t>
      </w:r>
      <w:r>
        <w:rPr>
          <w:rStyle w:val="VerbatimChar"/>
        </w:rPr>
        <w:t xml:space="preserve">corpus/provenance.csv</w:t>
      </w:r>
      <w:r>
        <w:t xml:space="preserve"> </w:t>
      </w:r>
      <w:r>
        <w:t xml:space="preserve">and Table S3 separate breeder guides, the</w:t>
      </w:r>
      <w:r>
        <w:t xml:space="preserve"> </w:t>
      </w:r>
      <w:r>
        <w:t xml:space="preserve">jbzyw.com aggregator, and public feed tables; Chinese domestic rows obtained through the</w:t>
      </w:r>
      <w:r>
        <w:t xml:space="preserve"> </w:t>
      </w:r>
      <w:r>
        <w:t xml:space="preserve">aggregator are labeled as such. Of the 50 provenance rows, 27 still need a primary source,</w:t>
      </w:r>
      <w:r>
        <w:t xml:space="preserve"> </w:t>
      </w:r>
      <w:r>
        <w:t xml:space="preserve">19 need a version and URL, 3 need a license check, and 1 needs author input; these are</w:t>
      </w:r>
      <w:r>
        <w:t xml:space="preserve"> </w:t>
      </w:r>
      <w:r>
        <w:t xml:space="preserve">flagged in the status column, and the manuscript states this gap rather than presenting</w:t>
      </w:r>
      <w:r>
        <w:t xml:space="preserve"> </w:t>
      </w:r>
      <w:r>
        <w:t xml:space="preserve">every row as fully resolved.</w:t>
      </w:r>
    </w:p>
    <w:p>
      <w:pPr>
        <w:pStyle w:val="BodyText"/>
      </w:pPr>
      <w:r>
        <w:rPr>
          <w:b/>
          <w:bCs/>
        </w:rPr>
        <w:t xml:space="preserve">R3.13 — D1 controls not documented.</w:t>
      </w:r>
      <w:r>
        <w:t xml:space="preserve"> </w:t>
      </w:r>
      <w:r>
        <w:t xml:space="preserve">Accepted. E1’s six conditions are documented in Table 2, Table 3, and Supplementary S11a;</w:t>
      </w:r>
      <w:r>
        <w:t xml:space="preserve"> </w:t>
      </w:r>
      <w:r>
        <w:t xml:space="preserve">the output budget and backbone are held fixed.</w:t>
      </w:r>
    </w:p>
    <w:p>
      <w:pPr>
        <w:pStyle w:val="BodyText"/>
      </w:pPr>
      <w:r>
        <w:rPr>
          <w:b/>
          <w:bCs/>
        </w:rPr>
        <w:t xml:space="preserve">R3.14 — D2 does not measure domain importance; information leak.</w:t>
      </w:r>
      <w:r>
        <w:t xml:space="preserve"> </w:t>
      </w:r>
      <w:r>
        <w:t xml:space="preserve">Partially accepted. D2 removes the specialist and its tool, but the shared PoultryDB can</w:t>
      </w:r>
      <w:r>
        <w:t xml:space="preserve"> </w:t>
      </w:r>
      <w:r>
        <w:t xml:space="preserve">still surface public feed documents; it is an architectural-removal test, not a strict</w:t>
      </w:r>
      <w:r>
        <w:t xml:space="preserve"> </w:t>
      </w:r>
      <w:r>
        <w:t xml:space="preserve">data-removal test. E7 is the stricter test: on 20 Feed/Cross-Domain queries, deleting the</w:t>
      </w:r>
      <w:r>
        <w:t xml:space="preserve"> </w:t>
      </w:r>
      <w:r>
        <w:t xml:space="preserve">Feed specialist and filtering Feed documents out of RAG gives 4.70 correctness vs 4.40 for</w:t>
      </w:r>
      <w:r>
        <w:t xml:space="preserve"> </w:t>
      </w:r>
      <w:r>
        <w:t xml:space="preserve">the full pipeline (+0.30). Data removal also does not reduce judged quality. Both D2 and</w:t>
      </w:r>
      <w:r>
        <w:t xml:space="preserve"> </w:t>
      </w:r>
      <w:r>
        <w:t xml:space="preserve">E7 are stated in §3.6.1 and Table 7.</w:t>
      </w:r>
    </w:p>
    <w:p>
      <w:pPr>
        <w:pStyle w:val="BodyText"/>
      </w:pPr>
      <w:r>
        <w:rPr>
          <w:b/>
          <w:bCs/>
        </w:rPr>
        <w:t xml:space="preserve">R3.15 — Query provenance and selection procedure.</w:t>
      </w:r>
      <w:r>
        <w:t xml:space="preserve"> </w:t>
      </w:r>
      <w:r>
        <w:t xml:space="preserve">Accepted. §2.3.1 now states that the 195-query pool was compiled by the study team</w:t>
      </w:r>
      <w:r>
        <w:t xml:space="preserve"> </w:t>
      </w:r>
      <w:r>
        <w:t xml:space="preserve">from four existing query sets and that the 54-query set was selected by purposeful</w:t>
      </w:r>
      <w:r>
        <w:t xml:space="preserve"> </w:t>
      </w:r>
      <w:r>
        <w:t xml:space="preserve">stratified selection across seven query types and six domains, fixed before Rev.1</w:t>
      </w:r>
      <w:r>
        <w:t xml:space="preserve"> </w:t>
      </w:r>
      <w:r>
        <w:t xml:space="preserve">scoring. Two domain experts on the study team independently reviewed the set</w:t>
      </w:r>
      <w:r>
        <w:t xml:space="preserve"> </w:t>
      </w:r>
      <w:r>
        <w:t xml:space="preserve">before Rev.1. Because selection was criterion-based rather than random, no random</w:t>
      </w:r>
      <w:r>
        <w:t xml:space="preserve"> </w:t>
      </w:r>
      <w:r>
        <w:t xml:space="preserve">seed is reported; we do not claim a random sample. External independent query</w:t>
      </w:r>
      <w:r>
        <w:t xml:space="preserve"> </w:t>
      </w:r>
      <w:r>
        <w:t xml:space="preserve">validation was not obtained and is stated as a limitation.</w:t>
      </w:r>
    </w:p>
    <w:p>
      <w:pPr>
        <w:pStyle w:val="BodyText"/>
      </w:pPr>
      <w:r>
        <w:rPr>
          <w:b/>
          <w:bCs/>
        </w:rPr>
        <w:t xml:space="preserve">R3.16 — Faithfulness validation.</w:t>
      </w:r>
      <w:r>
        <w:t xml:space="preserve"> </w:t>
      </w:r>
      <w:r>
        <w:t xml:space="preserve">Partially accepted. E4 is a rule-based claim-aware audit (direct entity+attribute support</w:t>
      </w:r>
      <w:r>
        <w:t xml:space="preserve"> </w:t>
      </w:r>
      <w:r>
        <w:t xml:space="preserve">10.9–16.7%, parser lower bound), not a human-labeled validation; the human-labeled subset</w:t>
      </w:r>
      <w:r>
        <w:t xml:space="preserve"> </w:t>
      </w:r>
      <w:r>
        <w:t xml:space="preserve">has not been completed. The manuscript states this explicitly.</w:t>
      </w:r>
    </w:p>
    <w:p>
      <w:pPr>
        <w:pStyle w:val="BodyText"/>
      </w:pPr>
      <w:r>
        <w:rPr>
          <w:b/>
          <w:bCs/>
        </w:rPr>
        <w:t xml:space="preserve">R3.17 — Prompt/tool control.</w:t>
      </w:r>
      <w:r>
        <w:t xml:space="preserve"> </w:t>
      </w:r>
      <w:r>
        <w:t xml:space="preserve">Accepted. Supplementary S13 is a prompt/control matrix and Table 3 records the frozen</w:t>
      </w:r>
      <w:r>
        <w:t xml:space="preserve"> </w:t>
      </w:r>
      <w:r>
        <w:t xml:space="preserve">model settings; together they document which components are shared and which are</w:t>
      </w:r>
      <w:r>
        <w:t xml:space="preserve"> </w:t>
      </w:r>
      <w:r>
        <w:t xml:space="preserve">intentionally varied. Prompt text is in S2.</w:t>
      </w:r>
    </w:p>
    <w:p>
      <w:pPr>
        <w:pStyle w:val="BodyText"/>
      </w:pPr>
      <w:r>
        <w:rPr>
          <w:b/>
          <w:bCs/>
        </w:rPr>
        <w:t xml:space="preserve">R3.18 — Figures 4–8 overlap.</w:t>
      </w:r>
      <w:r>
        <w:t xml:space="preserve"> </w:t>
      </w:r>
      <w:r>
        <w:t xml:space="preserve">Accepted. Figure 11 was replaced with the Rev.1 contrast figure; Fig. 5, 8, 9, and 10 were</w:t>
      </w:r>
      <w:r>
        <w:t xml:space="preserve"> </w:t>
      </w:r>
      <w:r>
        <w:t xml:space="preserve">regenerated from the primary expert scores; Fig. 6 and 7 were regenerated with</w:t>
      </w:r>
      <w:r>
        <w:t xml:space="preserve"> </w:t>
      </w:r>
      <w:r>
        <w:t xml:space="preserve">non-overlapping annotations and are labeled as submitted-run automated panels</w:t>
      </w:r>
      <w:r>
        <w:t xml:space="preserve"> </w:t>
      </w:r>
      <w:r>
        <w:t xml:space="preserve">(readability and cost). The Fig. 2 stage labels were also moved clear of the specialist</w:t>
      </w:r>
      <w:r>
        <w:t xml:space="preserve"> </w:t>
      </w:r>
      <w:r>
        <w:t xml:space="preserve">boxes. No panels were merged because they answer different questions.</w:t>
      </w:r>
    </w:p>
    <w:bookmarkEnd w:id="16"/>
    <w:bookmarkStart w:id="17" w:name="reviewer-4"/>
    <w:p>
      <w:pPr>
        <w:pStyle w:val="Heading3"/>
      </w:pPr>
      <w:r>
        <w:t xml:space="preserve">Reviewer 4</w:t>
      </w:r>
    </w:p>
    <w:p>
      <w:pPr>
        <w:pStyle w:val="FirstParagraph"/>
      </w:pPr>
      <w:r>
        <w:rPr>
          <w:b/>
          <w:bCs/>
        </w:rPr>
        <w:t xml:space="preserve">R4.1 / R4.2 — Hallucination naming; numeric faithfulness under-emphasized.</w:t>
      </w:r>
      <w:r>
        <w:t xml:space="preserve"> </w:t>
      </w:r>
      <w:r>
        <w:t xml:space="preserve">Accepted. SelfCheckGPT-NLI is renamed and interpreted as cross-sample inconsistency. The</w:t>
      </w:r>
      <w:r>
        <w:t xml:space="preserve"> </w:t>
      </w:r>
      <w:r>
        <w:t xml:space="preserve">0.444 numeric-faithfulness score is now a limitation: a strict claim-aware audit finds</w:t>
      </w:r>
      <w:r>
        <w:t xml:space="preserve"> </w:t>
      </w:r>
      <w:r>
        <w:t xml:space="preserve">direct support for only 10.9–16.7% of extracted claims (E4, parser lower bound). The human</w:t>
      </w:r>
      <w:r>
        <w:t xml:space="preserve"> </w:t>
      </w:r>
      <w:r>
        <w:t xml:space="preserve">labels for that audit are</w:t>
      </w:r>
      <w:r>
        <w:t xml:space="preserve"> </w:t>
      </w:r>
      <w:r>
        <w:rPr>
          <w:b/>
          <w:bCs/>
        </w:rPr>
        <w:t xml:space="preserve">not completed</w:t>
      </w:r>
      <w:r>
        <w:t xml:space="preserve">; we do not report them as done.</w:t>
      </w:r>
    </w:p>
    <w:p>
      <w:pPr>
        <w:pStyle w:val="BodyText"/>
      </w:pPr>
      <w:r>
        <w:rPr>
          <w:b/>
          <w:bCs/>
        </w:rPr>
        <w:t xml:space="preserve">R4.3 / R4.4 / R4.8 — Architecture confound; D5; no-ReAct.</w:t>
      </w:r>
      <w:r>
        <w:t xml:space="preserve"> </w:t>
      </w:r>
      <w:r>
        <w:t xml:space="preserve">Accepted. E1/E2 replace the confounded comparisons; the no-ReAct dispatch defect is</w:t>
      </w:r>
      <w:r>
        <w:t xml:space="preserve"> </w:t>
      </w:r>
      <w:r>
        <w:t xml:space="preserve">documented and the row is withdrawn. The submitted +5.3%/−48.3% claim is not used.</w:t>
      </w:r>
    </w:p>
    <w:p>
      <w:pPr>
        <w:pStyle w:val="BodyText"/>
      </w:pPr>
      <w:r>
        <w:rPr>
          <w:b/>
          <w:bCs/>
        </w:rPr>
        <w:t xml:space="preserve">R4.5 — Independent held-out benchmark.</w:t>
      </w:r>
      <w:r>
        <w:t xml:space="preserve"> </w:t>
      </w:r>
      <w:r>
        <w:t xml:space="preserve">Accepted as a limitation. We did not obtain a query set authored outside the project; the</w:t>
      </w:r>
      <w:r>
        <w:t xml:space="preserve"> </w:t>
      </w:r>
      <w:r>
        <w:t xml:space="preserve">195-query pool will be available in the repository but was created by the same team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as a held-out benchmark. We do not claim external validity.</w:t>
      </w:r>
    </w:p>
    <w:p>
      <w:pPr>
        <w:pStyle w:val="BodyText"/>
      </w:pPr>
      <w:r>
        <w:rPr>
          <w:b/>
          <w:bCs/>
        </w:rPr>
        <w:t xml:space="preserve">R4.6 / R4.7 — Statistical comparison; EvaluatorLLM caution.</w:t>
      </w:r>
      <w:r>
        <w:t xml:space="preserve"> </w:t>
      </w:r>
      <w:r>
        <w:t xml:space="preserve">Accepted. Table 10 now reports paired bootstrap CIs, d_z, Wilcoxon, and Holm correction for</w:t>
      </w:r>
      <w:r>
        <w:t xml:space="preserve"> </w:t>
      </w:r>
      <w:r>
        <w:t xml:space="preserve">the completed expert scores. Against DeepSeek-V4-Pro, ΔC = +0.20 (95% CI −0.09 to +0.50;</w:t>
      </w:r>
      <w:r>
        <w:t xml:space="preserve"> </w:t>
      </w:r>
      <w:r>
        <w:t xml:space="preserve">Holm p = 0.146), so the correctness advantage is not significant; precision is +0.50</w:t>
      </w:r>
      <w:r>
        <w:t xml:space="preserve"> </w:t>
      </w:r>
      <w:r>
        <w:t xml:space="preserve">(unadjusted p = 0.037; p = 0.256 after Holm correction across all dimension tests), and</w:t>
      </w:r>
      <w:r>
        <w:t xml:space="preserve"> </w:t>
      </w:r>
      <w:r>
        <w:t xml:space="preserve">the paired per-response overall is +0.20 (p = 0.062). The automated judge is used only for</w:t>
      </w:r>
      <w:r>
        <w:t xml:space="preserve"> </w:t>
      </w:r>
      <w:r>
        <w:t xml:space="preserve">within-dimension contrasts; bulk and per-item scoring differ by 0.4–0.8 points (D2 Full</w:t>
      </w:r>
      <w:r>
        <w:t xml:space="preserve"> </w:t>
      </w:r>
      <w:r>
        <w:t xml:space="preserve">4.44 new pass vs 4.04 per-item; original pass 4.81), so only within-mode/pass comparisons</w:t>
      </w:r>
      <w:r>
        <w:t xml:space="preserve"> </w:t>
      </w:r>
      <w:r>
        <w:t xml:space="preserve">are interpreted. E9 shows mean repeat-run similarity 0.371 and exact match 0/10, so small</w:t>
      </w:r>
      <w:r>
        <w:t xml:space="preserve"> </w:t>
      </w:r>
      <w:r>
        <w:t xml:space="preserve">differences are not interpreted as effects.</w:t>
      </w:r>
    </w:p>
    <w:p>
      <w:pPr>
        <w:pStyle w:val="BodyText"/>
      </w:pPr>
      <w:r>
        <w:rPr>
          <w:b/>
          <w:bCs/>
        </w:rPr>
        <w:t xml:space="preserve">R4.9 / R4.11 / R4.12 / R4.13 — Bilingual, Chinese provenance, design principle, length.</w:t>
      </w:r>
      <w:r>
        <w:t xml:space="preserve"> </w:t>
      </w:r>
      <w:r>
        <w:t xml:space="preserve">Accepted in part. The bilingual analysis is exploratory (E11: Chinese 4.92 vs English 4.69</w:t>
      </w:r>
      <w:r>
        <w:t xml:space="preserve"> </w:t>
      </w:r>
      <w:r>
        <w:t xml:space="preserve">correctness, CIs overlap; inconsistency is the cross-lingual issue). Provenance is in</w:t>
      </w:r>
      <w:r>
        <w:t xml:space="preserve"> </w:t>
      </w:r>
      <w:r>
        <w:rPr>
          <w:rStyle w:val="VerbatimChar"/>
        </w:rPr>
        <w:t xml:space="preserve">corpus/provenance.csv</w:t>
      </w:r>
      <w:r>
        <w:t xml:space="preserve"> </w:t>
      </w:r>
      <w:r>
        <w:t xml:space="preserve">and Table S3, with unresolved fields (27 primary-source, 19</w:t>
      </w:r>
      <w:r>
        <w:t xml:space="preserve"> </w:t>
      </w:r>
      <w:r>
        <w:t xml:space="preserve">version/URL, 3 license, 1 author-input) flagged as a limitation. The design principle is</w:t>
      </w:r>
      <w:r>
        <w:t xml:space="preserve"> </w:t>
      </w:r>
      <w:r>
        <w:t xml:space="preserve">replaced by a testable hypothesis. Implementation details are in Supplementary S2/S13; the</w:t>
      </w:r>
      <w:r>
        <w:t xml:space="preserve"> </w:t>
      </w:r>
      <w:r>
        <w:t xml:space="preserve">main text was shortened where possible, but further trimming is deferred until the final</w:t>
      </w:r>
      <w:r>
        <w:t xml:space="preserve"> </w:t>
      </w:r>
      <w:r>
        <w:t xml:space="preserve">figure/table consolidation.</w:t>
      </w:r>
    </w:p>
    <w:p>
      <w:pPr>
        <w:pStyle w:val="BodyText"/>
      </w:pPr>
      <w:r>
        <w:rPr>
          <w:b/>
          <w:bCs/>
        </w:rPr>
        <w:t xml:space="preserve">R4.10 — Reproducibility package.</w:t>
      </w:r>
      <w:r>
        <w:t xml:space="preserve"> </w:t>
      </w:r>
      <w:r>
        <w:t xml:space="preserve">Completed. The public release is available at https://github.com/sepnlab/NutriAgent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). It contains the code, configuration, prompts, 54/195 query sets,</w:t>
      </w:r>
      <w:r>
        <w:t xml:space="preserve"> </w:t>
      </w:r>
      <w:r>
        <w:t xml:space="preserve">de-identified expert scores, audit files, and reproduction commands. API keys, raw expert</w:t>
      </w:r>
      <w:r>
        <w:t xml:space="preserve"> </w:t>
      </w:r>
      <w:r>
        <w:t xml:space="preserve">workbooks, and name/label maps are excluded. The layer-hen corpus is not redistributed</w:t>
      </w:r>
      <w:r>
        <w:t xml:space="preserve"> </w:t>
      </w:r>
      <w:r>
        <w:t xml:space="preserve">because some source terms (notably Chinese domestic-breed data compiled through jbzyw.com)</w:t>
      </w:r>
      <w:r>
        <w:t xml:space="preserve"> </w:t>
      </w:r>
      <w:r>
        <w:t xml:space="preserve">do not clearly permit redistribution; provenance and extraction are documented in Table S3.</w:t>
      </w:r>
      <w:r>
        <w:t xml:space="preserve"> </w:t>
      </w:r>
      <w:r>
        <w:t xml:space="preserve">A Zenodo DOI is optional and will be added only if an archive is created.</w:t>
      </w:r>
    </w:p>
    <w:bookmarkEnd w:id="17"/>
    <w:bookmarkEnd w:id="18"/>
    <w:bookmarkStart w:id="19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hope the revision addresses the reviewers’ concerns. The expert scoring is complete:</w:t>
      </w:r>
      <w:r>
        <w:t xml:space="preserve"> </w:t>
      </w:r>
      <w:r>
        <w:t xml:space="preserve">the primary expert scored all 378 responses, and the Rev.1 main comparison is NutriAgent</w:t>
      </w:r>
      <w:r>
        <w:t xml:space="preserve"> </w:t>
      </w:r>
      <w:r>
        <w:t xml:space="preserve">4.34 vs 4.05 for the strongest baseline (DeepSeek-V4-Pro), with a correctness difference</w:t>
      </w:r>
      <w:r>
        <w:t xml:space="preserve"> </w:t>
      </w:r>
      <w:r>
        <w:t xml:space="preserve">of +0.20 (95% CI −0.09 to +0.50; Holm p = 0.146); the precision difference is +0.50</w:t>
      </w:r>
      <w:r>
        <w:t xml:space="preserve"> </w:t>
      </w:r>
      <w:r>
        <w:t xml:space="preserve">(unadjusted p = 0.037; p = 0.256 after correction across all dimension tests). An</w:t>
      </w:r>
      <w:r>
        <w:t xml:space="preserve"> </w:t>
      </w:r>
      <w:r>
        <w:t xml:space="preserve">independent 120-response rater shows moderate-to-good score reliability (ICC 0.85 correctness, 0.88 precision,</w:t>
      </w:r>
      <w:r>
        <w:t xml:space="preserve"> </w:t>
      </w:r>
      <w:r>
        <w:t xml:space="preserve">0.76 depth), but the top rank is not stable in that subset; a repeat 120-response sheet</w:t>
      </w:r>
      <w:r>
        <w:t xml:space="preserve"> </w:t>
      </w:r>
      <w:r>
        <w:t xml:space="preserve">from the primary expert gives intra-rater ICC(2,1) = 0.995/0.996/0.932 and is reported as</w:t>
      </w:r>
      <w:r>
        <w:t xml:space="preserve"> </w:t>
      </w:r>
      <w:r>
        <w:t xml:space="preserve">same-expert consistency, not independent reliability. Remaining limitations are the human-labeled faithfulness</w:t>
      </w:r>
      <w:r>
        <w:t xml:space="preserve"> </w:t>
      </w:r>
      <w:r>
        <w:t xml:space="preserve">subset, the absence of an external held-out query set, the unresolved provenance fields,</w:t>
      </w:r>
      <w:r>
        <w:t xml:space="preserve"> </w:t>
      </w:r>
      <w:r>
        <w:t xml:space="preserve">and the reduced scope of E14. The code, blinded sheets, completed scores, audit artifacts,</w:t>
      </w:r>
      <w:r>
        <w:t xml:space="preserve"> </w:t>
      </w:r>
      <w:r>
        <w:t xml:space="preserve">and per-query scores are available in the repository (https://github.com/sepnlab/NutriAgent,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); the archive DOI will be added at acceptance.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2026-10-21T14:44:12Z</dcterms:created>
  <dcterms:modified xsi:type="dcterms:W3CDTF">2026-10-21T14:44:12Z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