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upplementary-material-nutriagent"/>
    <w:p>
      <w:pPr>
        <w:pStyle w:val="Heading1"/>
      </w:pPr>
      <w:r>
        <w:t xml:space="preserve">Supplementary Material — NutriAgent</w:t>
      </w:r>
    </w:p>
    <w:p>
      <w:pPr>
        <w:pStyle w:val="FirstParagraph"/>
      </w:pPr>
      <w:r>
        <w:t xml:space="preserve">This document contains supplementary tables and materials referenced in the main paper.</w:t>
      </w:r>
    </w:p>
    <w:p>
      <w:r>
        <w:pict>
          <v:rect style="width:0;height:1.5pt" o:hralign="center" o:hrstd="t" o:hr="t"/>
        </w:pict>
      </w:r>
    </w:p>
    <w:bookmarkStart w:id="9" w:name="s1.-data-tables-tables-s1s3"/>
    <w:p>
      <w:pPr>
        <w:pStyle w:val="Heading2"/>
      </w:pPr>
      <w:r>
        <w:t xml:space="preserve">S1. Data tables (Tables S1–S3)</w:t>
      </w:r>
    </w:p>
    <w:bookmarkEnd w:id="9"/>
    <w:bookmarkStart w:id="10" w:name="table-s1.-data-schema-and-completeness"/>
    <w:p>
      <w:pPr>
        <w:pStyle w:val="Heading2"/>
      </w:pPr>
      <w:r>
        <w:t xml:space="preserve">Table S1. Data schema and completeness</w:t>
      </w:r>
    </w:p>
    <w:p>
      <w:pPr>
        <w:pStyle w:val="FirstParagraph"/>
      </w:pPr>
      <w:r>
        <w:t xml:space="preserve">Nominal cells = rows × parameters. Populated cells count non-missing values; the difference is reported rather than hidden.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1092"/>
        <w:gridCol w:w="1092"/>
        <w:gridCol w:w="1092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Nominal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Fully empty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corpus/shared/feed_ingredient_bank.csv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57.9%</w:t>
            </w:r>
          </w:p>
        </w:tc>
        <w:tc>
          <w:tcPr/>
          <w:p>
            <w:pPr>
              <w:pStyle w:val="Compact"/>
            </w:pPr>
            <w:r>
              <w:t xml:space="preserve">NFE_pct, NE_kcal_kg, Linoleic_pct, Linolenic_pct, Cl_pct, S_pct, Fe_mg_kg, Cu_mg_kg, Zn_mg_kg, Mn_mg_kg, Se_mg_kg, I_mg_kg, Vit_A_IU_kg, Vit_D3_IU_kg, Vit_E_mg_kg, Vit_K3_mg_kg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ingredient amino acids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corpus/shared/feed_ingredient_amino_acids.csv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ingredient digestibility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corpus/shared/feed_ingredient_digestibility.csv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nutrient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corpus/layer/nutrient_requirements.csv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vitamin / mineral specifications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corpus/layer/nutrient_vitamin_mineral.csv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production benchmarks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corpus/layer/performance_management.csv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42.7%</w:t>
            </w:r>
          </w:p>
        </w:tc>
        <w:tc>
          <w:tcPr/>
          <w:p>
            <w:pPr>
              <w:pStyle w:val="Compact"/>
            </w:pPr>
            <w:r>
              <w:t xml:space="preserve">Egg_Mass_g_per_d, Feed_per_Dozen_kg, Feed_per_kg_Egg_kg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Terminology definitions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corpus/shared/definitions.csv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Layer nutrient requirement parameters (20):</w:t>
      </w:r>
      <w:r>
        <w:t xml:space="preserve"> </w:t>
      </w:r>
      <w:r>
        <w:t xml:space="preserve">metabolizable energy; crude protein; calcium; available phosphorus; sodium; total lysine, methionine, methionine–cysteine, threonine, tryptophan, valine, arginine, isoleucine; SID coefficients for lysine, methionine, methionine–cysteine, threonine, tryptophan; choline; linoleic acid.</w:t>
      </w:r>
    </w:p>
    <w:p>
      <w:pPr>
        <w:pStyle w:val="BodyText"/>
      </w:pPr>
      <w:r>
        <w:rPr>
          <w:b/>
          <w:bCs/>
        </w:rPr>
        <w:t xml:space="preserve">Layer production parameters (12):</w:t>
      </w:r>
      <w:r>
        <w:t xml:space="preserve"> </w:t>
      </w:r>
      <w:r>
        <w:t xml:space="preserve">hen-day production; egg weight; egg mass per hen per day; daily feed intake; feed per dozen eggs; feed per kg egg mass; body weight; mortality; shell breaking strength; Haugh unit; cumulative egg count; daily water intake.</w:t>
      </w:r>
    </w:p>
    <w:p>
      <w:pPr>
        <w:pStyle w:val="BodyText"/>
      </w:pPr>
      <w:r>
        <w:rPr>
          <w:b/>
          <w:bCs/>
        </w:rPr>
        <w:t xml:space="preserve">Vitamin/mineral parameters (18):</w:t>
      </w:r>
      <w:r>
        <w:t xml:space="preserve"> </w:t>
      </w:r>
      <w:r>
        <w:t xml:space="preserve">vitamins A, D3, E, K3, B1, B2, B6, B12, niacin, pantothenic acid, folic acid, biotin; Fe, Cu, Zn, Mn, Se, I.</w:t>
      </w:r>
    </w:p>
    <w:bookmarkEnd w:id="10"/>
    <w:bookmarkStart w:id="11" w:name="X6d79b788085e0acf358ce21b9a6b9135c10f805"/>
    <w:p>
      <w:pPr>
        <w:pStyle w:val="Heading2"/>
      </w:pPr>
      <w:r>
        <w:t xml:space="preserve">Table S2. Phase crosswalk (original breeder labels → seven reference phases)</w:t>
      </w:r>
    </w:p>
    <w:p>
      <w:pPr>
        <w:pStyle w:val="FirstParagraph"/>
      </w:pPr>
      <w:r>
        <w:t xml:space="preserve">Every original label is mapped explicitly.</w:t>
      </w:r>
      <w:r>
        <w:t xml:space="preserve"> </w:t>
      </w:r>
      <w:r>
        <w:rPr>
          <w:rStyle w:val="VerbatimChar"/>
        </w:rPr>
        <w:t xml:space="preserve">mapping_type</w:t>
      </w:r>
      <w:r>
        <w:t xml:space="preserve"> </w:t>
      </w:r>
      <w:r>
        <w:t xml:space="preserve">is one of exact, within, boundary, semantic, composite, or ambiguous; composite and ambiguous labels are not forced into a single phase.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label</w:t>
            </w:r>
          </w:p>
        </w:tc>
        <w:tc>
          <w:tcPr/>
          <w:p>
            <w:pPr>
              <w:pStyle w:val="Compact"/>
            </w:pPr>
            <w:r>
              <w:t xml:space="preserve">Reference phase</w:t>
            </w:r>
          </w:p>
        </w:tc>
        <w:tc>
          <w:tcPr/>
          <w:p>
            <w:pPr>
              <w:pStyle w:val="Compac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</w:pPr>
            <w:r>
              <w:t xml:space="preserve">Breeds (nutrition)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6-12w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D1 of a 4-phase scheme; age overlaps Grower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13-16w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D2 of a 4-phase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(13-16w)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Hy-Line Brown; Hy-Line Pink; Hy-Line W-36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11-16w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Hisex Brown; Lohmann Pink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13-16w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Beinong 1; Beinong 2; Nongda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7-10w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Dawu Fen 1; Dawu He; Dawu Jinfeng; Jingbai 939; Jingfen 6; Jinghong 1 v3.0</w:t>
            </w:r>
          </w:p>
        </w:tc>
        <w:tc>
          <w:tcPr/>
          <w:p>
            <w:pPr>
              <w:pStyle w:val="Compact"/>
            </w:pPr>
            <w:r>
              <w:t xml:space="preserve">age lies in Grower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9-16w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Lohmann Grey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Finisher 11-14w</w:t>
            </w:r>
          </w:p>
        </w:tc>
        <w:tc>
          <w:tcPr/>
          <w:p>
            <w:pPr>
              <w:pStyle w:val="Compact"/>
            </w:pPr>
            <w:r>
              <w:t xml:space="preserve">Developer 13-17w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Dawu Fen 1; Dawu He; Dawu Jinfeng; Jingbai 939; Jingfen 6; Jinghong 1 v3.0</w:t>
            </w:r>
          </w:p>
        </w:tc>
        <w:tc>
          <w:tcPr/>
          <w:p>
            <w:pPr>
              <w:pStyle w:val="Compact"/>
            </w:pPr>
            <w:r>
              <w:t xml:space="preserve">finisher label precedes Pre-Lay 15w-5%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4-6w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labelled G but 4-6w lies in Starter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(7-12w)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Hy-Line Brown; Hy-Line Pink; Hy-Line W-36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3-6w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Jingfen 6; Jinghong 1 v3.0</w:t>
            </w:r>
          </w:p>
        </w:tc>
        <w:tc>
          <w:tcPr/>
          <w:p>
            <w:pPr>
              <w:pStyle w:val="Compact"/>
            </w:pPr>
            <w:r>
              <w:t xml:space="preserve">age lies in Starter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4-6w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Dawu Fen 1; Dawu He; Dawu Jinfeng; Jingbai 939</w:t>
            </w:r>
          </w:p>
        </w:tc>
        <w:tc>
          <w:tcPr/>
          <w:p>
            <w:pPr>
              <w:pStyle w:val="Compact"/>
            </w:pPr>
            <w:r>
              <w:t xml:space="preserve">age lies in Starter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4-8w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Lohmann Grey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5-10w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6-10w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Hisex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6-12w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Beinong 1; Beinong 2; Nongda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Grower 7-12w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 I 21-40w</w:t>
            </w:r>
          </w:p>
        </w:tc>
        <w:tc>
          <w:tcPr/>
          <w:p>
            <w:pPr>
              <w:pStyle w:val="Compact"/>
            </w:pPr>
            <w:r>
              <w:t xml:space="preserve">Lay I 21-40w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 II 41-60w</w:t>
            </w:r>
          </w:p>
        </w:tc>
        <w:tc>
          <w:tcPr/>
          <w:p>
            <w:pPr>
              <w:pStyle w:val="Compact"/>
            </w:pPr>
            <w:r>
              <w:t xml:space="preserve">Lay II 41-60w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 III 61w+</w:t>
            </w:r>
          </w:p>
        </w:tc>
        <w:tc>
          <w:tcPr/>
          <w:p>
            <w:pPr>
              <w:pStyle w:val="Compact"/>
            </w:pPr>
            <w:r>
              <w:t xml:space="preserve">Lay III 61w+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unmapped</w:t>
            </w:r>
          </w:p>
        </w:tc>
        <w:tc>
          <w:tcPr/>
          <w:p>
            <w:pPr>
              <w:pStyle w:val="Compact"/>
            </w:pPr>
            <w: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vitamin table: laying phase not 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 (5%-90%)</w:t>
            </w:r>
          </w:p>
        </w:tc>
        <w:tc>
          <w:tcPr/>
          <w:p>
            <w:pPr>
              <w:pStyle w:val="Compact"/>
            </w:pPr>
            <w:r>
              <w:t xml:space="preserve">Lay I 21-40w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Dawu Jinfeng; Jingbai 939</w:t>
            </w:r>
          </w:p>
        </w:tc>
        <w:tc>
          <w:tcPr/>
          <w:p>
            <w:pPr>
              <w:pStyle w:val="Compact"/>
            </w:pPr>
            <w:r>
              <w:t xml:space="preserve">physiological-stage label, not age-based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 (5%-peak+4w)</w:t>
            </w:r>
          </w:p>
        </w:tc>
        <w:tc>
          <w:tcPr/>
          <w:p>
            <w:pPr>
              <w:pStyle w:val="Compact"/>
            </w:pPr>
            <w:r>
              <w:t xml:space="preserve">Lay I 21-40w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Jingfen 6; Jinghong 1 v3.0</w:t>
            </w:r>
          </w:p>
        </w:tc>
        <w:tc>
          <w:tcPr/>
          <w:p>
            <w:pPr>
              <w:pStyle w:val="Compact"/>
            </w:pPr>
            <w:r>
              <w:t xml:space="preserve">physiological-stage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 19-50w</w:t>
            </w:r>
          </w:p>
        </w:tc>
        <w:tc>
          <w:tcPr/>
          <w:p>
            <w:pPr>
              <w:pStyle w:val="Compact"/>
            </w:pPr>
            <w:r>
              <w:t xml:space="preserve">Lay I 21-40w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age spans Lay I and Lay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II (90%-80%)</w:t>
            </w:r>
          </w:p>
        </w:tc>
        <w:tc>
          <w:tcPr/>
          <w:p>
            <w:pPr>
              <w:pStyle w:val="Compact"/>
            </w:pPr>
            <w:r>
              <w:t xml:space="preserve">Lay II 41-60w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Dawu Jinfeng; Jingbai 939</w:t>
            </w:r>
          </w:p>
        </w:tc>
        <w:tc>
          <w:tcPr/>
          <w:p>
            <w:pPr>
              <w:pStyle w:val="Compact"/>
            </w:pPr>
            <w:r>
              <w:t xml:space="preserve">physiological-stage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II (peak+4w-90%)</w:t>
            </w:r>
          </w:p>
        </w:tc>
        <w:tc>
          <w:tcPr/>
          <w:p>
            <w:pPr>
              <w:pStyle w:val="Compact"/>
            </w:pPr>
            <w:r>
              <w:t xml:space="preserve">Lay II 41-60w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Jinghong 1 v3.0</w:t>
            </w:r>
          </w:p>
        </w:tc>
        <w:tc>
          <w:tcPr/>
          <w:p>
            <w:pPr>
              <w:pStyle w:val="Compact"/>
            </w:pPr>
            <w:r>
              <w:t xml:space="preserve">physiological-stage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II (peak-90%)</w:t>
            </w:r>
          </w:p>
        </w:tc>
        <w:tc>
          <w:tcPr/>
          <w:p>
            <w:pPr>
              <w:pStyle w:val="Compact"/>
            </w:pPr>
            <w:r>
              <w:t xml:space="preserve">Lay II 41-60w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Jingfen 6</w:t>
            </w:r>
          </w:p>
        </w:tc>
        <w:tc>
          <w:tcPr/>
          <w:p>
            <w:pPr>
              <w:pStyle w:val="Compact"/>
            </w:pPr>
            <w:r>
              <w:t xml:space="preserve">physiological-stage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II 51-70w</w:t>
            </w:r>
          </w:p>
        </w:tc>
        <w:tc>
          <w:tcPr/>
          <w:p>
            <w:pPr>
              <w:pStyle w:val="Compact"/>
            </w:pPr>
            <w:r>
              <w:t xml:space="preserve">Lay II 41-60w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age spans Lay II and Lay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III (80%-cull)</w:t>
            </w:r>
          </w:p>
        </w:tc>
        <w:tc>
          <w:tcPr/>
          <w:p>
            <w:pPr>
              <w:pStyle w:val="Compact"/>
            </w:pPr>
            <w:r>
              <w:t xml:space="preserve">Lay III 61w+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Dawu Jinfeng; Jingbai 939</w:t>
            </w:r>
          </w:p>
        </w:tc>
        <w:tc>
          <w:tcPr/>
          <w:p>
            <w:pPr>
              <w:pStyle w:val="Compact"/>
            </w:pPr>
            <w:r>
              <w:t xml:space="preserve">physiological-stage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III (90%-85%)</w:t>
            </w:r>
          </w:p>
        </w:tc>
        <w:tc>
          <w:tcPr/>
          <w:p>
            <w:pPr>
              <w:pStyle w:val="Compact"/>
            </w:pPr>
            <w:r>
              <w:t xml:space="preserve">Lay III 61w+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Jingfen 6; Jinghong 1 v3.0</w:t>
            </w:r>
          </w:p>
        </w:tc>
        <w:tc>
          <w:tcPr/>
          <w:p>
            <w:pPr>
              <w:pStyle w:val="Compact"/>
            </w:pPr>
            <w:r>
              <w:t xml:space="preserve">physiological-stage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III 71-100w</w:t>
            </w:r>
          </w:p>
        </w:tc>
        <w:tc>
          <w:tcPr/>
          <w:p>
            <w:pPr>
              <w:pStyle w:val="Compact"/>
            </w:pPr>
            <w:r>
              <w:t xml:space="preserve">Lay III 61w+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IV (85%-cull)</w:t>
            </w:r>
          </w:p>
        </w:tc>
        <w:tc>
          <w:tcPr/>
          <w:p>
            <w:pPr>
              <w:pStyle w:val="Compact"/>
            </w:pPr>
            <w:r>
              <w:t xml:space="preserve">Lay III 61w+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Jingfen 6; Jinghong 1 v3.0</w:t>
            </w:r>
          </w:p>
        </w:tc>
        <w:tc>
          <w:tcPr/>
          <w:p>
            <w:pPr>
              <w:pStyle w:val="Compact"/>
            </w:pPr>
            <w:r>
              <w:t xml:space="preserve">breeder-specific 4th laying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 17w-5%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PL = pre-lay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 &lt;83%</w:t>
            </w:r>
          </w:p>
        </w:tc>
        <w:tc>
          <w:tcPr/>
          <w:p>
            <w:pPr>
              <w:pStyle w:val="Compact"/>
            </w:pPr>
            <w:r>
              <w:t xml:space="preserve">Lay III 61w+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post-peak production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5%-peak</w:t>
            </w:r>
          </w:p>
        </w:tc>
        <w:tc>
          <w:tcPr/>
          <w:p>
            <w:pPr>
              <w:pStyle w:val="Compact"/>
            </w:pPr>
            <w:r>
              <w:t xml:space="preserve">Lay I 21-40w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Nongda 3</w:t>
            </w:r>
          </w:p>
        </w:tc>
        <w:tc>
          <w:tcPr/>
          <w:p>
            <w:pPr>
              <w:pStyle w:val="Compact"/>
            </w:pPr>
            <w:r>
              <w:t xml:space="preserve">peak lies inside Lay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Pk1 5%-88%</w:t>
            </w:r>
          </w:p>
        </w:tc>
        <w:tc>
          <w:tcPr/>
          <w:p>
            <w:pPr>
              <w:pStyle w:val="Compact"/>
            </w:pPr>
            <w:r>
              <w:t xml:space="preserve">Lay I 21-40w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peak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Pk2 88%-83%</w:t>
            </w:r>
          </w:p>
        </w:tc>
        <w:tc>
          <w:tcPr/>
          <w:p>
            <w:pPr>
              <w:pStyle w:val="Compact"/>
            </w:pPr>
            <w:r>
              <w:t xml:space="preserve">Lay II 41-60w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post-peak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Post-Peak &lt;85%</w:t>
            </w:r>
          </w:p>
        </w:tc>
        <w:tc>
          <w:tcPr/>
          <w:p>
            <w:pPr>
              <w:pStyle w:val="Compact"/>
            </w:pPr>
            <w:r>
              <w:t xml:space="preserve">unmapped</w:t>
            </w:r>
          </w:p>
        </w:tc>
        <w:tc>
          <w:tcPr/>
          <w:p>
            <w:pPr>
              <w:pStyle w:val="Compact"/>
            </w:pPr>
            <w: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t xml:space="preserve">Beinong 2</w:t>
            </w:r>
          </w:p>
        </w:tc>
        <w:tc>
          <w:tcPr/>
          <w:p>
            <w:pPr>
              <w:pStyle w:val="Compact"/>
            </w:pPr>
            <w:r>
              <w:t xml:space="preserve">post-peak may span Lay II and Lay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Post-Peak &lt;=85%</w:t>
            </w:r>
          </w:p>
        </w:tc>
        <w:tc>
          <w:tcPr/>
          <w:p>
            <w:pPr>
              <w:pStyle w:val="Compact"/>
            </w:pPr>
            <w:r>
              <w:t xml:space="preserve">unmapped</w:t>
            </w:r>
          </w:p>
        </w:tc>
        <w:tc>
          <w:tcPr/>
          <w:p>
            <w:pPr>
              <w:pStyle w:val="Compact"/>
            </w:pPr>
            <w: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t xml:space="preserve">Nongda 3</w:t>
            </w:r>
          </w:p>
        </w:tc>
        <w:tc>
          <w:tcPr/>
          <w:p>
            <w:pPr>
              <w:pStyle w:val="Compact"/>
            </w:pPr>
            <w:r>
              <w:t xml:space="preserve">post-peak may span Lay II and Lay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Pre-Lay (17w-5%)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Hy-Line Brown; Hy-Line Pink; Hy-Line W-36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Pre-Lay 15w-5%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Dawu Fen 1; Dawu He; Dawu Jinfeng; Jingbai 939; Jingfen 6; Jinghong 1 v3.0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Pre-Lay 17w-2%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Hisex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Pre-Lay 17w-5%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Lohmann Pink; Nongda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Pre-Lay 17w-peak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Beinong 2</w:t>
            </w:r>
          </w:p>
        </w:tc>
        <w:tc>
          <w:tcPr/>
          <w:p>
            <w:pPr>
              <w:pStyle w:val="Compact"/>
            </w:pPr>
            <w:r>
              <w:t xml:space="preserve">spans pre-lay to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Pre-Lay 18w-5%</w:t>
            </w:r>
          </w:p>
        </w:tc>
        <w:tc>
          <w:tcPr/>
          <w:p>
            <w:pPr>
              <w:pStyle w:val="Compact"/>
            </w:pPr>
            <w:r>
              <w:t xml:space="preserve">Pre-Lay 18-20w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Lohmann Grey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Rearing</w:t>
            </w:r>
          </w:p>
        </w:tc>
        <w:tc>
          <w:tcPr/>
          <w:p>
            <w:pPr>
              <w:pStyle w:val="Compact"/>
            </w:pPr>
            <w:r>
              <w:t xml:space="preserve">unmapped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vitamin table: rearing covers 0-18w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Rearing 0-18w</w:t>
            </w:r>
          </w:p>
        </w:tc>
        <w:tc>
          <w:tcPr/>
          <w:p>
            <w:pPr>
              <w:pStyle w:val="Compact"/>
            </w:pPr>
            <w:r>
              <w:t xml:space="preserve">unmapped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covers Starter-Grower-Developer-PreLay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0-3w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3-phase Chinese scheme; S = starter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0-2w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Jingfen 6; Jinghong 1 v3.0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0-3w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Dawu Fen 1; Dawu He; Dawu Jinfeng; Jingbai 939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0-4w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0-5w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Beinong 1; Beinong 2; Hisex Brown; Nongda 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1 (0-3w)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Hy-Line Brown; Hy-Line Pink; Hy-Line W-36</w:t>
            </w:r>
          </w:p>
        </w:tc>
        <w:tc>
          <w:tcPr/>
          <w:p>
            <w:pPr>
              <w:pStyle w:val="Compact"/>
            </w:pPr>
            <w:r>
              <w:t xml:space="preserve">starter split into 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1-3w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Lohmann Grey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2 (4-6w)</w:t>
            </w:r>
          </w:p>
        </w:tc>
        <w:tc>
          <w:tcPr/>
          <w:p>
            <w:pPr>
              <w:pStyle w:val="Compact"/>
            </w:pPr>
            <w:r>
              <w:t xml:space="preserve">Starter 0-6w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Hy-Line Brown; Hy-Line Pink; Hy-Line W-36</w:t>
            </w:r>
          </w:p>
        </w:tc>
        <w:tc>
          <w:tcPr/>
          <w:p>
            <w:pPr>
              <w:pStyle w:val="Compact"/>
            </w:pPr>
            <w:r>
              <w:t xml:space="preserve">starter split into 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Starter-Grower</w:t>
            </w:r>
          </w:p>
        </w:tc>
        <w:tc>
          <w:tcPr/>
          <w:p>
            <w:pPr>
              <w:pStyle w:val="Compact"/>
            </w:pPr>
            <w:r>
              <w:t xml:space="preserve">unmapped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covers Starter and Grower</w:t>
            </w:r>
          </w:p>
        </w:tc>
      </w:tr>
    </w:tbl>
    <w:bookmarkEnd w:id="11"/>
    <w:bookmarkStart w:id="12" w:name="table-s3.-per-breed-provenance-summary"/>
    <w:p>
      <w:pPr>
        <w:pStyle w:val="Heading2"/>
      </w:pPr>
      <w:r>
        <w:t xml:space="preserve">Table S3. Per-breed provenance summary</w:t>
      </w:r>
    </w:p>
    <w:p>
      <w:pPr>
        <w:pStyle w:val="FirstParagraph"/>
      </w:pPr>
      <w:r>
        <w:t xml:space="preserve">Full machine-readable table with URLs, versions, access dates, and licenses:</w:t>
      </w:r>
      <w:r>
        <w:t xml:space="preserve"> </w:t>
      </w:r>
      <w:r>
        <w:rPr>
          <w:rStyle w:val="VerbatimChar"/>
        </w:rPr>
        <w:t xml:space="preserve">corpus/provenance.csv</w:t>
      </w:r>
      <w:r>
        <w:t xml:space="preserve"> </w:t>
      </w:r>
      <w:r>
        <w:t xml:space="preserve">(fields are recorded where available; unresolved entries carry a status flag).</w:t>
      </w:r>
      <w:r>
        <w:t xml:space="preserve"> </w:t>
      </w:r>
      <w:r>
        <w:rPr>
          <w:rStyle w:val="VerbatimChar"/>
        </w:rPr>
        <w:t xml:space="preserve">needs_primary_source</w:t>
      </w:r>
      <w:r>
        <w:t xml:space="preserve"> </w:t>
      </w:r>
      <w:r>
        <w:t xml:space="preserve">marks Chinese domestic rows that were compiled through jbzyw.com;</w:t>
      </w:r>
      <w:r>
        <w:t xml:space="preserve"> </w:t>
      </w:r>
      <w:r>
        <w:rPr>
          <w:rStyle w:val="VerbatimChar"/>
        </w:rPr>
        <w:t xml:space="preserve">needs_version_and_url</w:t>
      </w:r>
      <w:r>
        <w:t xml:space="preserve"> </w:t>
      </w:r>
      <w:r>
        <w:t xml:space="preserve">marks breeder guides whose exact version still has to be recorded;</w:t>
      </w:r>
      <w:r>
        <w:t xml:space="preserve"> </w:t>
      </w:r>
      <w:r>
        <w:rPr>
          <w:rStyle w:val="VerbatimChar"/>
        </w:rPr>
        <w:t xml:space="preserve">needs_license_check</w:t>
      </w:r>
      <w:r>
        <w:t xml:space="preserve"> </w:t>
      </w:r>
      <w:r>
        <w:t xml:space="preserve">marks public feed tables whose redistribution terms are unresolved.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Source label</w:t>
            </w:r>
          </w:p>
        </w:tc>
        <w:tc>
          <w:tcPr/>
          <w:p>
            <w:pPr>
              <w:pStyle w:val="Compact"/>
            </w:pPr>
            <w:r>
              <w:t xml:space="preserve">Source 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feed_ingredient_bank.csv</w:t>
            </w:r>
          </w:p>
        </w:tc>
        <w:tc>
          <w:tcPr/>
          <w:p>
            <w:pPr>
              <w:pStyle w:val="Compact"/>
            </w:pPr>
            <w:r>
              <w:t xml:space="preserve">all entries</w:t>
            </w:r>
          </w:p>
        </w:tc>
        <w:tc>
          <w:tcPr/>
          <w:p>
            <w:pPr>
              <w:pStyle w:val="Compact"/>
            </w:pPr>
            <w:r>
              <w:t xml:space="preserve">INRAE-CIRAD-AFZ feed tables (feedtables.com)</w:t>
            </w:r>
          </w:p>
        </w:tc>
        <w:tc>
          <w:tcPr/>
          <w:p>
            <w:pPr>
              <w:pStyle w:val="Compact"/>
            </w:pPr>
            <w:r>
              <w:t xml:space="preserve">public_feed_table</w:t>
            </w:r>
          </w:p>
        </w:tc>
        <w:tc>
          <w:tcPr/>
          <w:p>
            <w:pPr>
              <w:pStyle w:val="Compact"/>
            </w:pPr>
            <w:r>
              <w:t xml:space="preserve">needs_license_check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feed_ingredient_amino_acids.csv</w:t>
            </w:r>
          </w:p>
        </w:tc>
        <w:tc>
          <w:tcPr/>
          <w:p>
            <w:pPr>
              <w:pStyle w:val="Compact"/>
            </w:pPr>
            <w:r>
              <w:t xml:space="preserve">all entries</w:t>
            </w:r>
          </w:p>
        </w:tc>
        <w:tc>
          <w:tcPr/>
          <w:p>
            <w:pPr>
              <w:pStyle w:val="Compact"/>
            </w:pPr>
            <w:r>
              <w:t xml:space="preserve">INRAE-CIRAD-AFZ feed tables (feedtables.com)</w:t>
            </w:r>
          </w:p>
        </w:tc>
        <w:tc>
          <w:tcPr/>
          <w:p>
            <w:pPr>
              <w:pStyle w:val="Compact"/>
            </w:pPr>
            <w:r>
              <w:t xml:space="preserve">public_feed_table</w:t>
            </w:r>
          </w:p>
        </w:tc>
        <w:tc>
          <w:tcPr/>
          <w:p>
            <w:pPr>
              <w:pStyle w:val="Compact"/>
            </w:pPr>
            <w:r>
              <w:t xml:space="preserve">needs_license_check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feed_ingredient_digestibility.csv</w:t>
            </w:r>
          </w:p>
        </w:tc>
        <w:tc>
          <w:tcPr/>
          <w:p>
            <w:pPr>
              <w:pStyle w:val="Compact"/>
            </w:pPr>
            <w:r>
              <w:t xml:space="preserve">all entries</w:t>
            </w:r>
          </w:p>
        </w:tc>
        <w:tc>
          <w:tcPr/>
          <w:p>
            <w:pPr>
              <w:pStyle w:val="Compact"/>
            </w:pPr>
            <w:r>
              <w:t xml:space="preserve">INRAE-CIRAD-AFZ feed tables (feedtables.com)</w:t>
            </w:r>
          </w:p>
        </w:tc>
        <w:tc>
          <w:tcPr/>
          <w:p>
            <w:pPr>
              <w:pStyle w:val="Compact"/>
            </w:pPr>
            <w:r>
              <w:t xml:space="preserve">public_feed_table</w:t>
            </w:r>
          </w:p>
        </w:tc>
        <w:tc>
          <w:tcPr/>
          <w:p>
            <w:pPr>
              <w:pStyle w:val="Compact"/>
            </w:pPr>
            <w:r>
              <w:t xml:space="preserve">needs_license_check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definitions.csv</w:t>
            </w:r>
          </w:p>
        </w:tc>
        <w:tc>
          <w:tcPr/>
          <w:p>
            <w:pPr>
              <w:pStyle w:val="Compact"/>
            </w:pPr>
            <w:r>
              <w:t xml:space="preserve">all entries</w:t>
            </w:r>
          </w:p>
        </w:tc>
        <w:tc>
          <w:tcPr/>
          <w:p>
            <w:pPr>
              <w:pStyle w:val="Compact"/>
            </w:pPr>
            <w:r>
              <w:t xml:space="preserve">other-Sourced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needs_author_input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Beinong 1</w:t>
            </w:r>
          </w:p>
        </w:tc>
        <w:tc>
          <w:tcPr/>
          <w:p>
            <w:pPr>
              <w:pStyle w:val="Compact"/>
            </w:pPr>
            <w:r>
              <w:t xml:space="preserve">Beinong 1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Beinong 2</w:t>
            </w:r>
          </w:p>
        </w:tc>
        <w:tc>
          <w:tcPr/>
          <w:p>
            <w:pPr>
              <w:pStyle w:val="Compact"/>
            </w:pPr>
            <w:r>
              <w:t xml:space="preserve">Beinong 2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Dawu Fen 1</w:t>
            </w:r>
          </w:p>
        </w:tc>
        <w:tc>
          <w:tcPr/>
          <w:p>
            <w:pPr>
              <w:pStyle w:val="Compact"/>
            </w:pPr>
            <w:r>
              <w:t xml:space="preserve">Dawu Fen 1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Dawu He</w:t>
            </w:r>
          </w:p>
        </w:tc>
        <w:tc>
          <w:tcPr/>
          <w:p>
            <w:pPr>
              <w:pStyle w:val="Compact"/>
            </w:pPr>
            <w:r>
              <w:t xml:space="preserve">Dawu He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Dawu Jinfeng</w:t>
            </w:r>
          </w:p>
        </w:tc>
        <w:tc>
          <w:tcPr/>
          <w:p>
            <w:pPr>
              <w:pStyle w:val="Compact"/>
            </w:pPr>
            <w:r>
              <w:t xml:space="preserve">Dawu Jinfeng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Hisex Brown</w:t>
            </w:r>
          </w:p>
        </w:tc>
        <w:tc>
          <w:tcPr/>
          <w:p>
            <w:pPr>
              <w:pStyle w:val="Compact"/>
            </w:pPr>
            <w:r>
              <w:t xml:space="preserve">Hisex Brown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Hy-Line Brown</w:t>
            </w:r>
          </w:p>
        </w:tc>
        <w:tc>
          <w:tcPr/>
          <w:p>
            <w:pPr>
              <w:pStyle w:val="Compact"/>
            </w:pPr>
            <w:r>
              <w:t xml:space="preserve">Hy-Line Brown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Hy-Line Pink</w:t>
            </w:r>
          </w:p>
        </w:tc>
        <w:tc>
          <w:tcPr/>
          <w:p>
            <w:pPr>
              <w:pStyle w:val="Compact"/>
            </w:pPr>
            <w:r>
              <w:t xml:space="preserve">Hy-Line Pink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Hy-Line W-36</w:t>
            </w:r>
          </w:p>
        </w:tc>
        <w:tc>
          <w:tcPr/>
          <w:p>
            <w:pPr>
              <w:pStyle w:val="Compact"/>
            </w:pPr>
            <w:r>
              <w:t xml:space="preserve">Hy-Line W-36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other-Sourced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Jingbai 939</w:t>
            </w:r>
          </w:p>
        </w:tc>
        <w:tc>
          <w:tcPr/>
          <w:p>
            <w:pPr>
              <w:pStyle w:val="Compact"/>
            </w:pPr>
            <w:r>
              <w:t xml:space="preserve">Jingbai 939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Jingfen 6</w:t>
            </w:r>
          </w:p>
        </w:tc>
        <w:tc>
          <w:tcPr/>
          <w:p>
            <w:pPr>
              <w:pStyle w:val="Compact"/>
            </w:pPr>
            <w:r>
              <w:t xml:space="preserve">Jingfen 6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Jinghong 1 v3.0</w:t>
            </w:r>
          </w:p>
        </w:tc>
        <w:tc>
          <w:tcPr/>
          <w:p>
            <w:pPr>
              <w:pStyle w:val="Compact"/>
            </w:pPr>
            <w:r>
              <w:t xml:space="preserve">Jinghong 1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Lohmann Grey</w:t>
            </w:r>
          </w:p>
        </w:tc>
        <w:tc>
          <w:tcPr/>
          <w:p>
            <w:pPr>
              <w:pStyle w:val="Compact"/>
            </w:pPr>
            <w:r>
              <w:t xml:space="preserve">Lohmann Grey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Lohmann Pink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Nongda 3</w:t>
            </w:r>
          </w:p>
        </w:tc>
        <w:tc>
          <w:tcPr/>
          <w:p>
            <w:pPr>
              <w:pStyle w:val="Compact"/>
            </w:pPr>
            <w:r>
              <w:t xml:space="preserve">Nongda 3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nutrient_requirements.csv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Nongda 6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Beinong 2</w:t>
            </w:r>
          </w:p>
        </w:tc>
        <w:tc>
          <w:tcPr/>
          <w:p>
            <w:pPr>
              <w:pStyle w:val="Compact"/>
            </w:pPr>
            <w:r>
              <w:t xml:space="preserve">Beinong 2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Dawu Jinfeng</w:t>
            </w:r>
          </w:p>
        </w:tc>
        <w:tc>
          <w:tcPr/>
          <w:p>
            <w:pPr>
              <w:pStyle w:val="Compact"/>
            </w:pPr>
            <w:r>
              <w:t xml:space="preserve">Dawu Jinfeng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Hy-Line Brown</w:t>
            </w:r>
          </w:p>
        </w:tc>
        <w:tc>
          <w:tcPr/>
          <w:p>
            <w:pPr>
              <w:pStyle w:val="Compact"/>
            </w:pPr>
            <w:r>
              <w:t xml:space="preserve">Hy-Line Brown Official Manual (vitamin reference)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Hy-Line Pink</w:t>
            </w:r>
          </w:p>
        </w:tc>
        <w:tc>
          <w:tcPr/>
          <w:p>
            <w:pPr>
              <w:pStyle w:val="Compact"/>
            </w:pPr>
            <w:r>
              <w:t xml:space="preserve">Hy-Line Pink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Hy-Line W-36</w:t>
            </w:r>
          </w:p>
        </w:tc>
        <w:tc>
          <w:tcPr/>
          <w:p>
            <w:pPr>
              <w:pStyle w:val="Compact"/>
            </w:pPr>
            <w:r>
              <w:t xml:space="preserve">Hy-Line W-36 Official Manual (vitamin reference)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ISA Brown Official Manual (vitamin reference)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Jingbai 939</w:t>
            </w:r>
          </w:p>
        </w:tc>
        <w:tc>
          <w:tcPr/>
          <w:p>
            <w:pPr>
              <w:pStyle w:val="Compact"/>
            </w:pPr>
            <w:r>
              <w:t xml:space="preserve">Jingbai 939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Jingfen 6</w:t>
            </w:r>
          </w:p>
        </w:tc>
        <w:tc>
          <w:tcPr/>
          <w:p>
            <w:pPr>
              <w:pStyle w:val="Compact"/>
            </w:pPr>
            <w:r>
              <w:t xml:space="preserve">Jingfen 6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Jinghong 1 v3.0</w:t>
            </w:r>
          </w:p>
        </w:tc>
        <w:tc>
          <w:tcPr/>
          <w:p>
            <w:pPr>
              <w:pStyle w:val="Compact"/>
            </w:pPr>
            <w:r>
              <w:t xml:space="preserve">Jinghong 1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Lohmann Grey</w:t>
            </w:r>
          </w:p>
        </w:tc>
        <w:tc>
          <w:tcPr/>
          <w:p>
            <w:pPr>
              <w:pStyle w:val="Compact"/>
            </w:pPr>
            <w:r>
              <w:t xml:space="preserve">Lohmann Grey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Lohmann Pink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Nongda 3</w:t>
            </w:r>
          </w:p>
        </w:tc>
        <w:tc>
          <w:tcPr/>
          <w:p>
            <w:pPr>
              <w:pStyle w:val="Compact"/>
            </w:pPr>
            <w:r>
              <w:t xml:space="preserve">Nongda 3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nutrient_vitamin_mineral.csv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Nongda 6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Beinong 1</w:t>
            </w:r>
          </w:p>
        </w:tc>
        <w:tc>
          <w:tcPr/>
          <w:p>
            <w:pPr>
              <w:pStyle w:val="Compact"/>
            </w:pPr>
            <w:r>
              <w:t xml:space="preserve">Beinong 1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Beinong 2</w:t>
            </w:r>
          </w:p>
        </w:tc>
        <w:tc>
          <w:tcPr/>
          <w:p>
            <w:pPr>
              <w:pStyle w:val="Compact"/>
            </w:pPr>
            <w:r>
              <w:t xml:space="preserve">Beinong 2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Dawu Fen 1</w:t>
            </w:r>
          </w:p>
        </w:tc>
        <w:tc>
          <w:tcPr/>
          <w:p>
            <w:pPr>
              <w:pStyle w:val="Compact"/>
            </w:pPr>
            <w:r>
              <w:t xml:space="preserve">Dawu Fen 1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Dawu He</w:t>
            </w:r>
          </w:p>
        </w:tc>
        <w:tc>
          <w:tcPr/>
          <w:p>
            <w:pPr>
              <w:pStyle w:val="Compact"/>
            </w:pPr>
            <w:r>
              <w:t xml:space="preserve">Dawu He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Dawu Jinfeng</w:t>
            </w:r>
          </w:p>
        </w:tc>
        <w:tc>
          <w:tcPr/>
          <w:p>
            <w:pPr>
              <w:pStyle w:val="Compact"/>
            </w:pPr>
            <w:r>
              <w:t xml:space="preserve">Dawu Jinfeng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Hy-Line Brown</w:t>
            </w:r>
          </w:p>
        </w:tc>
        <w:tc>
          <w:tcPr/>
          <w:p>
            <w:pPr>
              <w:pStyle w:val="Compact"/>
            </w:pPr>
            <w:r>
              <w:t xml:space="preserve">Hy-Line Brown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Hy-Line Pink</w:t>
            </w:r>
          </w:p>
        </w:tc>
        <w:tc>
          <w:tcPr/>
          <w:p>
            <w:pPr>
              <w:pStyle w:val="Compact"/>
            </w:pPr>
            <w:r>
              <w:t xml:space="preserve">Hy-Line Pink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Hy-Line W-36</w:t>
            </w:r>
          </w:p>
        </w:tc>
        <w:tc>
          <w:tcPr/>
          <w:p>
            <w:pPr>
              <w:pStyle w:val="Compact"/>
            </w:pPr>
            <w:r>
              <w:t xml:space="preserve">Hy-Line W-36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ISA Brown</w:t>
            </w:r>
          </w:p>
        </w:tc>
        <w:tc>
          <w:tcPr/>
          <w:p>
            <w:pPr>
              <w:pStyle w:val="Compact"/>
            </w:pPr>
            <w:r>
              <w:t xml:space="preserve">ISA Brown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Jingbai 939</w:t>
            </w:r>
          </w:p>
        </w:tc>
        <w:tc>
          <w:tcPr/>
          <w:p>
            <w:pPr>
              <w:pStyle w:val="Compact"/>
            </w:pPr>
            <w:r>
              <w:t xml:space="preserve">Jingbai 939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Jingfen 6</w:t>
            </w:r>
          </w:p>
        </w:tc>
        <w:tc>
          <w:tcPr/>
          <w:p>
            <w:pPr>
              <w:pStyle w:val="Compact"/>
            </w:pPr>
            <w:r>
              <w:t xml:space="preserve">Jingfen 6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Jinghong 1 v3.0</w:t>
            </w:r>
          </w:p>
        </w:tc>
        <w:tc>
          <w:tcPr/>
          <w:p>
            <w:pPr>
              <w:pStyle w:val="Compact"/>
            </w:pPr>
            <w:r>
              <w:t xml:space="preserve">Jinghong 1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Lohmann Grey</w:t>
            </w:r>
          </w:p>
        </w:tc>
        <w:tc>
          <w:tcPr/>
          <w:p>
            <w:pPr>
              <w:pStyle w:val="Compact"/>
            </w:pPr>
            <w:r>
              <w:t xml:space="preserve">Lohmann Grey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Lohmann Pink</w:t>
            </w:r>
          </w:p>
        </w:tc>
        <w:tc>
          <w:tcPr/>
          <w:p>
            <w:pPr>
              <w:pStyle w:val="Compact"/>
            </w:pPr>
            <w:r>
              <w:t xml:space="preserve">Lohmann Pink Official Manual</w:t>
            </w:r>
          </w:p>
        </w:tc>
        <w:tc>
          <w:tcPr/>
          <w:p>
            <w:pPr>
              <w:pStyle w:val="Compact"/>
            </w:pPr>
            <w:r>
              <w:t xml:space="preserve">breeder_management_guide</w:t>
            </w:r>
          </w:p>
        </w:tc>
        <w:tc>
          <w:tcPr/>
          <w:p>
            <w:pPr>
              <w:pStyle w:val="Compact"/>
            </w:pPr>
            <w:r>
              <w:t xml:space="preserve">needs_version_and_url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Nongda 3</w:t>
            </w:r>
          </w:p>
        </w:tc>
        <w:tc>
          <w:tcPr/>
          <w:p>
            <w:pPr>
              <w:pStyle w:val="Compact"/>
            </w:pPr>
            <w:r>
              <w:t xml:space="preserve">Nongda 3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performance_management.csv</w:t>
            </w:r>
          </w:p>
        </w:tc>
        <w:tc>
          <w:tcPr/>
          <w:p>
            <w:pPr>
              <w:pStyle w:val="Compact"/>
            </w:pPr>
            <w:r>
              <w:t xml:space="preserve">Nongda 6</w:t>
            </w:r>
          </w:p>
        </w:tc>
        <w:tc>
          <w:tcPr/>
          <w:p>
            <w:pPr>
              <w:pStyle w:val="Compact"/>
            </w:pPr>
            <w:r>
              <w:t xml:space="preserve">Nongda 6 Official Manual</w:t>
            </w:r>
          </w:p>
        </w:tc>
        <w:tc>
          <w:tcPr/>
          <w:p>
            <w:pPr>
              <w:pStyle w:val="Compact"/>
            </w:pPr>
            <w:r>
              <w:t xml:space="preserve">aggregator_mirror</w:t>
            </w:r>
          </w:p>
        </w:tc>
        <w:tc>
          <w:tcPr/>
          <w:p>
            <w:pPr>
              <w:pStyle w:val="Compact"/>
            </w:pPr>
            <w:r>
              <w:t xml:space="preserve">needs_primary_source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s2.-system-prompt-templates"/>
    <w:p>
      <w:pPr>
        <w:pStyle w:val="Heading2"/>
      </w:pPr>
      <w:r>
        <w:t xml:space="preserve">S2. System Prompt Templates</w:t>
      </w:r>
    </w:p>
    <w:bookmarkStart w:id="13" w:name="s2.1-react-agent-system-prompt"/>
    <w:p>
      <w:pPr>
        <w:pStyle w:val="Heading3"/>
      </w:pPr>
      <w:r>
        <w:t xml:space="preserve">S2.1 ReAct Agent System Prompt</w:t>
      </w:r>
    </w:p>
    <w:p>
      <w:pPr>
        <w:pStyle w:val="FirstParagraph"/>
      </w:pPr>
      <w:r>
        <w:t xml:space="preserve">The ReAct agent uses a species-aware system prompt that dynamically inserts breed-specific metadata:</w:t>
      </w:r>
    </w:p>
    <w:p>
      <w:pPr>
        <w:pStyle w:val="SourceCode"/>
      </w:pPr>
      <w:r>
        <w:rPr>
          <w:rStyle w:val="VerbatimChar"/>
        </w:rPr>
        <w:t xml:space="preserve">You are NutriAgent, a domain-specific AI assistant for {species_name} nutrition. You have</w:t>
      </w:r>
      <w:r>
        <w:br/>
      </w:r>
      <w:r>
        <w:rPr>
          <w:rStyle w:val="VerbatimChar"/>
        </w:rPr>
        <w:t xml:space="preserve">access to expert-designed tools for accurate nutritional information.</w:t>
      </w:r>
      <w:r>
        <w:br/>
      </w:r>
      <w:r>
        <w:br/>
      </w:r>
      <w:r>
        <w:rPr>
          <w:rStyle w:val="VerbatimChar"/>
        </w:rPr>
        <w:t xml:space="preserve">Current species: {species_name}</w:t>
      </w:r>
      <w:r>
        <w:br/>
      </w:r>
      <w:r>
        <w:rPr>
          <w:rStyle w:val="VerbatimChar"/>
        </w:rPr>
        <w:t xml:space="preserve">Breeds available: {breeds}</w:t>
      </w:r>
      <w:r>
        <w:br/>
      </w:r>
      <w:r>
        <w:rPr>
          <w:rStyle w:val="VerbatimChar"/>
        </w:rPr>
        <w:t xml:space="preserve">Production phases: {phases}</w:t>
      </w:r>
      <w:r>
        <w:br/>
      </w:r>
      <w:r>
        <w:rPr>
          <w:rStyle w:val="VerbatimChar"/>
        </w:rPr>
        <w:t xml:space="preserve">Key metrics: {metrics}</w:t>
      </w:r>
      <w:r>
        <w:br/>
      </w:r>
      <w:r>
        <w:br/>
      </w:r>
      <w:r>
        <w:rPr>
          <w:rStyle w:val="VerbatimChar"/>
        </w:rPr>
        <w:t xml:space="preserve">CRITICAL RULES:</w:t>
      </w:r>
      <w:r>
        <w:br/>
      </w:r>
      <w:r>
        <w:rPr>
          <w:rStyle w:val="VerbatimChar"/>
        </w:rPr>
        <w:t xml:space="preserve">1. ALWAYS use the appropriate tool to retrieve nutritional data rather</w:t>
      </w:r>
      <w:r>
        <w:br/>
      </w:r>
      <w:r>
        <w:rPr>
          <w:rStyle w:val="VerbatimChar"/>
        </w:rPr>
        <w:t xml:space="preserve">   than relying on your own knowledge</w:t>
      </w:r>
      <w:r>
        <w:br/>
      </w:r>
      <w:r>
        <w:rPr>
          <w:rStyle w:val="VerbatimChar"/>
        </w:rPr>
        <w:t xml:space="preserve">2. For numeric queries, retrieve precise values from the tools</w:t>
      </w:r>
      <w:r>
        <w:br/>
      </w:r>
      <w:r>
        <w:rPr>
          <w:rStyle w:val="VerbatimChar"/>
        </w:rPr>
        <w:t xml:space="preserve">3. Provide specific numbers with appropriate units</w:t>
      </w:r>
      <w:r>
        <w:br/>
      </w:r>
      <w:r>
        <w:rPr>
          <w:rStyle w:val="VerbatimChar"/>
        </w:rPr>
        <w:t xml:space="preserve">4. If you need multiple pieces of information, use tools one at a time</w:t>
      </w:r>
      <w:r>
        <w:br/>
      </w:r>
      <w:r>
        <w:rPr>
          <w:rStyle w:val="VerbatimChar"/>
        </w:rPr>
        <w:t xml:space="preserve">5. Keep responses concise and under {max_tokens} tokens when possible</w:t>
      </w:r>
      <w:r>
        <w:br/>
      </w:r>
      <w:r>
        <w:rPr>
          <w:rStyle w:val="VerbatimChar"/>
        </w:rPr>
        <w:t xml:space="preserve">6. Synthesize tool outputs into clear, actionable answers</w:t>
      </w:r>
      <w:r>
        <w:br/>
      </w:r>
      <w:r>
        <w:br/>
      </w:r>
      <w:r>
        <w:rPr>
          <w:rStyle w:val="VerbatimChar"/>
        </w:rPr>
        <w:t xml:space="preserve">Available tools:</w:t>
      </w:r>
      <w:r>
        <w:br/>
      </w:r>
      <w:r>
        <w:rPr>
          <w:rStyle w:val="VerbatimChar"/>
        </w:rPr>
        <w:t xml:space="preserve">- feed_ingredient_bank: Get nutritional composition data for feed</w:t>
      </w:r>
      <w:r>
        <w:br/>
      </w:r>
      <w:r>
        <w:rPr>
          <w:rStyle w:val="VerbatimChar"/>
        </w:rPr>
        <w:t xml:space="preserve">  ingredients (CP, ME, amino acids, minerals, digestibility)</w:t>
      </w:r>
      <w:r>
        <w:br/>
      </w:r>
      <w:r>
        <w:rPr>
          <w:rStyle w:val="VerbatimChar"/>
        </w:rPr>
        <w:t xml:space="preserve">- performance_management: {perf_description}</w:t>
      </w:r>
      <w:r>
        <w:br/>
      </w:r>
      <w:r>
        <w:rPr>
          <w:rStyle w:val="VerbatimChar"/>
        </w:rPr>
        <w:t xml:space="preserve">- nutrient_requirements: {nr_description}</w:t>
      </w:r>
      <w:r>
        <w:br/>
      </w:r>
      <w:r>
        <w:rPr>
          <w:rStyle w:val="VerbatimChar"/>
        </w:rPr>
        <w:t xml:space="preserve">- definitions: Get definitions of poultry nutrition terms and concepts</w:t>
      </w:r>
      <w:r>
        <w:br/>
      </w:r>
      <w:r>
        <w:br/>
      </w:r>
      <w:r>
        <w:rPr>
          <w:rStyle w:val="VerbatimChar"/>
        </w:rPr>
        <w:t xml:space="preserve">Answer the user's poultry nutrition question using these tools as needed.</w:t>
      </w:r>
    </w:p>
    <w:bookmarkEnd w:id="13"/>
    <w:bookmarkStart w:id="14" w:name="s2.2-router-agent-prompt"/>
    <w:p>
      <w:pPr>
        <w:pStyle w:val="Heading3"/>
      </w:pPr>
      <w:r>
        <w:t xml:space="preserve">S2.2 Router Agent Prompt</w:t>
      </w:r>
    </w:p>
    <w:p>
      <w:pPr>
        <w:pStyle w:val="SourceCode"/>
      </w:pPr>
      <w:r>
        <w:rPr>
          <w:rStyle w:val="VerbatimChar"/>
        </w:rPr>
        <w:t xml:space="preserve">You are a query router for NutriAgent, a poultry nutrition AI system.</w:t>
      </w:r>
      <w:r>
        <w:br/>
      </w:r>
      <w:r>
        <w:rPr>
          <w:rStyle w:val="VerbatimChar"/>
        </w:rPr>
        <w:t xml:space="preserve">Classify the user's query to determine which specialist agent(s) should</w:t>
      </w:r>
      <w:r>
        <w:br/>
      </w:r>
      <w:r>
        <w:rPr>
          <w:rStyle w:val="VerbatimChar"/>
        </w:rPr>
        <w:t xml:space="preserve">handle it.</w:t>
      </w:r>
      <w:r>
        <w:br/>
      </w:r>
      <w:r>
        <w:br/>
      </w:r>
      <w:r>
        <w:rPr>
          <w:rStyle w:val="VerbatimChar"/>
        </w:rPr>
        <w:t xml:space="preserve">Available specialist agents:</w:t>
      </w:r>
      <w:r>
        <w:br/>
      </w:r>
      <w:r>
        <w:br/>
      </w:r>
      <w:r>
        <w:rPr>
          <w:rStyle w:val="VerbatimChar"/>
        </w:rPr>
        <w:t xml:space="preserve">1. feed: Questions about feed ingredient nutritional composition,</w:t>
      </w:r>
      <w:r>
        <w:br/>
      </w:r>
      <w:r>
        <w:rPr>
          <w:rStyle w:val="VerbatimChar"/>
        </w:rPr>
        <w:t xml:space="preserve">   digestibility, and raw material properties.</w:t>
      </w:r>
      <w:r>
        <w:br/>
      </w:r>
      <w:r>
        <w:rPr>
          <w:rStyle w:val="VerbatimChar"/>
        </w:rPr>
        <w:t xml:space="preserve">2. nutrition: Questions about nutrient requirements, diet specifications,</w:t>
      </w:r>
      <w:r>
        <w:br/>
      </w:r>
      <w:r>
        <w:rPr>
          <w:rStyle w:val="VerbatimChar"/>
        </w:rPr>
        <w:t xml:space="preserve">   vitamin/mineral levels, and feeding phases.</w:t>
      </w:r>
      <w:r>
        <w:br/>
      </w:r>
      <w:r>
        <w:rPr>
          <w:rStyle w:val="VerbatimChar"/>
        </w:rPr>
        <w:t xml:space="preserve">3. performance: Questions about production performance metrics: body</w:t>
      </w:r>
      <w:r>
        <w:br/>
      </w:r>
      <w:r>
        <w:rPr>
          <w:rStyle w:val="VerbatimChar"/>
        </w:rPr>
        <w:t xml:space="preserve">   weight, ADG, FCR, egg production, egg quality.</w:t>
      </w:r>
      <w:r>
        <w:br/>
      </w:r>
      <w:r>
        <w:rPr>
          <w:rStyle w:val="VerbatimChar"/>
        </w:rPr>
        <w:t xml:space="preserve">4. definitions: Questions about poultry nutrition terminology and concept</w:t>
      </w:r>
      <w:r>
        <w:br/>
      </w:r>
      <w:r>
        <w:rPr>
          <w:rStyle w:val="VerbatimChar"/>
        </w:rPr>
        <w:t xml:space="preserve">   definitions.</w:t>
      </w:r>
      <w:r>
        <w:br/>
      </w:r>
      <w:r>
        <w:br/>
      </w:r>
      <w:r>
        <w:rPr>
          <w:rStyle w:val="VerbatimChar"/>
        </w:rPr>
        <w:t xml:space="preserve">Query: {query}</w:t>
      </w:r>
      <w:r>
        <w:br/>
      </w:r>
      <w:r>
        <w:br/>
      </w:r>
      <w:r>
        <w:rPr>
          <w:rStyle w:val="VerbatimChar"/>
        </w:rPr>
        <w:t xml:space="preserve">Output ONLY a JSON object with these fields:</w:t>
      </w:r>
      <w:r>
        <w:br/>
      </w:r>
      <w:r>
        <w:rPr>
          <w:rStyle w:val="VerbatimChar"/>
        </w:rPr>
        <w:t xml:space="preserve">- "intent": one of "feed", "nutrition", "performance", "definitions",</w:t>
      </w:r>
      <w:r>
        <w:br/>
      </w:r>
      <w:r>
        <w:rPr>
          <w:rStyle w:val="VerbatimChar"/>
        </w:rPr>
        <w:t xml:space="preserve">  or "multi"</w:t>
      </w:r>
      <w:r>
        <w:br/>
      </w:r>
      <w:r>
        <w:rPr>
          <w:rStyle w:val="VerbatimChar"/>
        </w:rPr>
        <w:t xml:space="preserve">- "target_agents": list of agent names to invoke</w:t>
      </w:r>
      <w:r>
        <w:br/>
      </w:r>
      <w:r>
        <w:rPr>
          <w:rStyle w:val="VerbatimChar"/>
        </w:rPr>
        <w:t xml:space="preserve">- "requires_cross_validation": true only if multiple agents are needed</w:t>
      </w:r>
      <w:r>
        <w:br/>
      </w:r>
      <w:r>
        <w:rPr>
          <w:rStyle w:val="VerbatimChar"/>
        </w:rPr>
        <w:t xml:space="preserve">  AND their answers may conflict</w:t>
      </w:r>
    </w:p>
    <w:bookmarkEnd w:id="14"/>
    <w:bookmarkStart w:id="15" w:name="s2.3-synthesis-agent-prompt"/>
    <w:p>
      <w:pPr>
        <w:pStyle w:val="Heading3"/>
      </w:pPr>
      <w:r>
        <w:t xml:space="preserve">S2.3 Synthesis Agent Prompt</w:t>
      </w:r>
    </w:p>
    <w:p>
      <w:pPr>
        <w:pStyle w:val="SourceCode"/>
      </w:pPr>
      <w:r>
        <w:rPr>
          <w:rStyle w:val="VerbatimChar"/>
        </w:rPr>
        <w:t xml:space="preserve">You are a senior poultry nutrition expert reviewing answers from multiple</w:t>
      </w:r>
      <w:r>
        <w:br/>
      </w:r>
      <w:r>
        <w:rPr>
          <w:rStyle w:val="VerbatimChar"/>
        </w:rPr>
        <w:t xml:space="preserve">specialist agents. Your job is to cross-validate, resolve conflicts, and</w:t>
      </w:r>
      <w:r>
        <w:br/>
      </w:r>
      <w:r>
        <w:rPr>
          <w:rStyle w:val="VerbatimChar"/>
        </w:rPr>
        <w:t xml:space="preserve">produce a single coherent final answer.</w:t>
      </w:r>
      <w:r>
        <w:br/>
      </w:r>
      <w:r>
        <w:br/>
      </w:r>
      <w:r>
        <w:rPr>
          <w:rStyle w:val="VerbatimChar"/>
        </w:rPr>
        <w:t xml:space="preserve">Original question: {query}</w:t>
      </w:r>
      <w:r>
        <w:br/>
      </w:r>
      <w:r>
        <w:br/>
      </w:r>
      <w:r>
        <w:rPr>
          <w:rStyle w:val="VerbatimChar"/>
        </w:rPr>
        <w:t xml:space="preserve">Specialist responses:</w:t>
      </w:r>
      <w:r>
        <w:br/>
      </w:r>
      <w:r>
        <w:rPr>
          <w:rStyle w:val="VerbatimChar"/>
        </w:rPr>
        <w:t xml:space="preserve">{specialist_outputs}</w:t>
      </w:r>
      <w:r>
        <w:br/>
      </w:r>
      <w:r>
        <w:br/>
      </w:r>
      <w:r>
        <w:rPr>
          <w:rStyle w:val="VerbatimChar"/>
        </w:rPr>
        <w:t xml:space="preserve">{rag_context}</w:t>
      </w:r>
      <w:r>
        <w:br/>
      </w:r>
      <w:r>
        <w:br/>
      </w:r>
      <w:r>
        <w:rPr>
          <w:rStyle w:val="VerbatimChar"/>
        </w:rPr>
        <w:t xml:space="preserve">{cross_validate_warnings}</w:t>
      </w:r>
      <w:r>
        <w:br/>
      </w:r>
      <w:r>
        <w:br/>
      </w:r>
      <w:r>
        <w:rPr>
          <w:rStyle w:val="VerbatimChar"/>
        </w:rPr>
        <w:t xml:space="preserve">Instructions:</w:t>
      </w:r>
      <w:r>
        <w:br/>
      </w:r>
      <w:r>
        <w:rPr>
          <w:rStyle w:val="VerbatimChar"/>
        </w:rPr>
        <w:t xml:space="preserve">1. Synthesize the information from all specialists into one coherent answer.</w:t>
      </w:r>
      <w:r>
        <w:br/>
      </w:r>
      <w:r>
        <w:rPr>
          <w:rStyle w:val="VerbatimChar"/>
        </w:rPr>
        <w:t xml:space="preserve">2. If there are contradictions between specialists, note the discrepancy</w:t>
      </w:r>
      <w:r>
        <w:br/>
      </w:r>
      <w:r>
        <w:rPr>
          <w:rStyle w:val="VerbatimChar"/>
        </w:rPr>
        <w:t xml:space="preserve">   and explain which value is best supported.</w:t>
      </w:r>
      <w:r>
        <w:br/>
      </w:r>
      <w:r>
        <w:rPr>
          <w:rStyle w:val="VerbatimChar"/>
        </w:rPr>
        <w:t xml:space="preserve">3. If supplementary information is provided, incorporate it where relevant.</w:t>
      </w:r>
      <w:r>
        <w:br/>
      </w:r>
      <w:r>
        <w:rPr>
          <w:rStyle w:val="VerbatimChar"/>
        </w:rPr>
        <w:t xml:space="preserve">4. The final answer should be comprehensive, accurate, and directly address</w:t>
      </w:r>
      <w:r>
        <w:br/>
      </w:r>
      <w:r>
        <w:rPr>
          <w:rStyle w:val="VerbatimChar"/>
        </w:rPr>
        <w:t xml:space="preserve">   the user's question.</w:t>
      </w:r>
      <w:r>
        <w:br/>
      </w:r>
      <w:r>
        <w:rPr>
          <w:rStyle w:val="VerbatimChar"/>
        </w:rPr>
        <w:t xml:space="preserve">5. Cite the source of each key number (e.g., "[from Performance tool]"</w:t>
      </w:r>
      <w:r>
        <w:br/>
      </w:r>
      <w:r>
        <w:rPr>
          <w:rStyle w:val="VerbatimChar"/>
        </w:rPr>
        <w:t xml:space="preserve">   or "[from Nutrient tool]").</w:t>
      </w:r>
      <w:r>
        <w:br/>
      </w:r>
      <w:r>
        <w:rPr>
          <w:rStyle w:val="VerbatimChar"/>
        </w:rPr>
        <w:t xml:space="preserve">6. Keep the same concise style as the original responses.</w:t>
      </w:r>
      <w:r>
        <w:br/>
      </w:r>
      <w:r>
        <w:br/>
      </w:r>
      <w:r>
        <w:rPr>
          <w:rStyle w:val="VerbatimChar"/>
        </w:rPr>
        <w:t xml:space="preserve">FINAL ANSWER:</w:t>
      </w:r>
    </w:p>
    <w:bookmarkEnd w:id="15"/>
    <w:bookmarkStart w:id="16" w:name="s2.4-evaluatorllm-prompt-comparative-n-1"/>
    <w:p>
      <w:pPr>
        <w:pStyle w:val="Heading3"/>
      </w:pPr>
      <w:r>
        <w:t xml:space="preserve">S2.4 EvaluatorLLM Prompt (Comparative, n &gt; 1)</w:t>
      </w:r>
    </w:p>
    <w:p>
      <w:pPr>
        <w:pStyle w:val="BlockText"/>
      </w:pPr>
      <w:r>
        <w:rPr>
          <w:b/>
          <w:bCs/>
        </w:rPr>
        <w:t xml:space="preserve">Rubric version note.</w:t>
      </w:r>
      <w:r>
        <w:t xml:space="preserve"> </w:t>
      </w:r>
      <w:r>
        <w:t xml:space="preserve">This is the submitted evaluator rubric (v1), retained unchanged because it is the prompt used for the automated scores. Its correctness anchor includes a citation clause. The primary expert used rubric v2 (S12), which removes the citation clause from correctness and scores provenance as a separate column. Automated and expert scores are therefore not generated under identical rubrics; the manuscript reports them as separate instruments.</w:t>
      </w:r>
    </w:p>
    <w:p>
      <w:pPr>
        <w:pStyle w:val="SourceCode"/>
      </w:pPr>
      <w:r>
        <w:rPr>
          <w:rStyle w:val="VerbatimChar"/>
        </w:rPr>
        <w:t xml:space="preserve">You are an expert evaluator of poultry nutrition responses. Evaluate {n}</w:t>
      </w:r>
      <w:r>
        <w:br/>
      </w:r>
      <w:r>
        <w:rPr>
          <w:rStyle w:val="VerbatimChar"/>
        </w:rPr>
        <w:t xml:space="preserve">responses to the following question using the detailed rubrics below.</w:t>
      </w:r>
      <w:r>
        <w:br/>
      </w:r>
      <w:r>
        <w:br/>
      </w:r>
      <w:r>
        <w:rPr>
          <w:rStyle w:val="VerbatimChar"/>
        </w:rPr>
        <w:t xml:space="preserve">QUESTION: {query}</w:t>
      </w:r>
      <w:r>
        <w:br/>
      </w:r>
      <w:r>
        <w:br/>
      </w:r>
      <w:r>
        <w:rPr>
          <w:rStyle w:val="VerbatimChar"/>
        </w:rPr>
        <w:t xml:space="preserve">RESPONSES:</w:t>
      </w:r>
      <w:r>
        <w:br/>
      </w:r>
      <w:r>
        <w:rPr>
          <w:rStyle w:val="VerbatimChar"/>
        </w:rPr>
        <w:t xml:space="preserve">{responses}</w:t>
      </w:r>
      <w:r>
        <w:br/>
      </w:r>
      <w:r>
        <w:br/>
      </w:r>
      <w:r>
        <w:rPr>
          <w:rStyle w:val="VerbatimChar"/>
        </w:rPr>
        <w:t xml:space="preserve">Rate each response on three metrics using a 5-point scale with the</w:t>
      </w:r>
      <w:r>
        <w:br/>
      </w:r>
      <w:r>
        <w:rPr>
          <w:rStyle w:val="VerbatimChar"/>
        </w:rPr>
        <w:t xml:space="preserve">following rubrics:</w:t>
      </w:r>
      <w:r>
        <w:br/>
      </w:r>
      <w:r>
        <w:br/>
      </w:r>
      <w:r>
        <w:rPr>
          <w:rStyle w:val="VerbatimChar"/>
        </w:rPr>
        <w:t xml:space="preserve">**Correctness** — Factual accuracy and relevance to the query.</w:t>
      </w:r>
      <w:r>
        <w:br/>
      </w:r>
      <w:r>
        <w:rPr>
          <w:rStyle w:val="VerbatimChar"/>
        </w:rPr>
        <w:t xml:space="preserve">  5 = All facts accurate, directly answers the query, cites/grounds</w:t>
      </w:r>
      <w:r>
        <w:br/>
      </w:r>
      <w:r>
        <w:rPr>
          <w:rStyle w:val="VerbatimChar"/>
        </w:rPr>
        <w:t xml:space="preserve">      authoritative data correctly</w:t>
      </w:r>
      <w:r>
        <w:br/>
      </w:r>
      <w:r>
        <w:rPr>
          <w:rStyle w:val="VerbatimChar"/>
        </w:rPr>
        <w:t xml:space="preserve">  4 = Mostly accurate with minor imprecision or slightly incomplete</w:t>
      </w:r>
      <w:r>
        <w:br/>
      </w:r>
      <w:r>
        <w:rPr>
          <w:rStyle w:val="VerbatimChar"/>
        </w:rPr>
        <w:t xml:space="preserve">  3 = Partially correct but has noticeable factual errors or missing</w:t>
      </w:r>
      <w:r>
        <w:br/>
      </w:r>
      <w:r>
        <w:rPr>
          <w:rStyle w:val="VerbatimChar"/>
        </w:rPr>
        <w:t xml:space="preserve">      key information</w:t>
      </w:r>
      <w:r>
        <w:br/>
      </w:r>
      <w:r>
        <w:rPr>
          <w:rStyle w:val="VerbatimChar"/>
        </w:rPr>
        <w:t xml:space="preserve">  2 = Several factual errors or largely off-topic</w:t>
      </w:r>
      <w:r>
        <w:br/>
      </w:r>
      <w:r>
        <w:rPr>
          <w:rStyle w:val="VerbatimChar"/>
        </w:rPr>
        <w:t xml:space="preserve">  1 = Completely incorrect, hallucinated information, or irrelevant</w:t>
      </w:r>
      <w:r>
        <w:br/>
      </w:r>
      <w:r>
        <w:br/>
      </w:r>
      <w:r>
        <w:rPr>
          <w:rStyle w:val="VerbatimChar"/>
        </w:rPr>
        <w:t xml:space="preserve">**Precision** — Numerical accuracy. Set to null ONLY for definition/</w:t>
      </w:r>
      <w:r>
        <w:br/>
      </w:r>
      <w:r>
        <w:rPr>
          <w:rStyle w:val="VerbatimChar"/>
        </w:rPr>
        <w:t xml:space="preserve">  terminology queries.</w:t>
      </w:r>
      <w:r>
        <w:br/>
      </w:r>
      <w:r>
        <w:rPr>
          <w:rStyle w:val="VerbatimChar"/>
        </w:rPr>
        <w:t xml:space="preserve">  5 = Exact point estimate matching reference value; or narrow,</w:t>
      </w:r>
      <w:r>
        <w:br/>
      </w:r>
      <w:r>
        <w:rPr>
          <w:rStyle w:val="VerbatimChar"/>
        </w:rPr>
        <w:t xml:space="preserve">      tightly-grounded range</w:t>
      </w:r>
      <w:r>
        <w:br/>
      </w:r>
      <w:r>
        <w:rPr>
          <w:rStyle w:val="VerbatimChar"/>
        </w:rPr>
        <w:t xml:space="preserve">  4 = Point estimate close to reference; or moderately precise range</w:t>
      </w:r>
      <w:r>
        <w:br/>
      </w:r>
      <w:r>
        <w:rPr>
          <w:rStyle w:val="VerbatimChar"/>
        </w:rPr>
        <w:t xml:space="preserve">  3 = Estimate directionally correct but noticeably off; or overly</w:t>
      </w:r>
      <w:r>
        <w:br/>
      </w:r>
      <w:r>
        <w:rPr>
          <w:rStyle w:val="VerbatimChar"/>
        </w:rPr>
        <w:t xml:space="preserve">      wide range</w:t>
      </w:r>
      <w:r>
        <w:br/>
      </w:r>
      <w:r>
        <w:rPr>
          <w:rStyle w:val="VerbatimChar"/>
        </w:rPr>
        <w:t xml:space="preserve">  2 = Vague or significantly inaccurate numeric answer</w:t>
      </w:r>
      <w:r>
        <w:br/>
      </w:r>
      <w:r>
        <w:rPr>
          <w:rStyle w:val="VerbatimChar"/>
        </w:rPr>
        <w:t xml:space="preserve">  1 = No numeric answer when quantitative response is expected, or</w:t>
      </w:r>
      <w:r>
        <w:br/>
      </w:r>
      <w:r>
        <w:rPr>
          <w:rStyle w:val="VerbatimChar"/>
        </w:rPr>
        <w:t xml:space="preserve">      completely wrong value</w:t>
      </w:r>
      <w:r>
        <w:br/>
      </w:r>
      <w:r>
        <w:br/>
      </w:r>
      <w:r>
        <w:rPr>
          <w:rStyle w:val="VerbatimChar"/>
        </w:rPr>
        <w:t xml:space="preserve">**Scientific Depth** — Depth of domain knowledge, context, and</w:t>
      </w:r>
      <w:r>
        <w:br/>
      </w:r>
      <w:r>
        <w:rPr>
          <w:rStyle w:val="VerbatimChar"/>
        </w:rPr>
        <w:t xml:space="preserve">  explanatory quality.</w:t>
      </w:r>
      <w:r>
        <w:br/>
      </w:r>
      <w:r>
        <w:rPr>
          <w:rStyle w:val="VerbatimChar"/>
        </w:rPr>
        <w:t xml:space="preserve">  5 = Demonstrates thorough understanding, provides mechanistic</w:t>
      </w:r>
      <w:r>
        <w:br/>
      </w:r>
      <w:r>
        <w:rPr>
          <w:rStyle w:val="VerbatimChar"/>
        </w:rPr>
        <w:t xml:space="preserve">      explanation and practical context</w:t>
      </w:r>
      <w:r>
        <w:br/>
      </w:r>
      <w:r>
        <w:rPr>
          <w:rStyle w:val="VerbatimChar"/>
        </w:rPr>
        <w:t xml:space="preserve">  4 = Good domain knowledge with relevant context, minor depth missing</w:t>
      </w:r>
      <w:r>
        <w:br/>
      </w:r>
      <w:r>
        <w:rPr>
          <w:rStyle w:val="VerbatimChar"/>
        </w:rPr>
        <w:t xml:space="preserve">  3 = Adequate but surface-level; lacks mechanism or broader context</w:t>
      </w:r>
      <w:r>
        <w:br/>
      </w:r>
      <w:r>
        <w:rPr>
          <w:rStyle w:val="VerbatimChar"/>
        </w:rPr>
        <w:t xml:space="preserve">  2 = Superficial; minimal domain-specific insight beyond generic knowledge</w:t>
      </w:r>
      <w:r>
        <w:br/>
      </w:r>
      <w:r>
        <w:rPr>
          <w:rStyle w:val="VerbatimChar"/>
        </w:rPr>
        <w:t xml:space="preserve">  1 = No scientific content or factually misleading explanation</w:t>
      </w:r>
      <w:r>
        <w:br/>
      </w:r>
      <w:r>
        <w:br/>
      </w:r>
      <w:r>
        <w:rPr>
          <w:rStyle w:val="VerbatimChar"/>
        </w:rPr>
        <w:t xml:space="preserve">Respond with ONLY a JSON object containing a "scores" array.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The "scores" array must contain ALL {n} responses (R1 to R{n}).</w:t>
      </w:r>
      <w:r>
        <w:br/>
      </w:r>
      <w:r>
        <w:rPr>
          <w:rStyle w:val="VerbatimChar"/>
        </w:rPr>
        <w:t xml:space="preserve">- If precision is not applicable (definition/terminology only), set it</w:t>
      </w:r>
      <w:r>
        <w:br/>
      </w:r>
      <w:r>
        <w:rPr>
          <w:rStyle w:val="VerbatimChar"/>
        </w:rPr>
        <w:t xml:space="preserve">  to null.</w:t>
      </w:r>
      <w:r>
        <w:br/>
      </w:r>
      <w:r>
        <w:rPr>
          <w:rStyle w:val="VerbatimChar"/>
        </w:rPr>
        <w:t xml:space="preserve">- Compare each response against the others (best=5, slightly worse=4, etc.).</w:t>
      </w:r>
      <w:r>
        <w:br/>
      </w:r>
      <w:r>
        <w:rPr>
          <w:rStyle w:val="VerbatimChar"/>
        </w:rPr>
        <w:t xml:space="preserve">- No text before or after the JSON object.</w:t>
      </w:r>
    </w:p>
    <w:bookmarkEnd w:id="16"/>
    <w:bookmarkStart w:id="17" w:name="s2.5-evaluatorllm-prompt-absolute-n-1"/>
    <w:p>
      <w:pPr>
        <w:pStyle w:val="Heading3"/>
      </w:pPr>
      <w:r>
        <w:t xml:space="preserve">S2.5 EvaluatorLLM Prompt (Absolute, n = 1)</w:t>
      </w:r>
    </w:p>
    <w:p>
      <w:pPr>
        <w:pStyle w:val="FirstParagraph"/>
      </w:pPr>
      <w:r>
        <w:t xml:space="preserve">Used in ablation experiments where each variant is scored independently. It uses rubric v1</w:t>
      </w:r>
      <w:r>
        <w:t xml:space="preserve"> </w:t>
      </w:r>
      <w:r>
        <w:t xml:space="preserve">(the S2.4 anchors, including the citation clause); the expert rubric v2 is in S12.</w:t>
      </w:r>
    </w:p>
    <w:p>
      <w:pPr>
        <w:pStyle w:val="SourceCode"/>
      </w:pPr>
      <w:r>
        <w:rPr>
          <w:rStyle w:val="VerbatimChar"/>
        </w:rPr>
        <w:t xml:space="preserve">[Same rubrics as S2.4]</w:t>
      </w:r>
      <w:r>
        <w:br/>
      </w:r>
      <w:r>
        <w:br/>
      </w:r>
      <w:r>
        <w:rPr>
          <w:rStyle w:val="VerbatimChar"/>
        </w:rPr>
        <w:t xml:space="preserve">IMPORTANT: Apply the rubric strictly. A score of 5 requires ALL criteria</w:t>
      </w:r>
      <w:r>
        <w:br/>
      </w:r>
      <w:r>
        <w:rPr>
          <w:rStyle w:val="VerbatimChar"/>
        </w:rPr>
        <w:t xml:space="preserve">to be fully met. Most well-formed responses should score 3-4; reserve 5</w:t>
      </w:r>
      <w:r>
        <w:br/>
      </w:r>
      <w:r>
        <w:rPr>
          <w:rStyle w:val="VerbatimChar"/>
        </w:rPr>
        <w:t xml:space="preserve">for truly exceptional answers and 1-2 for clearly deficient ones.</w:t>
      </w:r>
      <w:r>
        <w:br/>
      </w:r>
      <w:r>
        <w:br/>
      </w:r>
      <w:r>
        <w:rPr>
          <w:rStyle w:val="VerbatimChar"/>
        </w:rPr>
        <w:t xml:space="preserve">Score based on the rubric above, not relative to other responses.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3.-evaluation-query-sets"/>
    <w:p>
      <w:pPr>
        <w:pStyle w:val="Heading2"/>
      </w:pPr>
      <w:r>
        <w:t xml:space="preserve">S3. Evaluation Query Sets</w:t>
      </w:r>
    </w:p>
    <w:bookmarkStart w:id="19" w:name="s3.1-curated-evaluation-set-54-queries"/>
    <w:p>
      <w:pPr>
        <w:pStyle w:val="Heading3"/>
      </w:pPr>
      <w:r>
        <w:t xml:space="preserve">S3.1 Curated Evaluation Set (54 queries)</w:t>
      </w:r>
    </w:p>
    <w:p>
      <w:pPr>
        <w:pStyle w:val="BlockText"/>
      </w:pPr>
      <w:r>
        <w:t xml:space="preserve">Auto-generated from</w:t>
      </w:r>
      <w:r>
        <w:t xml:space="preserve"> </w:t>
      </w:r>
      <w:r>
        <w:rPr>
          <w:rStyle w:val="VerbatimChar"/>
        </w:rPr>
        <w:t xml:space="preserve">queries/layer/evaluation_queries_curated.json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scripts/paper/build_supplementary_s3.py</w:t>
      </w:r>
      <w:r>
        <w:t xml:space="preserve">. Do not edit by hand.</w:t>
      </w:r>
    </w:p>
    <w:p>
      <w:pPr>
        <w:pStyle w:val="Compact"/>
        <w:numPr>
          <w:ilvl w:val="0"/>
          <w:numId w:val="1001"/>
        </w:numPr>
      </w:pPr>
      <w:r>
        <w:t xml:space="preserve">Total:</w:t>
      </w:r>
      <w:r>
        <w:t xml:space="preserve"> </w:t>
      </w:r>
      <w:r>
        <w:rPr>
          <w:b/>
          <w:bCs/>
        </w:rPr>
        <w:t xml:space="preserve">54</w:t>
      </w:r>
      <w:r>
        <w:t xml:space="preserve"> </w:t>
      </w:r>
      <w:r>
        <w:t xml:space="preserve">queries (42 English / 12 Chinese)</w:t>
      </w:r>
    </w:p>
    <w:p>
      <w:pPr>
        <w:pStyle w:val="Compact"/>
        <w:numPr>
          <w:ilvl w:val="0"/>
          <w:numId w:val="1001"/>
        </w:numPr>
      </w:pPr>
      <w:r>
        <w:t xml:space="preserve">Query types: {</w:t>
      </w:r>
      <w:r>
        <w:t xml:space="preserve">‘single-value’</w:t>
      </w:r>
      <w:r>
        <w:t xml:space="preserve">: 21,</w:t>
      </w:r>
      <w:r>
        <w:t xml:space="preserve"> </w:t>
      </w:r>
      <w:r>
        <w:t xml:space="preserve">‘comparison’</w:t>
      </w:r>
      <w:r>
        <w:t xml:space="preserve">: 10,</w:t>
      </w:r>
      <w:r>
        <w:t xml:space="preserve"> </w:t>
      </w:r>
      <w:r>
        <w:t xml:space="preserve">‘open-ended’</w:t>
      </w:r>
      <w:r>
        <w:t xml:space="preserve">: 7,</w:t>
      </w:r>
      <w:r>
        <w:t xml:space="preserve"> </w:t>
      </w:r>
      <w:r>
        <w:t xml:space="preserve">‘definition’</w:t>
      </w:r>
      <w:r>
        <w:t xml:space="preserve">: 7,</w:t>
      </w:r>
      <w:r>
        <w:t xml:space="preserve"> </w:t>
      </w:r>
      <w:r>
        <w:t xml:space="preserve">‘multi-hop’</w:t>
      </w:r>
      <w:r>
        <w:t xml:space="preserve">: 4,</w:t>
      </w:r>
      <w:r>
        <w:t xml:space="preserve"> </w:t>
      </w:r>
      <w:r>
        <w:t xml:space="preserve">‘constraint’</w:t>
      </w:r>
      <w:r>
        <w:t xml:space="preserve">: 3,</w:t>
      </w:r>
      <w:r>
        <w:t xml:space="preserve"> </w:t>
      </w:r>
      <w:r>
        <w:t xml:space="preserve">‘counterfactual’</w:t>
      </w:r>
      <w:r>
        <w:t xml:space="preserve">: 2}</w:t>
      </w:r>
    </w:p>
    <w:p>
      <w:pPr>
        <w:pStyle w:val="Compact"/>
        <w:numPr>
          <w:ilvl w:val="0"/>
          <w:numId w:val="1001"/>
        </w:numPr>
      </w:pPr>
      <w:r>
        <w:t xml:space="preserve">Numeric ground truth:</w:t>
      </w:r>
      <w:r>
        <w:t xml:space="preserve"> </w:t>
      </w:r>
      <w:r>
        <w:rPr>
          <w:b/>
          <w:bCs/>
        </w:rPr>
        <w:t xml:space="preserve">36</w:t>
      </w:r>
      <w:r>
        <w:t xml:space="preserve">; expected-behaviour annotations:</w:t>
      </w:r>
      <w:r>
        <w:t xml:space="preserve"> </w:t>
      </w:r>
      <w:r>
        <w:rPr>
          <w:b/>
          <w:bCs/>
        </w:rPr>
        <w:t xml:space="preserve">25</w:t>
      </w:r>
    </w:p>
    <w:p>
      <w:pPr>
        <w:pStyle w:val="FirstParagraph"/>
      </w:pPr>
      <w:r>
        <w:rPr>
          <w:b/>
          <w:bCs/>
        </w:rPr>
        <w:t xml:space="preserve">Feed Ingredient Bank (10 queries)</w:t>
      </w:r>
    </w:p>
    <w:p>
      <w:pPr>
        <w:pStyle w:val="Compact"/>
        <w:numPr>
          <w:ilvl w:val="0"/>
          <w:numId w:val="1002"/>
        </w:numPr>
      </w:pPr>
      <w:r>
        <w:t xml:space="preserve">C-FIB-001: What is the crude protein content of maize? [single-value, EN; unit=%; target=feed_ingredient_bank:Maize]</w:t>
      </w:r>
    </w:p>
    <w:p>
      <w:pPr>
        <w:pStyle w:val="Compact"/>
        <w:numPr>
          <w:ilvl w:val="0"/>
          <w:numId w:val="1002"/>
        </w:numPr>
      </w:pPr>
      <w:r>
        <w:t xml:space="preserve">C-FIB-002: What is the calcium content of limestone? [single-value, EN; unit=%; target=feed_ingredient_bank:Limestone]</w:t>
      </w:r>
    </w:p>
    <w:p>
      <w:pPr>
        <w:pStyle w:val="Compact"/>
        <w:numPr>
          <w:ilvl w:val="0"/>
          <w:numId w:val="1002"/>
        </w:numPr>
      </w:pPr>
      <w:r>
        <w:t xml:space="preserve">C-FIB-003: What is the metabolizable energy of soybean meal 48% in kcal/kg? [single-value, EN; unit=kcal/kg; target=feed_ingredient_bank:Soybean meal, oil &lt; 5%, 48% protein + oil]</w:t>
      </w:r>
    </w:p>
    <w:p>
      <w:pPr>
        <w:pStyle w:val="Compact"/>
        <w:numPr>
          <w:ilvl w:val="0"/>
          <w:numId w:val="1002"/>
        </w:numPr>
      </w:pPr>
      <w:r>
        <w:t xml:space="preserve">C-FIB-004: Which has higher metabolizable energy, maize or soft wheat? State both values. [comparison, EN; unit=kcal/kg; target=feed_ingredient_bank:Maize, feed_ingredient_bank:Wheat, soft]</w:t>
      </w:r>
    </w:p>
    <w:p>
      <w:pPr>
        <w:pStyle w:val="Compact"/>
        <w:numPr>
          <w:ilvl w:val="0"/>
          <w:numId w:val="1002"/>
        </w:numPr>
      </w:pPr>
      <w:r>
        <w:t xml:space="preserve">C-FIB-005: Compare the crude protein of soybean meal 48% and canola meal. Which is higher and by how much? [comparison, EN; unit=%; target=feed_ingredient_bank:Soybean meal, oil &lt; 5%, 48% protein + oil, feed_ingredient_bank:Canola meal, oil &lt; 5%]</w:t>
      </w:r>
    </w:p>
    <w:p>
      <w:pPr>
        <w:pStyle w:val="Compact"/>
        <w:numPr>
          <w:ilvl w:val="0"/>
          <w:numId w:val="1002"/>
        </w:numPr>
      </w:pPr>
      <w:r>
        <w:t xml:space="preserve">C-FIB-006: List three plant protein sources from the feed ingredient bank with crude protein above 30%. Cite exact CP values. [open-ended, EN; unit=%]</w:t>
      </w:r>
    </w:p>
    <w:p>
      <w:pPr>
        <w:pStyle w:val="Compact"/>
        <w:numPr>
          <w:ilvl w:val="0"/>
          <w:numId w:val="1002"/>
        </w:numPr>
      </w:pPr>
      <w:r>
        <w:t xml:space="preserve">C-FIB-007: Compare the SID lysine digestibility of maize and soybean meal 48%. What does this imply for formulation? [open-ended, EN; unit=%; target=feed_ingredient_digestibility:Maize, feed_ingredient_digestibility:Soybean meal, oil &lt; 5%, 48% protein + oil]</w:t>
      </w:r>
    </w:p>
    <w:p>
      <w:pPr>
        <w:pStyle w:val="Compact"/>
        <w:numPr>
          <w:ilvl w:val="0"/>
          <w:numId w:val="1002"/>
        </w:numPr>
      </w:pPr>
      <w:r>
        <w:t xml:space="preserve">C-FIB-008: Define metabolizable energy (ME). How does it differ from gross energy? [definition, EN; target=definitions:metabolizable energy]</w:t>
      </w:r>
    </w:p>
    <w:p>
      <w:pPr>
        <w:pStyle w:val="Compact"/>
        <w:numPr>
          <w:ilvl w:val="0"/>
          <w:numId w:val="1002"/>
        </w:numPr>
      </w:pPr>
      <w:r>
        <w:t xml:space="preserve">C-FIB-009: </w:t>
      </w:r>
      <w:r>
        <w:rPr>
          <w:rFonts w:hint="eastAsia"/>
        </w:rPr>
        <w:t xml:space="preserve">玉米的粗蛋白含量是多少？</w:t>
      </w:r>
      <w:r>
        <w:t xml:space="preserve"> [single-value, ZH; unit=%; target=feed_ingredient_bank:Maize]</w:t>
      </w:r>
    </w:p>
    <w:p>
      <w:pPr>
        <w:pStyle w:val="Compact"/>
        <w:numPr>
          <w:ilvl w:val="0"/>
          <w:numId w:val="1002"/>
        </w:numPr>
      </w:pPr>
      <w:r>
        <w:t xml:space="preserve">C-FIB-010: </w:t>
      </w:r>
      <w:r>
        <w:rPr>
          <w:rFonts w:hint="eastAsia"/>
        </w:rPr>
        <w:t xml:space="preserve">豆粕48和菜粕的代谢能各是多少？哪个更高？</w:t>
      </w:r>
      <w:r>
        <w:t xml:space="preserve"> [comparison, ZH; unit=kcal/kg; target=feed_ingredient_bank:Soybean meal, oil &lt; 5%, 48% protein + oil, feed_ingredient_bank:Rapeseed meal, oil &lt; 5%]</w:t>
      </w:r>
    </w:p>
    <w:p>
      <w:pPr>
        <w:pStyle w:val="FirstParagraph"/>
      </w:pPr>
      <w:r>
        <w:rPr>
          <w:b/>
          <w:bCs/>
        </w:rPr>
        <w:t xml:space="preserve">Nutrient Requirements (12 queries)</w:t>
      </w:r>
    </w:p>
    <w:p>
      <w:pPr>
        <w:pStyle w:val="Compact"/>
        <w:numPr>
          <w:ilvl w:val="0"/>
          <w:numId w:val="1003"/>
        </w:numPr>
      </w:pPr>
      <w:r>
        <w:t xml:space="preserve">C-NR-001: What is the calcium requirement for Isa Brown in Lay I? [single-value, EN; unit=%; target=nutrient_requirements:ISA Brown/Lay I]</w:t>
      </w:r>
    </w:p>
    <w:p>
      <w:pPr>
        <w:pStyle w:val="Compact"/>
        <w:numPr>
          <w:ilvl w:val="0"/>
          <w:numId w:val="1003"/>
        </w:numPr>
      </w:pPr>
      <w:r>
        <w:t xml:space="preserve">C-NR-002: What is the SID methionine requirement for Isa Brown in Lay I? [single-value, EN; unit=%; target=nutrient_requirements:ISA Brown/Lay I]</w:t>
      </w:r>
    </w:p>
    <w:p>
      <w:pPr>
        <w:pStyle w:val="Compact"/>
        <w:numPr>
          <w:ilvl w:val="0"/>
          <w:numId w:val="1003"/>
        </w:numPr>
      </w:pPr>
      <w:r>
        <w:t xml:space="preserve">C-NR-003: What is the crude protein requirement for Jinghong 1 in Layer I? [single-value, EN; unit=%; target=nutrient_requirements:Jinghong 1 v3.0/Layer I]</w:t>
      </w:r>
    </w:p>
    <w:p>
      <w:pPr>
        <w:pStyle w:val="Compact"/>
        <w:numPr>
          <w:ilvl w:val="0"/>
          <w:numId w:val="1003"/>
        </w:numPr>
      </w:pPr>
      <w:r>
        <w:t xml:space="preserve">C-NR-004: Compare calcium requirement: Isa Brown Lay I vs Lay III. Which is higher? [comparison, EN; unit=%; target=nutrient_requirements:ISA Brown/Lay I, nutrient_requirements:ISA Brown/Lay III]</w:t>
      </w:r>
    </w:p>
    <w:p>
      <w:pPr>
        <w:pStyle w:val="Compact"/>
        <w:numPr>
          <w:ilvl w:val="0"/>
          <w:numId w:val="1003"/>
        </w:numPr>
      </w:pPr>
      <w:r>
        <w:t xml:space="preserve">C-NR-005: Compare calcium requirement: Isa Brown vs Dawu Jinfeng, both in Lay I. Which is higher? [comparison, EN; unit=%; target=nutrient_requirements:ISA Brown/Lay I, nutrient_requirements:Dawu Jinfeng/Lay I]</w:t>
      </w:r>
    </w:p>
    <w:p>
      <w:pPr>
        <w:pStyle w:val="Compact"/>
        <w:numPr>
          <w:ilvl w:val="0"/>
          <w:numId w:val="1003"/>
        </w:numPr>
      </w:pPr>
      <w:r>
        <w:t xml:space="preserve">C-NR-006: How does the calcium requirement for Isa Brown change from Developer through Lay III? State the Ca% for each phase. [open-ended, EN; unit=%; target=nutrient_requirements:ISA Brown]</w:t>
      </w:r>
    </w:p>
    <w:p>
      <w:pPr>
        <w:pStyle w:val="Compact"/>
        <w:numPr>
          <w:ilvl w:val="0"/>
          <w:numId w:val="1003"/>
        </w:numPr>
      </w:pPr>
      <w:r>
        <w:t xml:space="preserve">C-NR-007: A feed ingredient has total lysine of 0.85% and SID lysine digestibility of 88%. What is the SID lysine content (in %)? [single-value, EN; unit=%]</w:t>
      </w:r>
    </w:p>
    <w:p>
      <w:pPr>
        <w:pStyle w:val="Compact"/>
        <w:numPr>
          <w:ilvl w:val="0"/>
          <w:numId w:val="1003"/>
        </w:numPr>
      </w:pPr>
      <w:r>
        <w:t xml:space="preserve">C-NR-008: A diet has 0.45% total phosphorus and 0.30% phytate phosphorus. If phytase improves phytate P release by 50%, what is the effective available phosphorus? [single-value, EN; unit=%]</w:t>
      </w:r>
    </w:p>
    <w:p>
      <w:pPr>
        <w:pStyle w:val="Compact"/>
        <w:numPr>
          <w:ilvl w:val="0"/>
          <w:numId w:val="1003"/>
        </w:numPr>
      </w:pPr>
      <w:r>
        <w:t xml:space="preserve">C-NR-009: Define SID (Standardized Ileal Digestible) amino acids. Why is it preferred over total amino acids? [definition, EN; target=definitions:standardized ileal digestibility]</w:t>
      </w:r>
    </w:p>
    <w:p>
      <w:pPr>
        <w:pStyle w:val="Compact"/>
        <w:numPr>
          <w:ilvl w:val="0"/>
          <w:numId w:val="1003"/>
        </w:numPr>
      </w:pPr>
      <w:r>
        <w:t xml:space="preserve">C-NR-010: </w:t>
      </w:r>
      <w:r>
        <w:rPr>
          <w:rFonts w:hint="eastAsia"/>
        </w:rPr>
        <w:t xml:space="preserve">大午金凤在产蛋I期的钙需要量是多少？</w:t>
      </w:r>
      <w:r>
        <w:t xml:space="preserve"> [single-value, ZH; unit=%; target=nutrient_requirements:Dawu Jinfeng/Lay I]</w:t>
      </w:r>
    </w:p>
    <w:p>
      <w:pPr>
        <w:pStyle w:val="Compact"/>
        <w:numPr>
          <w:ilvl w:val="0"/>
          <w:numId w:val="1003"/>
        </w:numPr>
      </w:pPr>
      <w:r>
        <w:t xml:space="preserve">C-NR-011: </w:t>
      </w:r>
      <w:r>
        <w:rPr>
          <w:rFonts w:hint="eastAsia"/>
        </w:rPr>
        <w:t xml:space="preserve">大午金凤从产蛋I期到产蛋III期，钙需要量怎么变化？</w:t>
      </w:r>
      <w:r>
        <w:t xml:space="preserve"> [comparison, ZH; unit=%; target=nutrient_requirements:Dawu Jinfeng]</w:t>
      </w:r>
    </w:p>
    <w:p>
      <w:pPr>
        <w:pStyle w:val="Compact"/>
        <w:numPr>
          <w:ilvl w:val="0"/>
          <w:numId w:val="1003"/>
        </w:numPr>
      </w:pPr>
      <w:r>
        <w:t xml:space="preserve">C-NR-012: </w:t>
      </w:r>
      <w:r>
        <w:rPr>
          <w:rFonts w:hint="eastAsia"/>
        </w:rPr>
        <w:t xml:space="preserve">大午金凤在产蛋I期的SID蛋氨酸需要量是多少？</w:t>
      </w:r>
      <w:r>
        <w:t xml:space="preserve"> [single-value, ZH; unit=%; target=nutrient_requirements:Dawu Jinfeng/Lay I]</w:t>
      </w:r>
    </w:p>
    <w:p>
      <w:pPr>
        <w:pStyle w:val="FirstParagraph"/>
      </w:pPr>
      <w:r>
        <w:rPr>
          <w:b/>
          <w:bCs/>
        </w:rPr>
        <w:t xml:space="preserve">Performance Management (11 queries)</w:t>
      </w:r>
    </w:p>
    <w:p>
      <w:pPr>
        <w:pStyle w:val="Compact"/>
        <w:numPr>
          <w:ilvl w:val="0"/>
          <w:numId w:val="1004"/>
        </w:numPr>
      </w:pPr>
      <w:r>
        <w:t xml:space="preserve">C-PM-001: What is the hen-day production for Isa Brown at week 30? [single-value, EN; unit=%; target=performance_management:ISA Brown/week 30]</w:t>
      </w:r>
    </w:p>
    <w:p>
      <w:pPr>
        <w:pStyle w:val="Compact"/>
        <w:numPr>
          <w:ilvl w:val="0"/>
          <w:numId w:val="1004"/>
        </w:numPr>
      </w:pPr>
      <w:r>
        <w:t xml:space="preserve">C-PM-002: What is the egg weight for Hy-Line Brown at week 30? [single-value, EN; unit=g; target=performance_management:Hy-Line Brown/week 30]</w:t>
      </w:r>
    </w:p>
    <w:p>
      <w:pPr>
        <w:pStyle w:val="Compact"/>
        <w:numPr>
          <w:ilvl w:val="0"/>
          <w:numId w:val="1004"/>
        </w:numPr>
      </w:pPr>
      <w:r>
        <w:t xml:space="preserve">C-PM-003: Compare hen-day production: Isa Brown week 30 vs Hy-Line Brown week 30. Which is higher? [comparison, EN; unit=%; target=performance_management:ISA Brown/week 30, performance_management:Hy-Line Brown/week 30]</w:t>
      </w:r>
    </w:p>
    <w:p>
      <w:pPr>
        <w:pStyle w:val="Compact"/>
        <w:numPr>
          <w:ilvl w:val="0"/>
          <w:numId w:val="1004"/>
        </w:numPr>
      </w:pPr>
      <w:r>
        <w:t xml:space="preserve">C-PM-004: Compare daily feed intake: Isa Brown week 30 vs Hy-Line Brown week 30. [comparison, EN; unit=g/d; target=performance_management:ISA Brown/week 30, performance_management:Hy-Line Brown/week 30]</w:t>
      </w:r>
    </w:p>
    <w:p>
      <w:pPr>
        <w:pStyle w:val="Compact"/>
        <w:numPr>
          <w:ilvl w:val="0"/>
          <w:numId w:val="1004"/>
        </w:numPr>
      </w:pPr>
      <w:r>
        <w:t xml:space="preserve">C-PM-005: Track the body weight of Isa Brown pullets at week 5, 10, and 15. What is the weight at each point? [open-ended, EN; unit=g; target=performance_management:ISA Brown/weeks 5,10,15]</w:t>
      </w:r>
    </w:p>
    <w:p>
      <w:pPr>
        <w:pStyle w:val="Compact"/>
        <w:numPr>
          <w:ilvl w:val="0"/>
          <w:numId w:val="1004"/>
        </w:numPr>
      </w:pPr>
      <w:r>
        <w:t xml:space="preserve">C-PM-006: Isa Brown at week 30: feed intake 112 g/day, Ca requirement 4.04%. Estimate daily calcium intake in mg/hen/day. Is it sufficient for eggshell (~4000 mg/day)? [open-ended, EN; unit=mg/hen/day; target=performance_management:ISA Brown/week 30, nutrient_requirements:ISA Brown/Lay I]</w:t>
      </w:r>
    </w:p>
    <w:p>
      <w:pPr>
        <w:pStyle w:val="Compact"/>
        <w:numPr>
          <w:ilvl w:val="0"/>
          <w:numId w:val="1004"/>
        </w:numPr>
      </w:pPr>
      <w:r>
        <w:t xml:space="preserve">C-PM-007: Isa Brown at week 30: hen-day production 95.5%, average egg weight 61.5g. Calculate egg mass in g/hen/day. [single-value, EN; unit=g/hen/day; target=performance_management:ISA Brown/week 30]</w:t>
      </w:r>
    </w:p>
    <w:p>
      <w:pPr>
        <w:pStyle w:val="Compact"/>
        <w:numPr>
          <w:ilvl w:val="0"/>
          <w:numId w:val="1004"/>
        </w:numPr>
      </w:pPr>
      <w:r>
        <w:t xml:space="preserve">C-PM-008: Define hen-day egg production. How is it calculated? [definition, EN; target=definitions:hen-day egg production]</w:t>
      </w:r>
    </w:p>
    <w:p>
      <w:pPr>
        <w:pStyle w:val="Compact"/>
        <w:numPr>
          <w:ilvl w:val="0"/>
          <w:numId w:val="1004"/>
        </w:numPr>
      </w:pPr>
      <w:r>
        <w:t xml:space="preserve">C-PM-009: </w:t>
      </w:r>
      <w:r>
        <w:rPr>
          <w:rFonts w:hint="eastAsia"/>
        </w:rPr>
        <w:t xml:space="preserve">京粉6号在第30周的产蛋率是多少？</w:t>
      </w:r>
      <w:r>
        <w:t xml:space="preserve"> [single-value, ZH; unit=%; target=performance_management:Jingfen 6/week 30]</w:t>
      </w:r>
    </w:p>
    <w:p>
      <w:pPr>
        <w:pStyle w:val="Compact"/>
        <w:numPr>
          <w:ilvl w:val="0"/>
          <w:numId w:val="1004"/>
        </w:numPr>
      </w:pPr>
      <w:r>
        <w:t xml:space="preserve">C-PM-010: </w:t>
      </w:r>
      <w:r>
        <w:rPr>
          <w:rFonts w:hint="eastAsia"/>
        </w:rPr>
        <w:t xml:space="preserve">京粉6号和海兰褐在第30周的产蛋率各是多少？哪个更高？</w:t>
      </w:r>
      <w:r>
        <w:t xml:space="preserve"> [comparison, ZH; unit=%; target=performance_management:Jingfen 6/week 30, performance_management:Hy-Line Brown/week 30]</w:t>
      </w:r>
    </w:p>
    <w:p>
      <w:pPr>
        <w:pStyle w:val="Compact"/>
        <w:numPr>
          <w:ilvl w:val="0"/>
          <w:numId w:val="1004"/>
        </w:numPr>
      </w:pPr>
      <w:r>
        <w:t xml:space="preserve">C-PM-011: </w:t>
      </w:r>
      <w:r>
        <w:rPr>
          <w:rFonts w:hint="eastAsia"/>
        </w:rPr>
        <w:t xml:space="preserve">京粉6号第30周的产蛋率和蛋重各是多少？</w:t>
      </w:r>
      <w:r>
        <w:t xml:space="preserve"> [single-value, ZH; unit=% / g; target=performance_management:Jingfen 6/week 30]</w:t>
      </w:r>
    </w:p>
    <w:p>
      <w:pPr>
        <w:pStyle w:val="FirstParagraph"/>
      </w:pPr>
      <w:r>
        <w:rPr>
          <w:b/>
          <w:bCs/>
        </w:rPr>
        <w:t xml:space="preserve">Definitions (6 queries)</w:t>
      </w:r>
    </w:p>
    <w:p>
      <w:pPr>
        <w:pStyle w:val="Compact"/>
        <w:numPr>
          <w:ilvl w:val="0"/>
          <w:numId w:val="1005"/>
        </w:numPr>
      </w:pPr>
      <w:r>
        <w:t xml:space="preserve">C-DEF-001: Define metabolizable energy (ME). How does it differ from digestible energy (DE)? [definition, EN; target=definitions:metabolizable energy, definitions:digestible energy]</w:t>
      </w:r>
    </w:p>
    <w:p>
      <w:pPr>
        <w:pStyle w:val="Compact"/>
        <w:numPr>
          <w:ilvl w:val="0"/>
          <w:numId w:val="1005"/>
        </w:numPr>
      </w:pPr>
      <w:r>
        <w:t xml:space="preserve">C-DEF-002: Define available phosphorus. Why is it different from total phosphorus? [definition, EN; target=definitions:available phosphorus, definitions:total phosphorus]</w:t>
      </w:r>
    </w:p>
    <w:p>
      <w:pPr>
        <w:pStyle w:val="Compact"/>
        <w:numPr>
          <w:ilvl w:val="0"/>
          <w:numId w:val="1005"/>
        </w:numPr>
      </w:pPr>
      <w:r>
        <w:t xml:space="preserve">C-DEF-003: What is feed conversion ratio (FCR)? How is it calculated? [definition, EN; target=definitions:feed conversion ratio]</w:t>
      </w:r>
    </w:p>
    <w:p>
      <w:pPr>
        <w:pStyle w:val="Compact"/>
        <w:numPr>
          <w:ilvl w:val="0"/>
          <w:numId w:val="1005"/>
        </w:numPr>
      </w:pPr>
      <w:r>
        <w:t xml:space="preserve">C-DEF-004: A feed sample has 2.5% nitrogen. Using N×6.25, what is the crude protein percentage? [single-value, EN; unit=%]</w:t>
      </w:r>
    </w:p>
    <w:p>
      <w:pPr>
        <w:pStyle w:val="Compact"/>
        <w:numPr>
          <w:ilvl w:val="0"/>
          <w:numId w:val="1005"/>
        </w:numPr>
      </w:pPr>
      <w:r>
        <w:t xml:space="preserve">C-DEF-005: </w:t>
      </w:r>
      <w:r>
        <w:rPr>
          <w:rFonts w:hint="eastAsia"/>
        </w:rPr>
        <w:t xml:space="preserve">什么是代谢能？它和消化能有什么区别？</w:t>
      </w:r>
      <w:r>
        <w:t xml:space="preserve"> [definition, ZH; target=definitions:metabolizable energy, definitions:digestible energy]</w:t>
      </w:r>
    </w:p>
    <w:p>
      <w:pPr>
        <w:pStyle w:val="Compact"/>
        <w:numPr>
          <w:ilvl w:val="0"/>
          <w:numId w:val="1005"/>
        </w:numPr>
      </w:pPr>
      <w:r>
        <w:t xml:space="preserve">C-DEF-006: </w:t>
      </w:r>
      <w:r>
        <w:rPr>
          <w:rFonts w:hint="eastAsia"/>
        </w:rPr>
        <w:t xml:space="preserve">蛋鸡饲料配方为什么优先用代谢能而不是消化能？</w:t>
      </w:r>
      <w:r>
        <w:t xml:space="preserve"> [open-ended, ZH; target=definitions:metabolizable energy, definitions:digestible energy]</w:t>
      </w:r>
    </w:p>
    <w:p>
      <w:pPr>
        <w:pStyle w:val="FirstParagraph"/>
      </w:pPr>
      <w:r>
        <w:rPr>
          <w:b/>
          <w:bCs/>
        </w:rPr>
        <w:t xml:space="preserve">Cross-Domain (10 queries)</w:t>
      </w:r>
    </w:p>
    <w:p>
      <w:pPr>
        <w:pStyle w:val="Compact"/>
        <w:numPr>
          <w:ilvl w:val="0"/>
          <w:numId w:val="1006"/>
        </w:numPr>
      </w:pPr>
      <w:r>
        <w:t xml:space="preserve">C-XD-001: A Lay I diet uses 60% maize (total lysine=0.247%, SID=90%) and 25% SBM48 (total lysine=0.620%, SID=88%). Calculate the SID lysine contribution. Does it meet the ISA Brown layers requirement (0.77%)? [multi-hop, EN; unit=%]</w:t>
      </w:r>
    </w:p>
    <w:p>
      <w:pPr>
        <w:pStyle w:val="Compact"/>
        <w:numPr>
          <w:ilvl w:val="0"/>
          <w:numId w:val="1006"/>
        </w:numPr>
      </w:pPr>
      <w:r>
        <w:t xml:space="preserve">C-XD-002: Ca requirement for ISA Brown layers is 4.04%. Limestone has 35% Ca. What % of limestone is needed in the diet? [multi-hop, EN; unit=%; target=nutrient_requirements:ISA Brown/Lay I, feed_ingredient_bank:Limestone]</w:t>
      </w:r>
    </w:p>
    <w:p>
      <w:pPr>
        <w:pStyle w:val="Compact"/>
        <w:numPr>
          <w:ilvl w:val="0"/>
          <w:numId w:val="1006"/>
        </w:numPr>
      </w:pPr>
      <w:r>
        <w:t xml:space="preserve">C-XD-003: Can limestone at 9% inclusion meet the Ca requirement of 4.04% for ISA Brown layers? Calculate the Ca contribution. [constraint, EN; unit=%; target=nutrient_requirements:ISA Brown/Lay I, feed_ingredient_bank:Limestone]</w:t>
      </w:r>
    </w:p>
    <w:p>
      <w:pPr>
        <w:pStyle w:val="Compact"/>
        <w:numPr>
          <w:ilvl w:val="0"/>
          <w:numId w:val="1006"/>
        </w:numPr>
      </w:pPr>
      <w:r>
        <w:t xml:space="preserve">C-XD-004: A Lay I diet: 55% maize + 30% SBM48. Using SID lysine values, calculate total SID lysine. Does it meet 0.77%? [constraint, EN; unit=%]</w:t>
      </w:r>
    </w:p>
    <w:p>
      <w:pPr>
        <w:pStyle w:val="Compact"/>
        <w:numPr>
          <w:ilvl w:val="0"/>
          <w:numId w:val="1006"/>
        </w:numPr>
      </w:pPr>
      <w:r>
        <w:t xml:space="preserve">C-XD-005: Maize CP drops from 8.8% to 5.0% (severe drought). Original formula: 60% maize. By how many percentage points must SBM48 (CP=52.6%) increase to maintain total CP? [counterfactual, EN; unit=percentage points; target=feed_ingredient_bank:Maize]</w:t>
      </w:r>
    </w:p>
    <w:p>
      <w:pPr>
        <w:pStyle w:val="Compact"/>
        <w:numPr>
          <w:ilvl w:val="0"/>
          <w:numId w:val="1006"/>
        </w:numPr>
      </w:pPr>
      <w:r>
        <w:t xml:space="preserve">C-XD-006: SBM price doubles. Replace 50% of SBM with canola meal. Original: 25% SBM (CP=52.6%). New: 12.5% SBM + 12.5% canola (CP=41.0%). Calculate the CP contribution change. [counterfactual, EN; unit=percentage points (decrease); target=feed_ingredient_bank:Soybean meal, oil &lt; 5%, 48% protein + oil, feed_ingredient_bank:Canola meal, oil &lt; 5%]</w:t>
      </w:r>
    </w:p>
    <w:p>
      <w:pPr>
        <w:pStyle w:val="Compact"/>
        <w:numPr>
          <w:ilvl w:val="0"/>
          <w:numId w:val="1006"/>
        </w:numPr>
      </w:pPr>
      <w:r>
        <w:t xml:space="preserve">C-XD-007: ISA Brown at week 30: feed intake 112 g/day, Ca requirement 4.04%. Estimate daily Ca intake (mg/hen/day). Sufficient for eggshell? [multi-hop, EN; unit=mg/hen/day; target=nutrient_requirements:ISA Brown/Lay I, performance_management:ISA Brown/week 30]</w:t>
      </w:r>
    </w:p>
    <w:p>
      <w:pPr>
        <w:pStyle w:val="Compact"/>
        <w:numPr>
          <w:ilvl w:val="0"/>
          <w:numId w:val="1006"/>
        </w:numPr>
      </w:pPr>
      <w:r>
        <w:t xml:space="preserve">C-XD-008: A nutritionist has maize, SBM48, limestone, and dicalcium phosphate. Explain how to balance Ca and P in a layer diet. What constraints must be satisfied? [open-ended, EN]</w:t>
      </w:r>
    </w:p>
    <w:p>
      <w:pPr>
        <w:pStyle w:val="Compact"/>
        <w:numPr>
          <w:ilvl w:val="0"/>
          <w:numId w:val="1006"/>
        </w:numPr>
      </w:pPr>
      <w:r>
        <w:t xml:space="preserve">C-XD-009: </w:t>
      </w:r>
      <w:r>
        <w:rPr>
          <w:rFonts w:hint="eastAsia"/>
        </w:rPr>
        <w:t xml:space="preserve">一个产蛋I期配方用60%玉米（总赖氨酸0.247%，SID消化率90%）和25%豆粕48（总赖氨酸0.620%，SID消化率88%）。这两样原料的SID赖氨酸加起来是多少？能不能满足大午金凤蛋鸡的需要量（0.76%）？</w:t>
      </w:r>
      <w:r>
        <w:t xml:space="preserve"> [multi-hop, ZH; unit=%; target=nutrient_requirements:Dawu Jinfeng/Lay I]</w:t>
      </w:r>
    </w:p>
    <w:p>
      <w:pPr>
        <w:pStyle w:val="Compact"/>
        <w:numPr>
          <w:ilvl w:val="0"/>
          <w:numId w:val="1006"/>
        </w:numPr>
      </w:pPr>
      <w:r>
        <w:t xml:space="preserve">C-XD-010: </w:t>
      </w:r>
      <w:r>
        <w:rPr>
          <w:rFonts w:hint="eastAsia"/>
        </w:rPr>
        <w:t xml:space="preserve">石灰石含钙35%，大午金凤蛋鸡的钙需要量是3.90%。配方里要加多少石灰石才能满足？</w:t>
      </w:r>
      <w:r>
        <w:t xml:space="preserve"> [constraint, ZH; unit=%; target=nutrient_requirements:Dawu Jinfeng/Lay I, feed_ingredient_bank:Limestone]</w:t>
      </w:r>
    </w:p>
    <w:p>
      <w:pPr>
        <w:pStyle w:val="FirstParagraph"/>
      </w:pPr>
      <w:r>
        <w:rPr>
          <w:b/>
          <w:bCs/>
        </w:rPr>
        <w:t xml:space="preserve">Edge Cases (5 queries)</w:t>
      </w:r>
    </w:p>
    <w:p>
      <w:pPr>
        <w:pStyle w:val="Compact"/>
        <w:numPr>
          <w:ilvl w:val="0"/>
          <w:numId w:val="1007"/>
        </w:numPr>
      </w:pPr>
      <w:r>
        <w:t xml:space="preserve">C-EC-001: What is the crude protein content of unicorn feed? [single-value, EN]</w:t>
      </w:r>
    </w:p>
    <w:p>
      <w:pPr>
        <w:pStyle w:val="Compact"/>
        <w:numPr>
          <w:ilvl w:val="0"/>
          <w:numId w:val="1007"/>
        </w:numPr>
      </w:pPr>
      <w:r>
        <w:t xml:space="preserve">C-EC-002: What is the calcium requirement for Lohmann Tinted in Lay I? [single-value, EN; unit=%]</w:t>
      </w:r>
    </w:p>
    <w:p>
      <w:pPr>
        <w:pStyle w:val="Compact"/>
        <w:numPr>
          <w:ilvl w:val="0"/>
          <w:numId w:val="1007"/>
        </w:numPr>
      </w:pPr>
      <w:r>
        <w:t xml:space="preserve">C-EC-003: What is the body weight of ISA Brown broilers at day 35? [single-value, EN; unit=g]</w:t>
      </w:r>
    </w:p>
    <w:p>
      <w:pPr>
        <w:pStyle w:val="Compact"/>
        <w:numPr>
          <w:ilvl w:val="0"/>
          <w:numId w:val="1007"/>
        </w:numPr>
      </w:pPr>
      <w:r>
        <w:t xml:space="preserve">C-EC-004: What is the methionine requirement for ISA Brown in Lay I? [single-value, EN; unit=%; target=nutrient_requirements:ISA Brown/Lay I]</w:t>
      </w:r>
    </w:p>
    <w:p>
      <w:pPr>
        <w:pStyle w:val="Compact"/>
        <w:numPr>
          <w:ilvl w:val="0"/>
          <w:numId w:val="1007"/>
        </w:numPr>
      </w:pPr>
      <w:r>
        <w:t xml:space="preserve">C-EC-005: Compare the metabolizable energy of fish meal and limestone. [comparison, EN; unit=kcal/kg; target=feed_ingredient_bank:Fish meal, protein 65%, feed_ingredient_bank:Limestone]</w:t>
      </w:r>
    </w:p>
    <w:p>
      <w:pPr>
        <w:pStyle w:val="FirstParagraph"/>
      </w:pPr>
      <w:r>
        <w:t xml:space="preserve">The full 195-query candidate pool is in</w:t>
      </w:r>
      <w:r>
        <w:t xml:space="preserve"> </w:t>
      </w:r>
      <w:r>
        <w:rPr>
          <w:rStyle w:val="VerbatimChar"/>
        </w:rPr>
        <w:t xml:space="preserve">queries/layer/evaluation_queries_pool195.json</w:t>
      </w:r>
      <w:r>
        <w:t xml:space="preserve">. The curated set is fixed before Rev.1 scoring and is not an independent held-out benchmark.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6aecfc77e663feed2a2f0596d627e40e356046c"/>
    <w:p>
      <w:pPr>
        <w:pStyle w:val="Heading2"/>
      </w:pPr>
      <w:r>
        <w:t xml:space="preserve">S4. Comparison with Existing Agricultural Decision-Support Systems</w:t>
      </w:r>
    </w:p>
    <w:p>
      <w:pPr>
        <w:pStyle w:val="FirstParagraph"/>
      </w:pPr>
      <w:r>
        <w:rPr>
          <w:b/>
          <w:bCs/>
        </w:rPr>
        <w:t xml:space="preserve">Table S4.</w:t>
      </w:r>
      <w:r>
        <w:t xml:space="preserve"> </w:t>
      </w:r>
      <w:r>
        <w:t xml:space="preserve">Capability comparison with representative domain-specific agent systems. ✓ = reported in the cited description; ✗ = not reported (not necessarily absent).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2"/>
        <w:gridCol w:w="502"/>
        <w:gridCol w:w="817"/>
        <w:gridCol w:w="1508"/>
        <w:gridCol w:w="1068"/>
        <w:gridCol w:w="1320"/>
        <w:gridCol w:w="69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Structured tool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External corpus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Faithfulness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Bilingual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 adaptability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ChemCrow (Bran et al., 2024)</w:t>
            </w:r>
          </w:p>
        </w:tc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Biomni (Huang et al., 2025a)</w:t>
            </w:r>
          </w:p>
        </w:tc>
        <w:tc>
          <w:tcPr/>
          <w:p>
            <w:pPr>
              <w:pStyle w:val="Compact"/>
            </w:pPr>
            <w:r>
              <w:t xml:space="preserve">Biomedicine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BioMaster (Su et al., 2025)</w:t>
            </w:r>
          </w:p>
        </w:tc>
        <w:tc>
          <w:tcPr/>
          <w:p>
            <w:pPr>
              <w:pStyle w:val="Compact"/>
            </w:pPr>
            <w:r>
              <w:t xml:space="preserve">Bioinformatics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CottonBot (Kandamali et al., 2025)</w:t>
            </w:r>
          </w:p>
        </w:tc>
        <w:tc>
          <w:tcPr/>
          <w:p>
            <w:pPr>
              <w:pStyle w:val="Compact"/>
            </w:pPr>
            <w:r>
              <w:t xml:space="preserve">Cotton farming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Smart-greenhouse agents (Pardo-Pina et al., 2026)</w:t>
            </w:r>
          </w:p>
        </w:tc>
        <w:tc>
          <w:tcPr/>
          <w:p>
            <w:pPr>
              <w:pStyle w:val="Compact"/>
            </w:pPr>
            <w:r>
              <w:t xml:space="preserve">Greenhouse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NutriCHAT (Mandiga et al., 2026)</w:t>
            </w:r>
          </w:p>
        </w:tc>
        <w:tc>
          <w:tcPr/>
          <w:p>
            <w:pPr>
              <w:pStyle w:val="Compact"/>
            </w:pPr>
            <w:r>
              <w:t xml:space="preserve">Poultry nutrition (broiler)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NutriAgent (this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Poultry nutrition (layer)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X6dc09ab0a323ff7e19f00b8048b8cb08c88a1d3"/>
    <w:p>
      <w:pPr>
        <w:pStyle w:val="Heading2"/>
      </w:pPr>
      <w:r>
        <w:t xml:space="preserve">S5. Per-query EvaluatorLLM results (Rev.1 NutriAgent)</w:t>
      </w:r>
    </w:p>
    <w:p>
      <w:pPr>
        <w:pStyle w:val="FirstParagraph"/>
      </w:pPr>
      <w:r>
        <w:t xml:space="preserve">Per-query MiMo-V2.5-Pro absolute scores for NutriAgent on the frozen Rev.1 model set (single run). The primary expert scored all 378 responses (Table 9); this table is the automated-score record and is not the primary expert table.</w:t>
      </w:r>
    </w:p>
    <w:p>
      <w:pPr>
        <w:pStyle w:val="BodyText"/>
      </w:pPr>
      <w:r>
        <w:rPr>
          <w:b/>
          <w:bCs/>
        </w:rPr>
        <w:t xml:space="preserve">Table S5.</w:t>
      </w:r>
      <w:r>
        <w:t xml:space="preserve"> </w:t>
      </w:r>
      <w:r>
        <w:t xml:space="preserve">Per-query automated scores for NutriAgent (DeepSeek-V4-Flash, multi-agent, validation on). C = correctness, P = precision, D = scientific depth; — = not scored. SelfCheckGPT-NLI and tolerance are reported in aggregate elsewhere, not per query here.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C-DEF-001</w:t>
            </w:r>
          </w:p>
        </w:tc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C-DEF-002</w:t>
            </w:r>
          </w:p>
        </w:tc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C-DEF-003</w:t>
            </w:r>
          </w:p>
        </w:tc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C-DEF-004</w:t>
            </w:r>
          </w:p>
        </w:tc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C-DEF-005</w:t>
            </w:r>
          </w:p>
        </w:tc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C-DEF-006</w:t>
            </w:r>
          </w:p>
        </w:tc>
        <w:tc>
          <w:tcPr/>
          <w:p>
            <w:pPr>
              <w:pStyle w:val="Compact"/>
            </w:pPr>
            <w:r>
              <w:t xml:space="preserve">Definitions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C-EC-001</w:t>
            </w:r>
          </w:p>
        </w:tc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C-EC-002</w:t>
            </w:r>
          </w:p>
        </w:tc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C-EC-003</w:t>
            </w:r>
          </w:p>
        </w:tc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C-EC-004</w:t>
            </w:r>
          </w:p>
        </w:tc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C-EC-005</w:t>
            </w:r>
          </w:p>
        </w:tc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C-FIB-001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C-FIB-002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C-FIB-003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C-FIB-004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C-FIB-005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C-FIB-006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C-FIB-007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C-FIB-008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C-FIB-009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C-FIB-010</w:t>
            </w:r>
          </w:p>
        </w:tc>
        <w:tc>
          <w:tcPr/>
          <w:p>
            <w:pPr>
              <w:pStyle w:val="Compact"/>
            </w:pPr>
            <w:r>
              <w:t xml:space="preserve">Feed Ingredient Bank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C-NR-001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C-NR-002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C-NR-003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C-NR-004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C-NR-005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C-NR-006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C-NR-007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C-NR-008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C-NR-009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C-NR-010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C-NR-011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C-NR-012</w:t>
            </w:r>
          </w:p>
        </w:tc>
        <w:tc>
          <w:tcPr/>
          <w:p>
            <w:pPr>
              <w:pStyle w:val="Compact"/>
            </w:pPr>
            <w:r>
              <w:t xml:space="preserve">Nutrient Requirements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C-PM-001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C-PM-002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C-PM-003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C-PM-004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C-PM-005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C-PM-006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C-PM-007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C-PM-008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C-PM-009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C-PM-010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C-PM-011</w:t>
            </w:r>
          </w:p>
        </w:tc>
        <w:tc>
          <w:tcPr/>
          <w:p>
            <w:pPr>
              <w:pStyle w:val="Compact"/>
            </w:pPr>
            <w:r>
              <w:t xml:space="preserve">Performance Management</w:t>
            </w:r>
          </w:p>
        </w:tc>
        <w:tc>
          <w:tcPr/>
          <w:p>
            <w:pPr>
              <w:pStyle w:val="Compact"/>
            </w:pPr>
            <w:r>
              <w:t xml:space="preserve">single-value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C-XD-001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C-XD-002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C-XD-003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C-XD-004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C-XD-005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counterfactual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C-XD-006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counterfactual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C-XD-007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C-XD-008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open-ended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C-XD-009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multi-hop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C-XD-010</w:t>
            </w:r>
          </w:p>
        </w:tc>
        <w:tc>
          <w:tcPr/>
          <w:p>
            <w:pPr>
              <w:pStyle w:val="Compact"/>
            </w:pPr>
            <w:r>
              <w:t xml:space="preserve">Cross-Domain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22"/>
    <w:bookmarkStart w:id="23" w:name="s6.-selfcheckgpt-nli-n-sensitivity"/>
    <w:p>
      <w:pPr>
        <w:pStyle w:val="Heading2"/>
      </w:pPr>
      <w:r>
        <w:t xml:space="preserve">S6. SelfCheckGPT-NLI N sensitivity</w:t>
      </w:r>
    </w:p>
    <w:p>
      <w:pPr>
        <w:pStyle w:val="FirstParagraph"/>
      </w:pPr>
      <w:r>
        <w:t xml:space="preserve">Twenty queries (NutriAgent, frozen Rev.1 model set), one sample-generation pass per</w:t>
      </w:r>
      <w:r>
        <w:t xml:space="preserve"> </w:t>
      </w:r>
      <w:r>
        <w:t xml:space="preserve">query, scores sliced at N = 5/10/20: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Pearson correlations: N=5 vs 10 = 0.977; 5 vs 20 = 0.963; 10 vs 20 = 0.995.</w:t>
      </w:r>
      <w:r>
        <w:t xml:space="preserve"> </w:t>
      </w:r>
      <w:r>
        <w:t xml:space="preserve">The rank ordering is stable, so N=5 is adequate for relative comparisons; the</w:t>
      </w:r>
      <w:r>
        <w:t xml:space="preserve"> </w:t>
      </w:r>
      <w:r>
        <w:t xml:space="preserve">absolute mean decreases slightly with N (0.163 → 0.149), so absolute scores are</w:t>
      </w:r>
      <w:r>
        <w:t xml:space="preserve"> </w:t>
      </w:r>
      <w:r>
        <w:t xml:space="preserve">N-dependent. This is a 20-query, single-system sensitivity check, not a</w:t>
      </w:r>
      <w:r>
        <w:t xml:space="preserve"> </w:t>
      </w:r>
      <w:r>
        <w:t xml:space="preserve">calibration of the metric against human labels.</w:t>
      </w:r>
    </w:p>
    <w:bookmarkEnd w:id="23"/>
    <w:bookmarkStart w:id="25" w:name="s7.-claim-aware-faithfulness-audit"/>
    <w:p>
      <w:pPr>
        <w:pStyle w:val="Heading2"/>
      </w:pPr>
      <w:r>
        <w:t xml:space="preserve">S7. Claim-aware faithfulness audit</w:t>
      </w:r>
    </w:p>
    <w:p>
      <w:pPr>
        <w:pStyle w:val="FirstParagraph"/>
      </w:pPr>
      <w:r>
        <w:t xml:space="preserve">Rule-based audit of the E1 multi-agent responses (validation on/off). A claim is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when its entity and attribute appear in the query’s tool observations and a value</w:t>
      </w:r>
      <w:r>
        <w:t xml:space="preserve"> </w:t>
      </w:r>
      <w:r>
        <w:t xml:space="preserve">is within 5%;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 </w:t>
      </w:r>
      <w:r>
        <w:t xml:space="preserve">drops the entity requirement;</w:t>
      </w:r>
      <w:r>
        <w:t xml:space="preserve"> </w:t>
      </w:r>
      <w:r>
        <w:rPr>
          <w:rStyle w:val="VerbatimChar"/>
        </w:rPr>
        <w:t xml:space="preserve">any_number</w:t>
      </w:r>
      <w:r>
        <w:t xml:space="preserve"> </w:t>
      </w:r>
      <w:r>
        <w:t xml:space="preserve">is the old permissive</w:t>
      </w:r>
      <w:r>
        <w:t xml:space="preserve"> </w:t>
      </w:r>
      <w:r>
        <w:t xml:space="preserve">criterion.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Any 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63.5%</w:t>
            </w:r>
          </w:p>
        </w:tc>
      </w:tr>
    </w:tbl>
    <w:p>
      <w:pPr>
        <w:pStyle w:val="BodyText"/>
      </w:pPr>
      <w:r>
        <w:t xml:space="preserve">Caveat: the extractor finds about two claims per response and does not fully parse</w:t>
      </w:r>
      <w:r>
        <w:t xml:space="preserve"> </w:t>
      </w:r>
      <w:r>
        <w:t xml:space="preserve">observation units, so these are strict lower bounds under this parser, not a human-validated</w:t>
      </w:r>
      <w:r>
        <w:t xml:space="preserve"> </w:t>
      </w:r>
      <w:r>
        <w:t xml:space="preserve">rate. The submitted 0.444 any-number score is not claim-level support.</w:t>
      </w:r>
    </w:p>
    <w:bookmarkStart w:id="24" w:name="Xf4588c02ca457560f18585b491aaf22c06d9a9c"/>
    <w:p>
      <w:pPr>
        <w:pStyle w:val="Heading3"/>
      </w:pPr>
      <w:r>
        <w:t xml:space="preserve">S7b. Consistency-checker rule coverage (E3)</w:t>
      </w:r>
    </w:p>
    <w:p>
      <w:pPr>
        <w:pStyle w:val="FirstParagraph"/>
      </w:pPr>
      <w:r>
        <w:t xml:space="preserve">A 42-pair synthetic test set was constructed to cover the rebuilt entity/attribute/unit/basis</w:t>
      </w:r>
      <w:r>
        <w:t xml:space="preserve"> </w:t>
      </w:r>
      <w:r>
        <w:t xml:space="preserve">checks: 16 conflict pairs, 12 consistent or unit-converted pairs, and 14 distractors (e.g.,</w:t>
      </w:r>
      <w:r>
        <w:t xml:space="preserve"> </w:t>
      </w:r>
      <w:r>
        <w:t xml:space="preserve">crude protein in an ingredient vs a dietary requirement; cage density vs calcium). The</w:t>
      </w:r>
      <w:r>
        <w:t xml:space="preserve"> </w:t>
      </w:r>
      <w:r>
        <w:t xml:space="preserve">validator is a rule-coverage test, not a field precision estimate.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Consistent / unit-converted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Precision, recall, and F1 are 1.00 on this set. The test is deliberately balanced and</w:t>
      </w:r>
      <w:r>
        <w:t xml:space="preserve"> </w:t>
      </w:r>
      <w:r>
        <w:t xml:space="preserve">synthetic; it shows that the implemented rules handle the intended cases and the legacy</w:t>
      </w:r>
      <w:r>
        <w:t xml:space="preserve"> </w:t>
      </w:r>
      <w:r>
        <w:t xml:space="preserve">false-positive patterns, not that the checker is accurate on unrestricted expert text.</w:t>
      </w:r>
      <w:r>
        <w:t xml:space="preserve"> </w:t>
      </w:r>
      <w:r>
        <w:t xml:space="preserve">Implementation and cases:</w:t>
      </w:r>
      <w:r>
        <w:t xml:space="preserve"> </w:t>
      </w:r>
      <w:r>
        <w:rPr>
          <w:rStyle w:val="VerbatimChar"/>
        </w:rPr>
        <w:t xml:space="preserve">docs/paper/audit/e3_validator_eval.{json,md}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tests/test_validation.py</w:t>
      </w:r>
      <w:r>
        <w:t xml:space="preserve">.</w:t>
      </w:r>
    </w:p>
    <w:bookmarkEnd w:id="24"/>
    <w:bookmarkEnd w:id="25"/>
    <w:bookmarkStart w:id="26" w:name="s8.-rag-retrieval-depth"/>
    <w:p>
      <w:pPr>
        <w:pStyle w:val="Heading2"/>
      </w:pPr>
      <w:r>
        <w:t xml:space="preserve">S8. RAG retrieval depth</w:t>
      </w:r>
    </w:p>
    <w:p>
      <w:pPr>
        <w:pStyle w:val="FirstParagraph"/>
      </w:pPr>
      <w:r>
        <w:t xml:space="preserve">PoultryDB hit@k on 44 queries with annotated target documents (one acceptable document per</w:t>
      </w:r>
      <w:r>
        <w:t xml:space="preserve"> </w:t>
      </w:r>
      <w:r>
        <w:t xml:space="preserve">query, not an exhaustive relevance judgment):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hit@5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</w:t>
            </w:r>
          </w:p>
        </w:tc>
      </w:tr>
    </w:tbl>
    <w:p>
      <w:pPr>
        <w:pStyle w:val="BodyText"/>
      </w:pPr>
      <w:r>
        <w:t xml:space="preserve">By type: definitions 71.4%/100% (hit@1/</w:t>
      </w:r>
      <w:r>
        <w:t xml:space="preserve">@5</w:t>
      </w:r>
      <w:r>
        <w:t xml:space="preserve">); single-value 20%/53.3%; comparison 10%/50%;</w:t>
      </w:r>
      <w:r>
        <w:t xml:space="preserve"> </w:t>
      </w:r>
      <w:r>
        <w:t xml:space="preserve">multi-hop 0%/66.7%; constraint 0%/0% (n=2); counterfactual 100%/100% (n=2). The reported runs use k=1; k=5 would</w:t>
      </w:r>
      <w:r>
        <w:t xml:space="preserve"> </w:t>
      </w:r>
      <w:r>
        <w:t xml:space="preserve">improve recall but was not used.</w:t>
      </w:r>
    </w:p>
    <w:bookmarkEnd w:id="26"/>
    <w:bookmarkStart w:id="27" w:name="s9.-model-versions-and-run-manifest"/>
    <w:p>
      <w:pPr>
        <w:pStyle w:val="Heading2"/>
      </w:pPr>
      <w:r>
        <w:t xml:space="preserve">S9. Model versions and run manifest</w:t>
      </w:r>
    </w:p>
    <w:p>
      <w:pPr>
        <w:pStyle w:val="FirstParagraph"/>
      </w:pPr>
      <w:r>
        <w:t xml:space="preserve">The frozen model set is Table 3 in the main text and</w:t>
      </w:r>
      <w:r>
        <w:t xml:space="preserve"> </w:t>
      </w:r>
      <w:r>
        <w:rPr>
          <w:rStyle w:val="VerbatimChar"/>
        </w:rPr>
        <w:t xml:space="preserve">config/models.lock.yaml</w:t>
      </w:r>
      <w:r>
        <w:t xml:space="preserve">; the per-run manifest (hardware, package versions, file hashes, model IDs) is written by</w:t>
      </w:r>
      <w:r>
        <w:t xml:space="preserve"> </w:t>
      </w:r>
      <w:r>
        <w:rPr>
          <w:rStyle w:val="VerbatimChar"/>
        </w:rPr>
        <w:t xml:space="preserve">scripts/paper/run_manifest.py</w:t>
      </w:r>
      <w:r>
        <w:t xml:space="preserve"> </w:t>
      </w:r>
      <w:r>
        <w:t xml:space="preserve">and deposited with the code.</w:t>
      </w:r>
    </w:p>
    <w:bookmarkEnd w:id="27"/>
    <w:bookmarkStart w:id="28" w:name="X63f9481fc308e0f46cc7425d1e9be7d85ab70b2"/>
    <w:p>
      <w:pPr>
        <w:pStyle w:val="Heading2"/>
      </w:pPr>
      <w:r>
        <w:t xml:space="preserve">S10. Error coding (single-coder, descriptive)</w:t>
      </w:r>
    </w:p>
    <w:p>
      <w:pPr>
        <w:pStyle w:val="FirstParagraph"/>
      </w:pPr>
      <w:r>
        <w:t xml:space="preserve">This section replaces the earlier empty placeholder. It is a</w:t>
      </w:r>
      <w:r>
        <w:t xml:space="preserve"> </w:t>
      </w:r>
      <w:r>
        <w:rPr>
          <w:b/>
          <w:bCs/>
        </w:rPr>
        <w:t xml:space="preserve">single-coder descriptive audit</w:t>
      </w:r>
      <w:r>
        <w:t xml:space="preserve">, not the planned two-coder E14 with Cohen’s kappa. The numeric part uses the tolerance analysis; the non-numeric part uses the primary expert’s notes for all NutriAgent responses scored correctness ≤3.</w:t>
      </w:r>
    </w:p>
    <w:p>
      <w:pPr>
        <w:pStyle w:val="BodyText"/>
      </w:pPr>
      <w:r>
        <w:rPr>
          <w:b/>
          <w:bCs/>
        </w:rPr>
        <w:t xml:space="preserve">Numeric errors (E14).</w:t>
      </w:r>
      <w:r>
        <w:t xml:space="preserve"> </w:t>
      </w:r>
      <w:r>
        <w:t xml:space="preserve">Of 36 queries with ground truth, 32/36 (88.9%) are within ±5% and 30/36 (83.3%) within ±2%. The four failures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Nearest parsed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wrong comparison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C-FIB-010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unit/scale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borderline multi-hop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C-XD-006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 (decrease)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5.125</w:t>
            </w:r>
          </w:p>
        </w:tc>
        <w:tc>
          <w:tcPr/>
          <w:p>
            <w:pPr>
              <w:pStyle w:val="Compact"/>
            </w:pPr>
            <w:r>
              <w:t xml:space="preserve">reported contribution instead of change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Non-numeric error categories (NutriAgent, C ≤3; n = 9).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Query IDs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Value/source substitution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C-EC-002, C-FIB-006, C-NR-010, C-NR-011</w:t>
            </w:r>
          </w:p>
        </w:tc>
        <w:tc>
          <w:tcPr/>
          <w:p>
            <w:pPr>
              <w:pStyle w:val="Compact"/>
            </w:pPr>
            <w:r>
              <w:t xml:space="preserve">familiar/approximate value substituted for the tool/reference value; out-of-corpus breed treated as a related breed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Unit/scale/source mismatch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C-FIB-010</w:t>
            </w:r>
          </w:p>
        </w:tc>
        <w:tc>
          <w:tcPr/>
          <w:p>
            <w:pPr>
              <w:pStyle w:val="Compact"/>
            </w:pPr>
            <w:r>
              <w:t xml:space="preserve">ME reported in MJ/kg rather than the bank’s kcal/kg, with an approximate source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C-NR-008</w:t>
            </w:r>
          </w:p>
        </w:tc>
        <w:tc>
          <w:tcPr/>
          <w:p>
            <w:pPr>
              <w:pStyle w:val="Compact"/>
            </w:pPr>
            <w:r>
              <w:t xml:space="preserve">0.15 + 0.15 computed as 0.375%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Retrieval/entity mismatch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C-FIB-007</w:t>
            </w:r>
          </w:p>
        </w:tc>
        <w:tc>
          <w:tcPr/>
          <w:p>
            <w:pPr>
              <w:pStyle w:val="Compact"/>
            </w:pPr>
            <w:r>
              <w:t xml:space="preserve">retrieved maize gluten feed instead of maize; caveat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Refusal/incomplete 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C-PM-005, C-XD-008</w:t>
            </w:r>
          </w:p>
        </w:tc>
        <w:tc>
          <w:tcPr/>
          <w:p>
            <w:pPr>
              <w:pStyle w:val="Compact"/>
            </w:pPr>
            <w:r>
              <w:t xml:space="preserve">refused a multi-point body-weight question despite available data; omitted balancing steps</w:t>
            </w:r>
          </w:p>
        </w:tc>
      </w:tr>
    </w:tbl>
    <w:p>
      <w:pPr>
        <w:pStyle w:val="BodyText"/>
      </w:pPr>
      <w:r>
        <w:t xml:space="preserve">The nine cases are 17% of the 54 NutriAgent responses. Categories are not mutually exclusive at the level of a full taxonomy, and the coding is single-coder; we do not report a kappa. The descriptive counts address the reviewer’s request for error causes without overclaiming a validated taxonomy.</w:t>
      </w:r>
    </w:p>
    <w:bookmarkEnd w:id="28"/>
    <w:bookmarkStart w:id="29" w:name="s11.-additional-factorial-contrasts"/>
    <w:p>
      <w:pPr>
        <w:pStyle w:val="Heading2"/>
      </w:pPr>
      <w:r>
        <w:t xml:space="preserve">S11. Additional factorial contrasts</w:t>
      </w:r>
    </w:p>
    <w:p>
      <w:pPr>
        <w:pStyle w:val="FirstParagraph"/>
      </w:pPr>
      <w:r>
        <w:rPr>
          <w:b/>
          <w:bCs/>
        </w:rPr>
        <w:t xml:space="preserve">Table S11a.</w:t>
      </w:r>
      <w:r>
        <w:t xml:space="preserve"> </w:t>
      </w:r>
      <w:r>
        <w:t xml:space="preserve">E1 architecture factorial (n = 54). Same backbone and output budget.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 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4.63±0.78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4.44±0.84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4.15±0.81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ReAct + 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4.31±1.36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4.41±1.37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3.81±1.30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ReAct + tools + 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4.54±1.14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4.51±1.20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4.13±1.17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ReAct + tools + RAG + 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4.48±1.13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4.26±1.41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3.94±1.27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(validation off)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4.74±0.65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4.64±0.86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4.35±0.73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(validation 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4.83±0.42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4.72±0.77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4.17±0.77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S11b.</w:t>
      </w:r>
      <w:r>
        <w:t xml:space="preserve"> </w:t>
      </w:r>
      <w:r>
        <w:t xml:space="preserve">E2 synthesis factorial (n = 54). Inputs and output budget held fixed.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Concatenation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4.28±1.32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4.41±1.20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3.69±1.21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+ concatenation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4.11±1.30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4.14±1.37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3.74±1.18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 (shuffled warnings)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4.87±0.44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4.84±0.64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4.37±0.78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 (validation off)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4.91±0.35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4.78±0.84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4.35±0.68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 (correct warnings)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4.91±0.29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4.83±0.44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4.35±0.59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Query-only 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4.85±0.49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4.83±0.49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4.44±0.66</w:t>
            </w:r>
          </w:p>
        </w:tc>
      </w:tr>
    </w:tbl>
    <w:p>
      <w:pPr>
        <w:pStyle w:val="BodyText"/>
      </w:pPr>
      <w:r>
        <w:t xml:space="preserve">Per-query scores:</w:t>
      </w:r>
      <w:r>
        <w:t xml:space="preserve"> </w:t>
      </w:r>
      <w:r>
        <w:rPr>
          <w:rStyle w:val="VerbatimChar"/>
        </w:rPr>
        <w:t xml:space="preserve">docs/paper/audit/e1_rescored.json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e2_rescored.json</w:t>
      </w:r>
      <w:r>
        <w:t xml:space="preserve"> </w:t>
      </w:r>
      <w:r>
        <w:t xml:space="preserve">(E2 concatenation/shuffled/correct are in the E2 report cache). The E2 result does not support an integration or validation benefit: validation-off and correct warnings are identical, shuffled is 0.04 lower, and query-only synthesis matches full synthesis.</w:t>
      </w:r>
    </w:p>
    <w:bookmarkEnd w:id="29"/>
    <w:bookmarkStart w:id="30" w:name="s12.-scoring-rubric-v2"/>
    <w:p>
      <w:pPr>
        <w:pStyle w:val="Heading2"/>
      </w:pPr>
      <w:r>
        <w:t xml:space="preserve">S12. Scoring rubric v2</w:t>
      </w:r>
    </w:p>
    <w:p>
      <w:pPr>
        <w:pStyle w:val="FirstParagraph"/>
      </w:pPr>
      <w:r>
        <w:t xml:space="preserve">Correctness no longer requires a citation; provenance is scored as a separate column.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Precision (numeric; N/A for definitions)</w:t>
            </w:r>
          </w:p>
        </w:tc>
        <w:tc>
          <w:tcPr/>
          <w:p>
            <w:pPr>
              <w:pStyle w:val="Compact"/>
            </w:pPr>
            <w:r>
              <w:t xml:space="preserve">Scientific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facts accurate</w:t>
            </w:r>
          </w:p>
        </w:tc>
        <w:tc>
          <w:tcPr/>
          <w:p>
            <w:pPr>
              <w:pStyle w:val="Compact"/>
            </w:pPr>
            <w:r>
              <w:t xml:space="preserve">Exact point estimate</w:t>
            </w:r>
          </w:p>
        </w:tc>
        <w:tc>
          <w:tcPr/>
          <w:p>
            <w:pPr>
              <w:pStyle w:val="Compact"/>
            </w:pPr>
            <w:r>
              <w:t xml:space="preserve">Thorough mechanistic understanding with practical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Mostly accurate, minor imprecision</w:t>
            </w:r>
          </w:p>
        </w:tc>
        <w:tc>
          <w:tcPr/>
          <w:p>
            <w:pPr>
              <w:pStyle w:val="Compact"/>
            </w:pPr>
            <w:r>
              <w:t xml:space="preserve">Close estimate</w:t>
            </w:r>
          </w:p>
        </w:tc>
        <w:tc>
          <w:tcPr/>
          <w:p>
            <w:pPr>
              <w:pStyle w:val="Compact"/>
            </w:pPr>
            <w:r>
              <w:t xml:space="preserve">Good domain 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Partially correct, noticeable errors</w:t>
            </w:r>
          </w:p>
        </w:tc>
        <w:tc>
          <w:tcPr/>
          <w:p>
            <w:pPr>
              <w:pStyle w:val="Compact"/>
            </w:pPr>
            <w:r>
              <w:t xml:space="preserve">Directionally correct but noticeably off</w:t>
            </w:r>
          </w:p>
        </w:tc>
        <w:tc>
          <w:tcPr/>
          <w:p>
            <w:pPr>
              <w:pStyle w:val="Compact"/>
            </w:pPr>
            <w:r>
              <w:t xml:space="preserve">Adequate but surface-level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Several factual errors</w:t>
            </w:r>
          </w:p>
        </w:tc>
        <w:tc>
          <w:tcPr/>
          <w:p>
            <w:pPr>
              <w:pStyle w:val="Compact"/>
            </w:pPr>
            <w:r>
              <w:t xml:space="preserve">Vague or significantly inaccurate</w:t>
            </w:r>
          </w:p>
        </w:tc>
        <w:tc>
          <w:tcPr/>
          <w:p>
            <w:pPr>
              <w:pStyle w:val="Compact"/>
            </w:pPr>
            <w:r>
              <w:t xml:space="preserve">Superficial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Completely incorrect or hallucinated</w:t>
            </w:r>
          </w:p>
        </w:tc>
        <w:tc>
          <w:tcPr/>
          <w:p>
            <w:pPr>
              <w:pStyle w:val="Compact"/>
            </w:pPr>
            <w:r>
              <w:t xml:space="preserve">No numeric answer when one is expected</w:t>
            </w:r>
          </w:p>
        </w:tc>
        <w:tc>
          <w:tcPr/>
          <w:p>
            <w:pPr>
              <w:pStyle w:val="Compact"/>
            </w:pPr>
            <w:r>
              <w:t xml:space="preserve">No scientific content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Provenance (separate column, 0–2).</w:t>
      </w:r>
      <w:r>
        <w:t xml:space="preserve"> </w:t>
      </w:r>
      <w:r>
        <w:t xml:space="preserve">0 = no source attribution; 1 = some key numbers</w:t>
      </w:r>
      <w:r>
        <w:t xml:space="preserve"> </w:t>
      </w:r>
      <w:r>
        <w:t xml:space="preserve">cite a tool/source; 2 = every key number is attributed to a named tool or source. It is not</w:t>
      </w:r>
      <w:r>
        <w:t xml:space="preserve"> </w:t>
      </w:r>
      <w:r>
        <w:t xml:space="preserve">folded into correctness; the submitted rubric’s</w:t>
      </w:r>
      <w:r>
        <w:t xml:space="preserve"> </w:t>
      </w:r>
      <w:r>
        <w:t xml:space="preserve">“5 = accurate with direct citation”</w:t>
      </w:r>
      <w:r>
        <w:t xml:space="preserve"> </w:t>
      </w:r>
      <w:r>
        <w:t xml:space="preserve">conflated the two constructs.</w:t>
      </w:r>
    </w:p>
    <w:bookmarkEnd w:id="30"/>
    <w:bookmarkStart w:id="31" w:name="s13.-promptcontrol-matrix"/>
    <w:p>
      <w:pPr>
        <w:pStyle w:val="Heading2"/>
      </w:pPr>
      <w:r>
        <w:t xml:space="preserve">S13. Prompt/control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Standalone LLM</w:t>
            </w:r>
          </w:p>
        </w:tc>
        <w:tc>
          <w:tcPr/>
          <w:p>
            <w:pPr>
              <w:pStyle w:val="Compact"/>
            </w:pPr>
            <w:r>
              <w:t xml:space="preserve">Single ReAct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E2 synthesis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generic QA</w:t>
            </w:r>
          </w:p>
        </w:tc>
        <w:tc>
          <w:tcPr/>
          <w:p>
            <w:pPr>
              <w:pStyle w:val="Compact"/>
            </w:pPr>
            <w:r>
              <w:t xml:space="preserve">generic ReAct + tool descriptions</w:t>
            </w:r>
          </w:p>
        </w:tc>
        <w:tc>
          <w:tcPr/>
          <w:p>
            <w:pPr>
              <w:pStyle w:val="Compact"/>
            </w:pPr>
            <w:r>
              <w:t xml:space="preserve">router + four specialist prompts + synthesis</w:t>
            </w:r>
          </w:p>
        </w:tc>
        <w:tc>
          <w:tcPr/>
          <w:p>
            <w:pPr>
              <w:pStyle w:val="Compact"/>
            </w:pPr>
            <w:r>
              <w:t xml:space="preserve">specialist prompts fixed; synthesis prompt varies by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 four</w:t>
            </w:r>
          </w:p>
        </w:tc>
        <w:tc>
          <w:tcPr/>
          <w:p>
            <w:pPr>
              <w:pStyle w:val="Compact"/>
            </w:pPr>
            <w:r>
              <w:t xml:space="preserve">specialist-specific subset</w:t>
            </w:r>
          </w:p>
        </w:tc>
        <w:tc>
          <w:tcPr/>
          <w:p>
            <w:pPr>
              <w:pStyle w:val="Compact"/>
            </w:pPr>
            <w:r>
              <w:t xml:space="preserve">specialist outputs fixed; no new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optional (on in the reported run)</w:t>
            </w:r>
          </w:p>
        </w:tc>
        <w:tc>
          <w:tcPr/>
          <w:p>
            <w:pPr>
              <w:pStyle w:val="Compact"/>
            </w:pPr>
            <w:r>
              <w:t xml:space="preserve">held at the reported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budget</w:t>
            </w:r>
          </w:p>
        </w:tc>
        <w:tc>
          <w:tcPr/>
          <w:p>
            <w:pPr>
              <w:pStyle w:val="Compact"/>
            </w:pPr>
            <w:r>
              <w:t xml:space="preserve">512 tokens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512 per call</w:t>
            </w:r>
          </w:p>
        </w:tc>
        <w:tc>
          <w:tcPr/>
          <w:p>
            <w:pPr>
              <w:pStyle w:val="Compact"/>
            </w:pPr>
            <w:r>
              <w:t xml:space="preserve">512 per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off/on</w:t>
            </w:r>
          </w:p>
        </w:tc>
        <w:tc>
          <w:tcPr/>
          <w:p>
            <w:pPr>
              <w:pStyle w:val="Compact"/>
            </w:pPr>
            <w:r>
              <w:t xml:space="preserve">off / shuffled / correct / query-only</w:t>
            </w:r>
          </w:p>
        </w:tc>
      </w:tr>
    </w:tbl>
    <w:p>
      <w:pPr>
        <w:pStyle w:val="BodyText"/>
      </w:pPr>
      <w:r>
        <w:t xml:space="preserve">Prompt text is in Supplementary S2; the matrix documents which components are shared and</w:t>
      </w:r>
      <w:r>
        <w:t xml:space="preserve"> </w:t>
      </w:r>
      <w:r>
        <w:t xml:space="preserve">which are intentionally varied. The standalone condition is not given the specialist</w:t>
      </w:r>
      <w:r>
        <w:t xml:space="preserve"> </w:t>
      </w:r>
      <w:r>
        <w:t xml:space="preserve">prompts, so prompt content is not identical across conditions by design.</w:t>
      </w:r>
    </w:p>
    <w:bookmarkEnd w:id="31"/>
    <w:bookmarkStart w:id="32" w:name="Xbbfa81e99d575273113c218add46565e81cd476"/>
    <w:p>
      <w:pPr>
        <w:pStyle w:val="Heading2"/>
      </w:pPr>
      <w:r>
        <w:t xml:space="preserve">S14. Attribution of adopted vs new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/ precedent</w:t>
            </w:r>
          </w:p>
        </w:tc>
        <w:tc>
          <w:tcPr/>
          <w:p>
            <w:pPr>
              <w:pStyle w:val="Compact"/>
            </w:pPr>
            <w:r>
              <w:t xml:space="preserve">Use in NutriAgent</w:t>
            </w:r>
          </w:p>
        </w:tc>
        <w:tc>
          <w:tcPr/>
          <w:p>
            <w:pPr>
              <w:pStyle w:val="Compact"/>
            </w:pPr>
            <w:r>
              <w:t xml:space="preserve">New in this work?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tool loop</w:t>
            </w:r>
          </w:p>
        </w:tc>
        <w:tc>
          <w:tcPr/>
          <w:p>
            <w:pPr>
              <w:pStyle w:val="Compact"/>
            </w:pPr>
            <w:r>
              <w:t xml:space="preserve">Yao et al. (2023); NutriCHAT (Mandiga et al., 2026)</w:t>
            </w:r>
          </w:p>
        </w:tc>
        <w:tc>
          <w:tcPr/>
          <w:p>
            <w:pPr>
              <w:pStyle w:val="Compact"/>
            </w:pPr>
            <w:r>
              <w:t xml:space="preserve">specialist and router reasoning</w:t>
            </w:r>
          </w:p>
        </w:tc>
        <w:tc>
          <w:tcPr/>
          <w:p>
            <w:pPr>
              <w:pStyle w:val="Compact"/>
            </w:pPr>
            <w:r>
              <w:t xml:space="preserve">No (adopted)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domain tools</w:t>
            </w:r>
          </w:p>
        </w:tc>
        <w:tc>
          <w:tcPr/>
          <w:p>
            <w:pPr>
              <w:pStyle w:val="Compact"/>
            </w:pPr>
            <w:r>
              <w:t xml:space="preserve">NutriCHAT (feed, nutrient, performance, definitions)</w:t>
            </w:r>
          </w:p>
        </w:tc>
        <w:tc>
          <w:tcPr/>
          <w:p>
            <w:pPr>
              <w:pStyle w:val="Compact"/>
            </w:pPr>
            <w:r>
              <w:t xml:space="preserve">same four domains, layer-hen corpus</w:t>
            </w:r>
          </w:p>
        </w:tc>
        <w:tc>
          <w:tcPr/>
          <w:p>
            <w:pPr>
              <w:pStyle w:val="Compact"/>
            </w:pPr>
            <w:r>
              <w:t xml:space="preserve">No (adopted; corpus extended)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Retrieval-augmented context</w:t>
            </w:r>
          </w:p>
        </w:tc>
        <w:tc>
          <w:tcPr/>
          <w:p>
            <w:pPr>
              <w:pStyle w:val="Compact"/>
            </w:pPr>
            <w:r>
              <w:t xml:space="preserve">Lewis et al. (2020); NutriCHAT</w:t>
            </w:r>
          </w:p>
        </w:tc>
        <w:tc>
          <w:tcPr/>
          <w:p>
            <w:pPr>
              <w:pStyle w:val="Compact"/>
            </w:pPr>
            <w:r>
              <w:t xml:space="preserve">supplementary PoultryDB context</w:t>
            </w:r>
          </w:p>
        </w:tc>
        <w:tc>
          <w:tcPr/>
          <w:p>
            <w:pPr>
              <w:pStyle w:val="Compact"/>
            </w:pPr>
            <w:r>
              <w:t xml:space="preserve">No (adopted)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Specialist routing</w:t>
            </w:r>
          </w:p>
        </w:tc>
        <w:tc>
          <w:tcPr/>
          <w:p>
            <w:pPr>
              <w:pStyle w:val="Compact"/>
            </w:pPr>
            <w:r>
              <w:t xml:space="preserve">multi-agent/role decomposition literature</w:t>
            </w:r>
          </w:p>
        </w:tc>
        <w:tc>
          <w:tcPr/>
          <w:p>
            <w:pPr>
              <w:pStyle w:val="Compact"/>
            </w:pPr>
            <w:r>
              <w:t xml:space="preserve">router activates a subset of four specialists</w:t>
            </w:r>
          </w:p>
        </w:tc>
        <w:tc>
          <w:tcPr/>
          <w:p>
            <w:pPr>
              <w:pStyle w:val="Compact"/>
            </w:pPr>
            <w:r>
              <w:t xml:space="preserve">Yes (implementation + factorial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Entity/attribute/unit-aware consistency checker</w:t>
            </w:r>
          </w:p>
        </w:tc>
        <w:tc>
          <w:tcPr/>
          <w:p>
            <w:pPr>
              <w:pStyle w:val="Compact"/>
            </w:pPr>
            <w:r>
              <w:t xml:space="preserve">rule-based validation literature</w:t>
            </w:r>
          </w:p>
        </w:tc>
        <w:tc>
          <w:tcPr/>
          <w:p>
            <w:pPr>
              <w:pStyle w:val="Compact"/>
            </w:pPr>
            <w:r>
              <w:t xml:space="preserve">cross-specialist contradiction warnings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Bilingual layer-hen corpus (17 breeds, Chinese strains)</w:t>
            </w:r>
          </w:p>
        </w:tc>
        <w:tc>
          <w:tcPr/>
          <w:p>
            <w:pPr>
              <w:pStyle w:val="Compact"/>
            </w:pPr>
            <w:r>
              <w:t xml:space="preserve">public breeder guides, jbzyw.com, feed tables</w:t>
            </w:r>
          </w:p>
        </w:tc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Yes (assembly + provenance)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E1/E2 factorial controls</w:t>
            </w:r>
          </w:p>
        </w:tc>
        <w:tc>
          <w:tcPr/>
          <w:p>
            <w:pPr>
              <w:pStyle w:val="Compact"/>
            </w:pPr>
            <w:r>
              <w:t xml:space="preserve">ablation methodology</w:t>
            </w:r>
          </w:p>
        </w:tc>
        <w:tc>
          <w:tcPr/>
          <w:p>
            <w:pPr>
              <w:pStyle w:val="Compact"/>
            </w:pPr>
            <w:r>
              <w:t xml:space="preserve">six-condition architecture and synthesis grids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Blinded expert re-score + provenance column</w:t>
            </w:r>
          </w:p>
        </w:tc>
        <w:tc>
          <w:tcPr/>
          <w:p>
            <w:pPr>
              <w:pStyle w:val="Compact"/>
            </w:pPr>
            <w:r>
              <w:t xml:space="preserve">evaluation methodology</w:t>
            </w:r>
          </w:p>
        </w:tc>
        <w:tc>
          <w:tcPr/>
          <w:p>
            <w:pPr>
              <w:pStyle w:val="Compact"/>
            </w:pPr>
            <w:r>
              <w:t xml:space="preserve">378-response primary sheet, 120-response intra-rater repeat, 120-response independent check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2"/>
    <w:bookmarkStart w:id="33" w:name="Xb6351923d3e8f64cf1716c15bbf82dfae875380"/>
    <w:p>
      <w:pPr>
        <w:pStyle w:val="Heading2"/>
      </w:pPr>
      <w:r>
        <w:t xml:space="preserve">S15. Expert-score reliability and primary means</w:t>
      </w:r>
    </w:p>
    <w:p>
      <w:pPr>
        <w:pStyle w:val="FirstParagraph"/>
      </w:pPr>
      <w:r>
        <w:rPr>
          <w:b/>
          <w:bCs/>
        </w:rPr>
        <w:t xml:space="preserve">Table S15.</w:t>
      </w:r>
      <w:r>
        <w:t xml:space="preserve"> </w:t>
      </w:r>
      <w:r>
        <w:t xml:space="preserve">Primary-expert means (378 responses; 54 queries). C = correctness, P = precision (numeric queries, n=38), D = scientific depth; Overall = (mean C + mean P + mean D)/3. Because P is missing for 16 queries, this Overall is not the paired per-response overall in Table 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(C/P/D)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54/38/54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54/38/54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54/38/54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Qwen3.8-Flash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54/38/54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GLM-4.5-Air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54/38/54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54/38/54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MiniMax-M2.5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54/38/54</w:t>
            </w:r>
          </w:p>
        </w:tc>
      </w:tr>
    </w:tbl>
    <w:bookmarkEnd w:id="33"/>
    <w:bookmarkStart w:id="34" w:name="s16.-reliability-tables"/>
    <w:p>
      <w:pPr>
        <w:pStyle w:val="Heading2"/>
      </w:pPr>
      <w:r>
        <w:t xml:space="preserve">S16. Reliability tables</w:t>
      </w:r>
    </w:p>
    <w:p>
      <w:pPr>
        <w:pStyle w:val="FirstParagraph"/>
      </w:pPr>
      <w:r>
        <w:rPr>
          <w:b/>
          <w:bCs/>
        </w:rPr>
        <w:t xml:space="preserve">Table S16.</w:t>
      </w:r>
      <w:r>
        <w:t xml:space="preserve"> </w:t>
      </w:r>
      <w:r>
        <w:t xml:space="preserve">Reliability on the 120-response subset. ICC(2,1), quadratic weighted κ, Spearman ρ, and Bland–Altman mean difference (95% limits). The independent rater vs primary is the inter-rater estimate; the primary repeat sheet is an intra-rater (same-expert repeat/copy) check and is not used as an independent rater.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 / 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ICC(2,1)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 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t xml:space="preserve">BA mean (95% limits)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rater vs primary — 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−0.27 (−1.45, +0.92)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rater vs primary —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t xml:space="preserve">−0.11 (−1.36, +1.14)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rater vs primary —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  <w:r>
              <w:t xml:space="preserve">+0.21 (−1.06, +1.48)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repeat sheet (intra-rater) — correctness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−0.02 (−0.27, +0.23)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repeat sheet (intra-rater) —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−0.01 (−0.23, +0.21)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repeat sheet (intra-rater) —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t xml:space="preserve">+0.08 (−0.57, +0.73)</w:t>
            </w:r>
          </w:p>
        </w:tc>
      </w:tr>
    </w:tbl>
    <w:p>
      <w:pPr>
        <w:pStyle w:val="BodyText"/>
      </w:pPr>
      <w:r>
        <w:t xml:space="preserve">The primary repeat sheet is 98% identical to the primary on correctness and has a note-text median similarity of 0.70 (38/109 ≥0.80); it is a same-expert repeat/copy pass, so the high ICC reflects intra-rater consistency rather than independent agreement. The independent rater’s 120-response subset does not reproduce the full top rank (overall: DeepSeek-V4-Flash 4.28, DeepSeek-V4-Pro 4.14, NutriAgent 4.12); it is a reliability check, not a ranking replication. Raw normalized scores are in</w:t>
      </w:r>
      <w:r>
        <w:t xml:space="preserve"> </w:t>
      </w:r>
      <w:r>
        <w:rPr>
          <w:rStyle w:val="VerbatimChar"/>
        </w:rPr>
        <w:t xml:space="preserve">expert_scores_primary.csv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expert_scores_second.csv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expert_scores_third.csv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Sensitivity to query clarifications.</w:t>
      </w:r>
      <w:r>
        <w:t xml:space="preserve"> </w:t>
      </w:r>
      <w:r>
        <w:t xml:space="preserve">Excluding C-XD-005, C-XD-006, and one of the near-duplicate C-PM-006/C-XD-007 pair leaves 51 queries. NutriAgent’s correctness is 4.45 and DeepSeek-V4-Pro’s is 4.22 (paired difference +0.23; Wilcoxon p = 0.115); MiniMax-M2.5 remains lowest (correctness 2.90; overall 2.76) and NutriAgent remains highest. The main ranking and the non-significant correctness advantage over DeepSeek-V4-Pro are unchanged.</w:t>
      </w:r>
    </w:p>
    <w:bookmarkEnd w:id="34"/>
    <w:bookmarkStart w:id="35" w:name="s17.-full-claim-calibration-matrix"/>
    <w:p>
      <w:pPr>
        <w:pStyle w:val="Heading2"/>
      </w:pPr>
      <w:r>
        <w:t xml:space="preserve">S17. Full claim-calibration matrix</w:t>
      </w:r>
    </w:p>
    <w:p>
      <w:pPr>
        <w:pStyle w:val="FirstParagraph"/>
      </w:pPr>
      <w:r>
        <w:rPr>
          <w:b/>
          <w:bCs/>
        </w:rPr>
        <w:t xml:space="preserve">Table S17.</w:t>
      </w:r>
      <w:r>
        <w:t xml:space="preserve"> </w:t>
      </w:r>
      <w:r>
        <w:t xml:space="preserve">Replication status of the submitted component and evaluation claims under the Rev.1 model set.</w:t>
      </w:r>
      <w:r>
        <w:t xml:space="preserve"> </w:t>
      </w:r>
      <w:r>
        <w:t xml:space="preserve">“Not supported”</w:t>
      </w:r>
      <w:r>
        <w:t xml:space="preserve"> </w:t>
      </w:r>
      <w:r>
        <w:t xml:space="preserve">means the Rev.1 evidence does not reproduce the direction or magnitude;</w:t>
      </w:r>
      <w:r>
        <w:t xml:space="preserve"> </w:t>
      </w:r>
      <w:r>
        <w:t xml:space="preserve">“withdrawn”</w:t>
      </w:r>
      <w:r>
        <w:t xml:space="preserve"> </w:t>
      </w:r>
      <w:r>
        <w:t xml:space="preserve">means the condition did not execute as described. The Rev.1 expert main comparison is reported in Table 9; this table summarizes the factorial, ablation, retrieval, and audit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Submitted claim</w:t>
            </w:r>
          </w:p>
        </w:tc>
        <w:tc>
          <w:tcPr/>
          <w:p>
            <w:pPr>
              <w:pStyle w:val="Compact"/>
            </w:pPr>
            <w:r>
              <w:t xml:space="preserve">Rev.1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NutriAgent 4.42 vs 3.80 (+0.62), strongest baseline DeepSeek-V4-Flash</w:t>
            </w:r>
          </w:p>
        </w:tc>
        <w:tc>
          <w:tcPr/>
          <w:p>
            <w:pPr>
              <w:pStyle w:val="Compact"/>
            </w:pPr>
            <w:r>
              <w:t xml:space="preserve">Rev.1 expert (Table 9): NutriAgent 4.34; DeepSeek-V4-Pro 4.05 (strongest baseline); DeepSeek-V4-Flash 4.04; Qwen3.8-Flash 4.01; GLM 3.55; Qwen3-8B 3.04; MiniMax 2.63. ΔC vs DeepSeek-V4-Pro +0.20 (95% CI −0.09 to +0.50; Holm p = 0.146).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replicated: gap 0.28; correctness advantage not 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Synthesis / cross-validation is the dominant driver (+24.2% C, −29.7% inconsistency)</w:t>
            </w:r>
          </w:p>
        </w:tc>
        <w:tc>
          <w:tcPr/>
          <w:p>
            <w:pPr>
              <w:pStyle w:val="Compact"/>
            </w:pPr>
            <w:r>
              <w:t xml:space="preserve">E2: validation-off 4.91 = correct warnings 4.91; shuffled 4.87; query-only 4.85; concatenation 4.28. The extra call, not validation or specialist content, is associated with the increase.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improves over single agent by +5.3% C / −48.3% inconsistency</w:t>
            </w:r>
          </w:p>
        </w:tc>
        <w:tc>
          <w:tcPr/>
          <w:p>
            <w:pPr>
              <w:pStyle w:val="Compact"/>
            </w:pPr>
            <w:r>
              <w:t xml:space="preserve">The no-ReAct row was a duplicate full-pipeline run and is withdrawn. E1: tools-only 4.31 &lt; standalone 4.63; RAG 4.54; multi-agent 4.74/4.83; validation adds no reliable gain.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specialist contributes (Performance −0.20, Nutrition −0.09, Feed −0.04)</w:t>
            </w:r>
          </w:p>
        </w:tc>
        <w:tc>
          <w:tcPr/>
          <w:p>
            <w:pPr>
              <w:pStyle w:val="Compact"/>
            </w:pPr>
            <w:r>
              <w:t xml:space="preserve">D2 Rev.1 same-pass (n=54): Full 4.44; w/o Feed 4.67 (+0.22); w/o Definitions 4.57 (+0.13); w/o Performance 4.39 (−0.06); w/o Nutrition 4.37 (−0.07). No removal hurts. D2 is architectural removal; the shared corpus remains.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replicated; no positive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 data are necessary for judged correctness</w:t>
            </w:r>
          </w:p>
        </w:tc>
        <w:tc>
          <w:tcPr/>
          <w:p>
            <w:pPr>
              <w:pStyle w:val="Compact"/>
            </w:pPr>
            <w:r>
              <w:t xml:space="preserve">E7 hard removal (20 Feed/Cross queries): full 4.40 vs hard removal 4.70 correctness (+0.30), precision +0.07, depth 0.0; single run.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router has the highest correctness (4.80 vs 4.69/4.61; keyword at 97.7%)</w:t>
            </w:r>
          </w:p>
        </w:tc>
        <w:tc>
          <w:tcPr/>
          <w:p>
            <w:pPr>
              <w:pStyle w:val="Compact"/>
            </w:pPr>
            <w:r>
              <w:t xml:space="preserve">D3 Rev.1 (n=54): LLM 4.63 &gt; Broadcast 4.59 &gt; Keyword 4.48; the submitted ordering is not replicated.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replicated; LLM 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strategy has no correctness effect (spread ≤0.05)</w:t>
            </w:r>
          </w:p>
        </w:tc>
        <w:tc>
          <w:tcPr/>
          <w:p>
            <w:pPr>
              <w:pStyle w:val="Compact"/>
            </w:pPr>
            <w:r>
              <w:t xml:space="preserve">D3 Rev.1 (n=54): LLM 4.63 &gt; Broadcast 4.59 (−0.04) &gt; Keyword 4.48 (−0.15).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supported; LLM router highest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improves correctness (+0.08) and precision (+0.10)</w:t>
            </w:r>
          </w:p>
        </w:tc>
        <w:tc>
          <w:tcPr/>
          <w:p>
            <w:pPr>
              <w:pStyle w:val="Compact"/>
            </w:pPr>
            <w:r>
              <w:t xml:space="preserve">D4 complete case (n=54): +RAG 4.52 vs no-RAG 4.52; C 0.00, P +0.04, D −0.22 (no-RAG D n=46). Proxy ITT (16 E6 misses = failure 1): 3.50 vs 4.52; Δ −1.02 (95% CI −1.52 to −0.52; p &lt; 0.001); S19.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replicated; complete-case null; proxy ITT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 is the best backbone (4.85 vs 4.74/4.69/4.44/4.11)</w:t>
            </w:r>
          </w:p>
        </w:tc>
        <w:tc>
          <w:tcPr/>
          <w:p>
            <w:pPr>
              <w:pStyle w:val="Compact"/>
            </w:pPr>
            <w:r>
              <w:t xml:space="preserve">D6 Rev.1 (n=54): DS-V4-Pro 4.67 &gt; DS-V4-Flash 4.61 &gt; Qwen3.8-27B 4.50 &gt; Qwen3.8-Flash 4.43 &gt; Qwen3-8B 3.81. Top-two gap 0.06; DS-V4-Flash has higher depth (4.04 vs 3.87).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replicated; Qwen3-8B lowest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 reduced by 70%; 56% of numbers are parametric</w:t>
            </w:r>
          </w:p>
        </w:tc>
        <w:tc>
          <w:tcPr/>
          <w:p>
            <w:pPr>
              <w:pStyle w:val="Compact"/>
            </w:pPr>
            <w:r>
              <w:t xml:space="preserve">SelfCheckGPT-NLI is a cross-sample inconsistency score, not a factual-error rate. Claim-aware audit: direct entity+attribute support 10.9–16.7% (parser lower bound), not 0.444 provenance.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Evaluator agreement ρ = 0.83 / 0.67 / 0.37</w:t>
            </w:r>
          </w:p>
        </w:tc>
        <w:tc>
          <w:tcPr/>
          <w:p>
            <w:pPr>
              <w:pStyle w:val="Compact"/>
            </w:pPr>
            <w:r>
              <w:t xml:space="preserve">Recomputed against the Rev.1 primary expert: ρ = 0.55 (C), 0.71 (P), 0.34 (D); the judge is more lenient, and the earlier ρ = 0.038 for precision is withdrawn.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Single-run scores are reproducible at temperature 0.0</w:t>
            </w:r>
          </w:p>
        </w:tc>
        <w:tc>
          <w:tcPr/>
          <w:p>
            <w:pPr>
              <w:pStyle w:val="Compact"/>
            </w:pPr>
            <w:r>
              <w:t xml:space="preserve">E9: 10 queries × 3 runs, mean pairwise similarity 0.371, exact match 0/10.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 queries have lower correctness</w:t>
            </w:r>
          </w:p>
        </w:tc>
        <w:tc>
          <w:tcPr/>
          <w:p>
            <w:pPr>
              <w:pStyle w:val="Compact"/>
            </w:pPr>
            <w:r>
              <w:t xml:space="preserve">E11 auto scores: Chinese 4.92 vs English 4.69 (n=12/42; CIs overlap); the cross-lingual issue is inconsistency, not correctness.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= 1 retrieval is sufficient</w:t>
            </w:r>
          </w:p>
        </w:tc>
        <w:tc>
          <w:tcPr/>
          <w:p>
            <w:pPr>
              <w:pStyle w:val="Compact"/>
            </w:pPr>
            <w:r>
              <w:t xml:space="preserve">E6: hit@1 27.3%, hit@3 54.5%, hit@5 63.6%, MRR 0.411; k=1 misses ~73% of annotated targets.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supported</w:t>
            </w:r>
          </w:p>
        </w:tc>
      </w:tr>
    </w:tbl>
    <w:p>
      <w:pPr>
        <w:pStyle w:val="BodyText"/>
      </w:pPr>
      <w:r>
        <w:t xml:space="preserve">The replication matrix is the main message of the revision: the submitted paper over-attributed quality gains to individual components. Under the Rev.1 controls, the robust finding is narrower: the full synthesis pass is associated with higher judged scores, tool access alone is insufficient, and validation, routing, RAG-within-multi-agent, and most specialist removals are null. The main comparison is now reported with intervals (Tables 9–10); the remaining open items are the human-labeled faithfulness subset (E4) and the full non-numeric error coding (E14), not the expert main comparison.</w:t>
      </w:r>
    </w:p>
    <w:bookmarkEnd w:id="35"/>
    <w:bookmarkStart w:id="36" w:name="s18.-model-set-transition"/>
    <w:p>
      <w:pPr>
        <w:pStyle w:val="Heading2"/>
      </w:pPr>
      <w:r>
        <w:t xml:space="preserve">S18. Model-set transition</w:t>
      </w:r>
    </w:p>
    <w:p>
      <w:pPr>
        <w:pStyle w:val="FirstParagraph"/>
      </w:pPr>
      <w:r>
        <w:t xml:space="preserve">The submitted model set included endpoints that are no longer available. Rev.1 uses one frozen current set; absolute scores are not comparable across versions.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Rev.1</w:t>
            </w:r>
          </w:p>
        </w:tc>
        <w:tc>
          <w:tcPr/>
          <w:p>
            <w:pPr>
              <w:pStyle w:val="Compact"/>
            </w:pPr>
            <w:r>
              <w:t xml:space="preserve">Availability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NutriAgent backbone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current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baseline</w:t>
            </w:r>
          </w:p>
        </w:tc>
        <w:tc>
          <w:tcPr/>
          <w:p>
            <w:pPr>
              <w:pStyle w:val="Compact"/>
            </w:pPr>
            <w:r>
              <w:t xml:space="preserve">DeepSeek-V4-Pro</w:t>
            </w:r>
          </w:p>
        </w:tc>
        <w:tc>
          <w:tcPr/>
          <w:p>
            <w:pPr>
              <w:pStyle w:val="Compact"/>
            </w:pPr>
            <w:r>
              <w:t xml:space="preserve">DeepSeek-V4-Pro</w:t>
            </w:r>
          </w:p>
        </w:tc>
        <w:tc>
          <w:tcPr/>
          <w:p>
            <w:pPr>
              <w:pStyle w:val="Compact"/>
            </w:pPr>
            <w:r>
              <w:t xml:space="preserve">current endpoint/version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baseline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</w:pPr>
            <w:r>
              <w:t xml:space="preserve">current endpoint/version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baseline</w:t>
            </w:r>
          </w:p>
        </w:tc>
        <w:tc>
          <w:tcPr/>
          <w:p>
            <w:pPr>
              <w:pStyle w:val="Compact"/>
            </w:pPr>
            <w:r>
              <w:t xml:space="preserve">Qwen3.5-Flash</w:t>
            </w:r>
          </w:p>
        </w:tc>
        <w:tc>
          <w:tcPr/>
          <w:p>
            <w:pPr>
              <w:pStyle w:val="Compact"/>
            </w:pPr>
            <w:r>
              <w:t xml:space="preserve">Qwen3.8-Flash</w:t>
            </w:r>
          </w:p>
        </w:tc>
        <w:tc>
          <w:tcPr/>
          <w:p>
            <w:pPr>
              <w:pStyle w:val="Compact"/>
            </w:pPr>
            <w:r>
              <w:t xml:space="preserve">Qwen3.5 endpoint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baseline</w:t>
            </w:r>
          </w:p>
        </w:tc>
        <w:tc>
          <w:tcPr/>
          <w:p>
            <w:pPr>
              <w:pStyle w:val="Compact"/>
            </w:pPr>
            <w:r>
              <w:t xml:space="preserve">GLM-4.5-Air</w:t>
            </w:r>
          </w:p>
        </w:tc>
        <w:tc>
          <w:tcPr/>
          <w:p>
            <w:pPr>
              <w:pStyle w:val="Compact"/>
            </w:pPr>
            <w:r>
              <w:t xml:space="preserve">GLM-4.5-Air</w:t>
            </w:r>
          </w:p>
        </w:tc>
        <w:tc>
          <w:tcPr/>
          <w:p>
            <w:pPr>
              <w:pStyle w:val="Compact"/>
            </w:pPr>
            <w:r>
              <w:t xml:space="preserve">current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baseline</w:t>
            </w:r>
          </w:p>
        </w:tc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current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baseline</w:t>
            </w:r>
          </w:p>
        </w:tc>
        <w:tc>
          <w:tcPr/>
          <w:p>
            <w:pPr>
              <w:pStyle w:val="Compact"/>
            </w:pPr>
            <w:r>
              <w:t xml:space="preserve">MiniMax-M2.5</w:t>
            </w:r>
          </w:p>
        </w:tc>
        <w:tc>
          <w:tcPr/>
          <w:p>
            <w:pPr>
              <w:pStyle w:val="Compact"/>
            </w:pPr>
            <w:r>
              <w:t xml:space="preserve">MiniMax-M2.5</w:t>
            </w:r>
          </w:p>
        </w:tc>
        <w:tc>
          <w:tcPr/>
          <w:p>
            <w:pPr>
              <w:pStyle w:val="Compact"/>
            </w:pPr>
            <w:r>
              <w:t xml:space="preserve">current provider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Submitted 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Rev.1 overall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NutriAgent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</w:t>
            </w:r>
          </w:p>
        </w:tc>
        <w:tc>
          <w:tcPr/>
          <w:p>
            <w:pPr>
              <w:pStyle w:val="Compact"/>
            </w:pPr>
            <w:r>
              <w:t xml:space="preserve">−0.08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t xml:space="preserve">+0.28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DeepSeek-V4-Flash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  <w:tc>
          <w:tcPr/>
          <w:p>
            <w:pPr>
              <w:pStyle w:val="Compact"/>
            </w:pPr>
            <w:r>
              <w:t xml:space="preserve">+0.24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GLM-4.5-Air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(3.5 → 3.8)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+0.57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−0.07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MiniMax-M2.5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</w:pPr>
            <w:r>
              <w:t xml:space="preserve">−1.08</w:t>
            </w:r>
          </w:p>
        </w:tc>
      </w:tr>
    </w:tbl>
    <w:p>
      <w:pPr>
        <w:pStyle w:val="BodyText"/>
      </w:pPr>
      <w:r>
        <w:t xml:space="preserve">The strongest submitted baseline improved from 3.80 to 4.05; the NutriAgent point estimate moved by −0.08. Thus much of the smaller margin reflects stronger current baselines, not only a change in NutriAgent. The submitted and Rev.1 scores also use different expert/rubric passes, so the table is descriptive and is not used for causal attribution.</w:t>
      </w:r>
    </w:p>
    <w:bookmarkEnd w:id="36"/>
    <w:bookmarkStart w:id="37" w:name="X95c28b83f00790639c181410ceb4a58f3478ff4"/>
    <w:p>
      <w:pPr>
        <w:pStyle w:val="Heading2"/>
      </w:pPr>
      <w:r>
        <w:t xml:space="preserve">S19. D4 RAG ITT sensitivity (proxy failures)</w:t>
      </w:r>
    </w:p>
    <w:p>
      <w:pPr>
        <w:pStyle w:val="FirstParagraph"/>
      </w:pPr>
      <w:r>
        <w:t xml:space="preserve">The Rev.1 D4 rescore includes all 54 correctness scores but does not preserve a retrieval-failure flag; the four submitted-run exclusions cannot be reconstructed exactly. As a conservative, clearly labeled proxy, the 16 E6 hit@5 misses are scored as system failures (1; sensitivity 0) in the +RAG condition. This is not an exact reconstruction of the submitted four-query exclusion and is not used as the primary D4 estimate.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1092"/>
        <w:gridCol w:w="1092"/>
        <w:gridCol w:w="1092"/>
        <w:gridCol w:w="1092"/>
        <w:gridCol w:w="819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no-RAG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Wilcoxon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ITT, failure =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−1.019</w:t>
            </w:r>
          </w:p>
        </w:tc>
        <w:tc>
          <w:tcPr/>
          <w:p>
            <w:pPr>
              <w:pStyle w:val="Compact"/>
            </w:pPr>
            <w:r>
              <w:t xml:space="preserve">−1.519 to −0.519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ITT, failure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−1.315</w:t>
            </w:r>
          </w:p>
        </w:tc>
        <w:tc>
          <w:tcPr/>
          <w:p>
            <w:pPr>
              <w:pStyle w:val="Compact"/>
            </w:pPr>
            <w:r>
              <w:t xml:space="preserve">−1.944 to −0.704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−0.204 to +0.185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ITT, failure =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−1.178</w:t>
            </w:r>
          </w:p>
        </w:tc>
        <w:tc>
          <w:tcPr/>
          <w:p>
            <w:pPr>
              <w:pStyle w:val="Compact"/>
            </w:pPr>
            <w:r>
              <w:t xml:space="preserve">−1.778 to −0.600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+0.022</w:t>
            </w:r>
          </w:p>
        </w:tc>
        <w:tc>
          <w:tcPr/>
          <w:p>
            <w:pPr>
              <w:pStyle w:val="Compact"/>
            </w:pPr>
            <w:r>
              <w:t xml:space="preserve">−0.244 to +0.289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ITT, failure =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−1.000</w:t>
            </w:r>
          </w:p>
        </w:tc>
        <w:tc>
          <w:tcPr/>
          <w:p>
            <w:pPr>
              <w:pStyle w:val="Compact"/>
            </w:pPr>
            <w:r>
              <w:t xml:space="preserve">−1.413 to −0.609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complete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−0.152</w:t>
            </w:r>
          </w:p>
        </w:tc>
        <w:tc>
          <w:tcPr/>
          <w:p>
            <w:pPr>
              <w:pStyle w:val="Compact"/>
            </w:pPr>
            <w:r>
              <w:t xml:space="preserve">−0.391 to +0.087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0.2598</w:t>
            </w:r>
          </w:p>
        </w:tc>
      </w:tr>
    </w:tbl>
    <w:p>
      <w:pPr>
        <w:pStyle w:val="BodyText"/>
      </w:pPr>
      <w:r>
        <w:t xml:space="preserve">The proxy ITT does not support a RAG correctness or precision benefit; the direction is neutral-to-negative. Because the failure set is a proxy, this is a sensitivity analysis, not an exact ITT effect.</w:t>
      </w:r>
    </w:p>
    <w:bookmarkEnd w:id="37"/>
    <w:bookmarkStart w:id="38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The submitted manuscript did not clearly separate adopted components from Rev.1</w:t>
      </w:r>
      <w:r>
        <w:t xml:space="preserve"> </w:t>
      </w:r>
      <w:r>
        <w:t xml:space="preserve">contributions. This table is the attribution record; Table 8 in the main text compares the</w:t>
      </w:r>
      <w:r>
        <w:t xml:space="preserve"> </w:t>
      </w:r>
      <w:r>
        <w:t xml:space="preserve">design dimensions, and Table 7 records which submitted claims replicate.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Supplementary Material</w:t>
      </w:r>
    </w:p>
    <w:bookmarkEnd w:id="38"/>
    <w:bookmarkEnd w:id="3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A1A2E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1A1A2E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1A1A2E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2026-10-21T14:13:02Z</dcterms:created>
  <dcterms:modified xsi:type="dcterms:W3CDTF">2026-10-21T14:13:02Z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