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A5C" w:val="clear"/>
            <w:tcMar>
              <w:top w:type="dxa" w:w="600"/>
              <w:left w:type="dxa" w:w="400"/>
              <w:bottom w:type="dxa" w:w="400"/>
              <w:right w:type="dxa" w:w="400"/>
            </w:tcMar>
          </w:tcPr>
          <w:p>
            <w:pPr>
              <w:spacing w:after="120" w:before="0"/>
              <w:jc w:val="center"/>
            </w:pPr>
            <w:r>
              <w:rPr>
                <w:rFonts w:ascii="Arial" w:cs="Arial" w:eastAsia="Arial" w:hAnsi="Arial"/>
                <w:b/>
                <w:bCs/>
                <w:color w:val="FFFFFF"/>
                <w:sz w:val="52"/>
                <w:szCs w:val="52"/>
              </w:rPr>
              <w:t xml:space="preserve">STELLARNEST</w:t>
            </w:r>
          </w:p>
          <w:p>
            <w:pPr>
              <w:spacing w:after="80" w:before="0"/>
              <w:jc w:val="center"/>
            </w:pPr>
            <w:r>
              <w:rPr>
                <w:rFonts w:ascii="Arial" w:cs="Arial" w:eastAsia="Arial" w:hAnsi="Arial"/>
                <w:color w:val="C9A84C"/>
                <w:sz w:val="26"/>
                <w:szCs w:val="26"/>
              </w:rPr>
              <w:t xml:space="preserve">Borderless Payments for the APAC Workforce</w:t>
            </w:r>
          </w:p>
          <w:p>
            <w:pPr>
              <w:spacing w:after="0" w:before="0"/>
              <w:jc w:val="center"/>
            </w:pPr>
            <w:r>
              <w:rPr>
                <w:rFonts w:ascii="Arial" w:cs="Arial" w:eastAsia="Arial" w:hAnsi="Arial"/>
                <w:i/>
                <w:iCs/>
                <w:color w:val="D0E4F0"/>
                <w:sz w:val="20"/>
                <w:szCs w:val="20"/>
              </w:rPr>
              <w:t xml:space="preserve">Powered by Stellar Blockchain</w:t>
            </w:r>
          </w:p>
        </w:tc>
      </w:tr>
    </w:tbl>
    <w:p>
      <w:pPr>
        <w:spacing w:after="24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EF4F8" w:val="clear"/>
            <w:tcMar>
              <w:top w:type="dxa" w:w="200"/>
              <w:left w:type="dxa" w:w="400"/>
              <w:bottom w:type="dxa" w:w="200"/>
              <w:right w:type="dxa" w:w="400"/>
            </w:tcMar>
          </w:tcPr>
          <w:p>
            <w:pPr>
              <w:spacing w:after="60" w:before="0"/>
              <w:jc w:val="center"/>
            </w:pPr>
            <w:r>
              <w:rPr>
                <w:rFonts w:ascii="Arial" w:cs="Arial" w:eastAsia="Arial" w:hAnsi="Arial"/>
                <w:b/>
                <w:bCs/>
                <w:color w:val="0D7377"/>
                <w:sz w:val="20"/>
                <w:szCs w:val="20"/>
              </w:rPr>
              <w:t xml:space="preserve">APAC Stellar Hackathon Submission  |  July 2026</w:t>
            </w:r>
          </w:p>
          <w:p>
            <w:pPr>
              <w:spacing w:after="60" w:before="0"/>
              <w:jc w:val="center"/>
            </w:pPr>
            <w:r>
              <w:rPr>
                <w:rFonts w:ascii="Arial" w:cs="Arial" w:eastAsia="Arial" w:hAnsi="Arial"/>
                <w:color w:val="555555"/>
                <w:sz w:val="18"/>
                <w:szCs w:val="18"/>
              </w:rPr>
              <w:t xml:space="preserve">Team: StellarNest  |  Project ID: stellarnest-hackathon  |  Network: Stellar Testnet</w:t>
            </w:r>
          </w:p>
        </w:tc>
      </w:tr>
    </w:tbl>
    <w:p>
      <w:r>
        <w:br w:type="page"/>
      </w:r>
    </w:p>
    <w:p>
      <w:pPr>
        <w:pStyle w:val="Heading1"/>
        <w:spacing w:after="160" w:before="320"/>
      </w:pPr>
      <w:r>
        <w:rPr>
          <w:rFonts w:ascii="Arial" w:cs="Arial" w:eastAsia="Arial" w:hAnsi="Arial"/>
          <w:b/>
          <w:bCs/>
          <w:color w:val="1A3A5C"/>
          <w:sz w:val="36"/>
          <w:szCs w:val="36"/>
        </w:rPr>
        <w:t xml:space="preserve">1. Executive Summary</w:t>
      </w:r>
    </w:p>
    <w:p>
      <w:pPr>
        <w:spacing w:after="100" w:before="60"/>
        <w:jc w:val="left"/>
      </w:pPr>
      <w:r>
        <w:rPr>
          <w:rFonts w:ascii="Arial" w:cs="Arial" w:eastAsia="Arial" w:hAnsi="Arial"/>
          <w:b w:val="false"/>
          <w:bCs w:val="false"/>
          <w:color w:val="555555"/>
          <w:sz w:val="20"/>
          <w:szCs w:val="20"/>
        </w:rPr>
        <w:t xml:space="preserve">StellarNest is a cross-border payment application built on the Stellar blockchain, designed specifically for Indonesian migrant workers, freelancers, and remote employees in the APAC region. The platform solves three critical pain points in international remittance: prohibitively high fees, the requirement for recipients to have a bank account, and the lack of verifiable income records for formal financial services.</w:t>
      </w:r>
    </w:p>
    <w:p>
      <w:pPr>
        <w:spacing w:after="80" w:before="0"/>
      </w:pPr>
      <w:r>
        <w:t xml:space="preserve"/>
      </w:r>
    </w:p>
    <w:p>
      <w:pPr>
        <w:spacing w:after="100" w:before="60"/>
        <w:jc w:val="left"/>
      </w:pPr>
      <w:r>
        <w:rPr>
          <w:rFonts w:ascii="Arial" w:cs="Arial" w:eastAsia="Arial" w:hAnsi="Arial"/>
          <w:b w:val="false"/>
          <w:bCs w:val="false"/>
          <w:color w:val="555555"/>
          <w:sz w:val="20"/>
          <w:szCs w:val="20"/>
        </w:rPr>
        <w:t xml:space="preserve">At its core, StellarNest enables users to send money home via shareable "Magic Claim Links" — URL-based payment tokens that recipients can claim without installing an app or holding a bank account. Every transfer is automatically split between family support and an emergency savings fund, instilling financial discipline at the protocol level. The app also provides an Insights dashboard that generates timestamped income reports, helping workers build the credit histories needed to access bank loans, vehicle financing, or rental agreements in Indonesia.</w:t>
      </w:r>
    </w:p>
    <w:p>
      <w:pPr>
        <w:spacing w:after="80" w:before="0"/>
      </w:pPr>
      <w:r>
        <w:t xml:space="preserve"/>
      </w:r>
    </w:p>
    <w:p>
      <w:pPr>
        <w:spacing w:after="100" w:before="60"/>
        <w:jc w:val="left"/>
      </w:pPr>
      <w:r>
        <w:rPr>
          <w:rFonts w:ascii="Arial" w:cs="Arial" w:eastAsia="Arial" w:hAnsi="Arial"/>
          <w:b w:val="false"/>
          <w:bCs w:val="false"/>
          <w:color w:val="555555"/>
          <w:sz w:val="20"/>
          <w:szCs w:val="20"/>
        </w:rPr>
        <w:t xml:space="preserve">The application is submitted to the APAC Stellar Hackathon (July 2026), with Demo Day on July 18 and the Grand Finale on July 24.</w:t>
      </w:r>
    </w:p>
    <w:p>
      <w:pPr>
        <w:spacing w:after="160" w:before="0"/>
      </w:pPr>
      <w:r>
        <w:t xml:space="preserve"/>
      </w:r>
    </w:p>
    <w:p>
      <w:pPr>
        <w:pStyle w:val="Heading1"/>
        <w:spacing w:after="160" w:before="320"/>
      </w:pPr>
      <w:r>
        <w:rPr>
          <w:rFonts w:ascii="Arial" w:cs="Arial" w:eastAsia="Arial" w:hAnsi="Arial"/>
          <w:b/>
          <w:bCs/>
          <w:color w:val="1A3A5C"/>
          <w:sz w:val="36"/>
          <w:szCs w:val="36"/>
        </w:rPr>
        <w:t xml:space="preserve">2. Problem Statement</w:t>
      </w:r>
    </w:p>
    <w:p>
      <w:pPr>
        <w:pStyle w:val="Heading2"/>
        <w:spacing w:after="120" w:before="240"/>
      </w:pPr>
      <w:r>
        <w:rPr>
          <w:rFonts w:ascii="Arial" w:cs="Arial" w:eastAsia="Arial" w:hAnsi="Arial"/>
          <w:b/>
          <w:bCs/>
          <w:color w:val="0D7377"/>
          <w:sz w:val="26"/>
          <w:szCs w:val="26"/>
        </w:rPr>
        <w:t xml:space="preserve">2.1 The Remittance Reality for APAC Workers</w:t>
      </w:r>
    </w:p>
    <w:p>
      <w:pPr>
        <w:spacing w:after="100" w:before="60"/>
        <w:jc w:val="left"/>
      </w:pPr>
      <w:r>
        <w:rPr>
          <w:rFonts w:ascii="Arial" w:cs="Arial" w:eastAsia="Arial" w:hAnsi="Arial"/>
          <w:b w:val="false"/>
          <w:bCs w:val="false"/>
          <w:color w:val="555555"/>
          <w:sz w:val="20"/>
          <w:szCs w:val="20"/>
        </w:rPr>
        <w:t xml:space="preserve">Indonesian migrant workers and freelancers face a broken remittance system:</w:t>
      </w:r>
    </w:p>
    <w:p>
      <w:pPr>
        <w:pStyle w:val="ListParagraph"/>
        <w:numPr>
          <w:ilvl w:val="0"/>
          <w:numId w:val="2"/>
        </w:numPr>
        <w:spacing w:after="40" w:before="40"/>
      </w:pPr>
      <w:r>
        <w:rPr>
          <w:rFonts w:ascii="Arial" w:cs="Arial" w:eastAsia="Arial" w:hAnsi="Arial"/>
          <w:color w:val="555555"/>
          <w:sz w:val="20"/>
          <w:szCs w:val="20"/>
        </w:rPr>
        <w:t xml:space="preserve">Average remittance fee globally: 6.2% of transaction value (World Bank, 2024) — for a $500 monthly send, that is $31 lost per transaction, $372 per year.</w:t>
      </w:r>
    </w:p>
    <w:p>
      <w:pPr>
        <w:pStyle w:val="ListParagraph"/>
        <w:numPr>
          <w:ilvl w:val="0"/>
          <w:numId w:val="2"/>
        </w:numPr>
        <w:spacing w:after="40" w:before="40"/>
      </w:pPr>
      <w:r>
        <w:rPr>
          <w:rFonts w:ascii="Arial" w:cs="Arial" w:eastAsia="Arial" w:hAnsi="Arial"/>
          <w:color w:val="555555"/>
          <w:sz w:val="20"/>
          <w:szCs w:val="20"/>
        </w:rPr>
        <w:t xml:space="preserve">Settlement times with traditional banks: 2-5 business days, causing cash-flow stress for families waiting on school fees, medical bills, or rent.</w:t>
      </w:r>
    </w:p>
    <w:p>
      <w:pPr>
        <w:pStyle w:val="ListParagraph"/>
        <w:numPr>
          <w:ilvl w:val="0"/>
          <w:numId w:val="2"/>
        </w:numPr>
        <w:spacing w:after="40" w:before="40"/>
      </w:pPr>
      <w:r>
        <w:rPr>
          <w:rFonts w:ascii="Arial" w:cs="Arial" w:eastAsia="Arial" w:hAnsi="Arial"/>
          <w:color w:val="555555"/>
          <w:sz w:val="20"/>
          <w:szCs w:val="20"/>
        </w:rPr>
        <w:t xml:space="preserve">Recipients in rural Indonesia often lack bank accounts — the remittance becomes inaccessible and requires a secondary trip to an agent location.</w:t>
      </w:r>
    </w:p>
    <w:p>
      <w:pPr>
        <w:pStyle w:val="ListParagraph"/>
        <w:numPr>
          <w:ilvl w:val="0"/>
          <w:numId w:val="2"/>
        </w:numPr>
        <w:spacing w:after="40" w:before="40"/>
      </w:pPr>
      <w:r>
        <w:rPr>
          <w:rFonts w:ascii="Arial" w:cs="Arial" w:eastAsia="Arial" w:hAnsi="Arial"/>
          <w:color w:val="555555"/>
          <w:sz w:val="20"/>
          <w:szCs w:val="20"/>
        </w:rPr>
        <w:t xml:space="preserve">No credit history: Workers sending money for 12+ months cannot produce a verifiable income statement for bank loans, car financing, or landlord references.</w:t>
      </w:r>
    </w:p>
    <w:p>
      <w:pPr>
        <w:pStyle w:val="ListParagraph"/>
        <w:numPr>
          <w:ilvl w:val="0"/>
          <w:numId w:val="2"/>
        </w:numPr>
        <w:spacing w:after="40" w:before="40"/>
      </w:pPr>
      <w:r>
        <w:rPr>
          <w:rFonts w:ascii="Arial" w:cs="Arial" w:eastAsia="Arial" w:hAnsi="Arial"/>
          <w:color w:val="555555"/>
          <w:sz w:val="20"/>
          <w:szCs w:val="20"/>
        </w:rPr>
        <w:t xml:space="preserve">No savings mechanism: Without automation, 100% of remittances go to immediate consumption; nothing is systematically set aside for emergencies.</w:t>
      </w:r>
    </w:p>
    <w:p>
      <w:pPr>
        <w:spacing w:after="80" w:before="0"/>
      </w:pPr>
      <w:r>
        <w:t xml:space="preserve"/>
      </w:r>
    </w:p>
    <w:p>
      <w:pPr>
        <w:pStyle w:val="Heading2"/>
        <w:spacing w:after="120" w:before="240"/>
      </w:pPr>
      <w:r>
        <w:rPr>
          <w:rFonts w:ascii="Arial" w:cs="Arial" w:eastAsia="Arial" w:hAnsi="Arial"/>
          <w:b/>
          <w:bCs/>
          <w:color w:val="0D7377"/>
          <w:sz w:val="26"/>
          <w:szCs w:val="26"/>
        </w:rPr>
        <w:t xml:space="preserve">2.2 Target Users</w:t>
      </w:r>
    </w:p>
    <w:p>
      <w:pPr>
        <w:pStyle w:val="ListParagraph"/>
        <w:numPr>
          <w:ilvl w:val="0"/>
          <w:numId w:val="2"/>
        </w:numPr>
        <w:spacing w:after="40" w:before="40"/>
      </w:pPr>
      <w:r>
        <w:rPr>
          <w:rFonts w:ascii="Arial" w:cs="Arial" w:eastAsia="Arial" w:hAnsi="Arial"/>
          <w:color w:val="555555"/>
          <w:sz w:val="20"/>
          <w:szCs w:val="20"/>
        </w:rPr>
        <w:t xml:space="preserve">Primary: Indonesian migrant domestic workers in Hong Kong, Singapore, Malaysia, and the Middle East</w:t>
      </w:r>
    </w:p>
    <w:p>
      <w:pPr>
        <w:pStyle w:val="ListParagraph"/>
        <w:numPr>
          <w:ilvl w:val="0"/>
          <w:numId w:val="2"/>
        </w:numPr>
        <w:spacing w:after="40" w:before="40"/>
      </w:pPr>
      <w:r>
        <w:rPr>
          <w:rFonts w:ascii="Arial" w:cs="Arial" w:eastAsia="Arial" w:hAnsi="Arial"/>
          <w:color w:val="555555"/>
          <w:sz w:val="20"/>
          <w:szCs w:val="20"/>
        </w:rPr>
        <w:t xml:space="preserve">Secondary: Indonesian freelancers and remote workers paid in USD/stablecoins via Upwork, Fiverr, or direct clients</w:t>
      </w:r>
    </w:p>
    <w:p>
      <w:pPr>
        <w:pStyle w:val="ListParagraph"/>
        <w:numPr>
          <w:ilvl w:val="0"/>
          <w:numId w:val="2"/>
        </w:numPr>
        <w:spacing w:after="40" w:before="40"/>
      </w:pPr>
      <w:r>
        <w:rPr>
          <w:rFonts w:ascii="Arial" w:cs="Arial" w:eastAsia="Arial" w:hAnsi="Arial"/>
          <w:color w:val="555555"/>
          <w:sz w:val="20"/>
          <w:szCs w:val="20"/>
        </w:rPr>
        <w:t xml:space="preserve">Tertiary: Indonesian gig economy workers (Gojek drivers, Tokopedia sellers) receiving cross-border payments</w:t>
      </w:r>
    </w:p>
    <w:p>
      <w:pPr>
        <w:spacing w:after="160" w:before="0"/>
      </w:pPr>
      <w:r>
        <w:t xml:space="preserve"/>
      </w:r>
    </w:p>
    <w:p>
      <w:pPr>
        <w:pStyle w:val="Heading1"/>
        <w:spacing w:after="160" w:before="320"/>
      </w:pPr>
      <w:r>
        <w:rPr>
          <w:rFonts w:ascii="Arial" w:cs="Arial" w:eastAsia="Arial" w:hAnsi="Arial"/>
          <w:b/>
          <w:bCs/>
          <w:color w:val="1A3A5C"/>
          <w:sz w:val="36"/>
          <w:szCs w:val="36"/>
        </w:rPr>
        <w:t xml:space="preserve">3. Solution Overview</w:t>
      </w:r>
    </w:p>
    <w:p>
      <w:pPr>
        <w:pStyle w:val="Heading2"/>
        <w:spacing w:after="120" w:before="240"/>
      </w:pPr>
      <w:r>
        <w:rPr>
          <w:rFonts w:ascii="Arial" w:cs="Arial" w:eastAsia="Arial" w:hAnsi="Arial"/>
          <w:b/>
          <w:bCs/>
          <w:color w:val="0D7377"/>
          <w:sz w:val="26"/>
          <w:szCs w:val="26"/>
        </w:rPr>
        <w:t xml:space="preserve">3.1 Core Product: Magic Claim Links</w:t>
      </w:r>
    </w:p>
    <w:p>
      <w:pPr>
        <w:spacing w:after="100" w:before="60"/>
        <w:jc w:val="left"/>
      </w:pPr>
      <w:r>
        <w:rPr>
          <w:rFonts w:ascii="Arial" w:cs="Arial" w:eastAsia="Arial" w:hAnsi="Arial"/>
          <w:b w:val="false"/>
          <w:bCs w:val="false"/>
          <w:color w:val="555555"/>
          <w:sz w:val="20"/>
          <w:szCs w:val="20"/>
        </w:rPr>
        <w:t xml:space="preserve">Instead of requiring the recipient to have a bank account or crypto wallet, StellarNest generates a unique, time-limited URL (e.g., stellarnest.com/claim/abc123). The sender shares this link via WhatsApp, SMS, or email. The recipient opens the link, enters their bank details once, and claims the funds. The entire flow takes under 2 minutes on the recipient's first claim.</w:t>
      </w:r>
    </w:p>
    <w:p>
      <w:pPr>
        <w:spacing w:after="80" w:before="0"/>
      </w:pPr>
      <w:r>
        <w:t xml:space="preserve"/>
      </w:r>
    </w:p>
    <w:p>
      <w:pPr>
        <w:spacing w:after="100" w:before="60"/>
        <w:jc w:val="left"/>
      </w:pPr>
      <w:r>
        <w:rPr>
          <w:rFonts w:ascii="Arial" w:cs="Arial" w:eastAsia="Arial" w:hAnsi="Arial"/>
          <w:b w:val="false"/>
          <w:bCs w:val="false"/>
          <w:color w:val="555555"/>
          <w:sz w:val="20"/>
          <w:szCs w:val="20"/>
        </w:rPr>
        <w:t xml:space="preserve">This is fundamentally different from P2P apps like Wise, which require both sender and recipient to have accounts. StellarNest's model mirrors cash-in-hand but with on-chain provability and automatic splitting.</w:t>
      </w:r>
    </w:p>
    <w:p>
      <w:pPr>
        <w:spacing w:after="80" w:before="0"/>
      </w:pPr>
      <w:r>
        <w:t xml:space="preserve"/>
      </w:r>
    </w:p>
    <w:p>
      <w:pPr>
        <w:pStyle w:val="Heading2"/>
        <w:spacing w:after="120" w:before="240"/>
      </w:pPr>
      <w:r>
        <w:rPr>
          <w:rFonts w:ascii="Arial" w:cs="Arial" w:eastAsia="Arial" w:hAnsi="Arial"/>
          <w:b/>
          <w:bCs/>
          <w:color w:val="0D7377"/>
          <w:sz w:val="26"/>
          <w:szCs w:val="26"/>
        </w:rPr>
        <w:t xml:space="preserve">3.2 Split-Routing: 70/30 by Default</w:t>
      </w:r>
    </w:p>
    <w:p>
      <w:pPr>
        <w:spacing w:after="100" w:before="60"/>
        <w:jc w:val="left"/>
      </w:pPr>
      <w:r>
        <w:rPr>
          <w:rFonts w:ascii="Arial" w:cs="Arial" w:eastAsia="Arial" w:hAnsi="Arial"/>
          <w:b w:val="false"/>
          <w:bCs w:val="false"/>
          <w:color w:val="555555"/>
          <w:sz w:val="20"/>
          <w:szCs w:val="20"/>
        </w:rPr>
        <w:t xml:space="preserve">Every Magic Claim Link embeds a configurable split ratio (default: 70% to family, 30% to emergency savings). When the recipient claims the funds, the smart contract equivalent on Stellar automatically allocates the correct amounts. The savings portion accumulates in the sender's on-platform emergency fund balance, visible in the Insights dashboard.</w:t>
      </w:r>
    </w:p>
    <w:p>
      <w:pPr>
        <w:spacing w:after="80" w:before="0"/>
      </w:pPr>
      <w:r>
        <w:t xml:space="preserve"/>
      </w:r>
    </w:p>
    <w:p>
      <w:pPr>
        <w:pStyle w:val="Heading2"/>
        <w:spacing w:after="120" w:before="240"/>
      </w:pPr>
      <w:r>
        <w:rPr>
          <w:rFonts w:ascii="Arial" w:cs="Arial" w:eastAsia="Arial" w:hAnsi="Arial"/>
          <w:b/>
          <w:bCs/>
          <w:color w:val="0D7377"/>
          <w:sz w:val="26"/>
          <w:szCs w:val="26"/>
        </w:rPr>
        <w:t xml:space="preserve">3.3 Proof of Income Engine</w:t>
      </w:r>
    </w:p>
    <w:p>
      <w:pPr>
        <w:spacing w:after="100" w:before="60"/>
        <w:jc w:val="left"/>
      </w:pPr>
      <w:r>
        <w:rPr>
          <w:rFonts w:ascii="Arial" w:cs="Arial" w:eastAsia="Arial" w:hAnsi="Arial"/>
          <w:b w:val="false"/>
          <w:bCs w:val="false"/>
          <w:color w:val="555555"/>
          <w:sz w:val="20"/>
          <w:szCs w:val="20"/>
        </w:rPr>
        <w:t xml:space="preserve">The Insights dashboard aggregates all received transactions with timestamps, counterparty names, and amounts. Workers can export a formatted income summary — useful for bank loan applications, visa renewals, or rental agreements in Indonesia.</w:t>
      </w:r>
    </w:p>
    <w:p>
      <w:pPr>
        <w:spacing w:after="160" w:before="0"/>
      </w:pPr>
      <w:r>
        <w:t xml:space="preserve"/>
      </w:r>
    </w:p>
    <w:p>
      <w:pPr>
        <w:pStyle w:val="Heading1"/>
        <w:spacing w:after="160" w:before="320"/>
      </w:pPr>
      <w:r>
        <w:rPr>
          <w:rFonts w:ascii="Arial" w:cs="Arial" w:eastAsia="Arial" w:hAnsi="Arial"/>
          <w:b/>
          <w:bCs/>
          <w:color w:val="1A3A5C"/>
          <w:sz w:val="36"/>
          <w:szCs w:val="36"/>
        </w:rPr>
        <w:t xml:space="preserve">4. Market Opportunity &amp; Business Model</w:t>
      </w:r>
    </w:p>
    <w:p>
      <w:pPr>
        <w:pStyle w:val="Heading2"/>
        <w:spacing w:after="120" w:before="240"/>
      </w:pPr>
      <w:r>
        <w:rPr>
          <w:rFonts w:ascii="Arial" w:cs="Arial" w:eastAsia="Arial" w:hAnsi="Arial"/>
          <w:b/>
          <w:bCs/>
          <w:color w:val="0D7377"/>
          <w:sz w:val="26"/>
          <w:szCs w:val="26"/>
        </w:rPr>
        <w:t xml:space="preserve">4.1 Market Size</w:t>
      </w:r>
    </w:p>
    <w:p>
      <w:pPr>
        <w:pStyle w:val="ListParagraph"/>
        <w:numPr>
          <w:ilvl w:val="0"/>
          <w:numId w:val="2"/>
        </w:numPr>
        <w:spacing w:after="40" w:before="40"/>
      </w:pPr>
      <w:r>
        <w:rPr>
          <w:rFonts w:ascii="Arial" w:cs="Arial" w:eastAsia="Arial" w:hAnsi="Arial"/>
          <w:color w:val="555555"/>
          <w:sz w:val="20"/>
          <w:szCs w:val="20"/>
        </w:rPr>
        <w:t xml:space="preserve">Indonesian overseas workers: ~4.5 million (BNP2TKI, 2024)</w:t>
      </w:r>
    </w:p>
    <w:p>
      <w:pPr>
        <w:pStyle w:val="ListParagraph"/>
        <w:numPr>
          <w:ilvl w:val="0"/>
          <w:numId w:val="2"/>
        </w:numPr>
        <w:spacing w:after="40" w:before="40"/>
      </w:pPr>
      <w:r>
        <w:rPr>
          <w:rFonts w:ascii="Arial" w:cs="Arial" w:eastAsia="Arial" w:hAnsi="Arial"/>
          <w:color w:val="555555"/>
          <w:sz w:val="20"/>
          <w:szCs w:val="20"/>
        </w:rPr>
        <w:t xml:space="preserve">Indonesian freelancers &amp; gig workers: ~24 million (BPS, 2024)</w:t>
      </w:r>
    </w:p>
    <w:p>
      <w:pPr>
        <w:pStyle w:val="ListParagraph"/>
        <w:numPr>
          <w:ilvl w:val="0"/>
          <w:numId w:val="2"/>
        </w:numPr>
        <w:spacing w:after="40" w:before="40"/>
      </w:pPr>
      <w:r>
        <w:rPr>
          <w:rFonts w:ascii="Arial" w:cs="Arial" w:eastAsia="Arial" w:hAnsi="Arial"/>
          <w:color w:val="555555"/>
          <w:sz w:val="20"/>
          <w:szCs w:val="20"/>
        </w:rPr>
        <w:t xml:space="preserve">Annual personal remittances to Indonesia: ~$16.5 billion (World Bank)</w:t>
      </w:r>
    </w:p>
    <w:p>
      <w:pPr>
        <w:pStyle w:val="ListParagraph"/>
        <w:numPr>
          <w:ilvl w:val="0"/>
          <w:numId w:val="2"/>
        </w:numPr>
        <w:spacing w:after="40" w:before="40"/>
      </w:pPr>
      <w:r>
        <w:rPr>
          <w:rFonts w:ascii="Arial" w:cs="Arial" w:eastAsia="Arial" w:hAnsi="Arial"/>
          <w:color w:val="555555"/>
          <w:sz w:val="20"/>
          <w:szCs w:val="20"/>
        </w:rPr>
        <w:t xml:space="preserve">Average fee paid on Indonesia remittances: 4.8% — representing a $792M annual fee pool</w:t>
      </w:r>
    </w:p>
    <w:p>
      <w:pPr>
        <w:spacing w:after="80" w:before="0"/>
      </w:pPr>
      <w:r>
        <w:t xml:space="preserve"/>
      </w:r>
    </w:p>
    <w:p>
      <w:pPr>
        <w:pStyle w:val="Heading2"/>
        <w:spacing w:after="120" w:before="240"/>
      </w:pPr>
      <w:r>
        <w:rPr>
          <w:rFonts w:ascii="Arial" w:cs="Arial" w:eastAsia="Arial" w:hAnsi="Arial"/>
          <w:b/>
          <w:bCs/>
          <w:color w:val="0D7377"/>
          <w:sz w:val="26"/>
          <w:szCs w:val="26"/>
        </w:rPr>
        <w:t xml:space="preserve">4.2 Revenue Model</w:t>
      </w:r>
    </w:p>
    <w:p>
      <w:pPr>
        <w:pStyle w:val="ListParagraph"/>
        <w:numPr>
          <w:ilvl w:val="0"/>
          <w:numId w:val="2"/>
        </w:numPr>
        <w:spacing w:after="40" w:before="40"/>
      </w:pPr>
      <w:r>
        <w:rPr>
          <w:rFonts w:ascii="Arial" w:cs="Arial" w:eastAsia="Arial" w:hAnsi="Arial"/>
          <w:color w:val="555555"/>
          <w:sz w:val="20"/>
          <w:szCs w:val="20"/>
        </w:rPr>
        <w:t xml:space="preserve">Transaction fee: 0.5% per Magic Claim Link settled (vs. 4-6% industry average)</w:t>
      </w:r>
    </w:p>
    <w:p>
      <w:pPr>
        <w:pStyle w:val="ListParagraph"/>
        <w:numPr>
          <w:ilvl w:val="0"/>
          <w:numId w:val="2"/>
        </w:numPr>
        <w:spacing w:after="40" w:before="40"/>
      </w:pPr>
      <w:r>
        <w:rPr>
          <w:rFonts w:ascii="Arial" w:cs="Arial" w:eastAsia="Arial" w:hAnsi="Arial"/>
          <w:color w:val="555555"/>
          <w:sz w:val="20"/>
          <w:szCs w:val="20"/>
        </w:rPr>
        <w:t xml:space="preserve">Premium tier ($2.99/month): Unlimited claims, priority support, PDF proof-of-income exports</w:t>
      </w:r>
    </w:p>
    <w:p>
      <w:pPr>
        <w:pStyle w:val="ListParagraph"/>
        <w:numPr>
          <w:ilvl w:val="0"/>
          <w:numId w:val="2"/>
        </w:numPr>
        <w:spacing w:after="40" w:before="40"/>
      </w:pPr>
      <w:r>
        <w:rPr>
          <w:rFonts w:ascii="Arial" w:cs="Arial" w:eastAsia="Arial" w:hAnsi="Arial"/>
          <w:color w:val="555555"/>
          <w:sz w:val="20"/>
          <w:szCs w:val="20"/>
        </w:rPr>
        <w:t xml:space="preserve">B2B: HR departments and recruitment agencies pay a platform fee to onboard workers at scale</w:t>
      </w:r>
    </w:p>
    <w:p>
      <w:pPr>
        <w:pStyle w:val="ListParagraph"/>
        <w:numPr>
          <w:ilvl w:val="0"/>
          <w:numId w:val="2"/>
        </w:numPr>
        <w:spacing w:after="40" w:before="40"/>
      </w:pPr>
      <w:r>
        <w:rPr>
          <w:rFonts w:ascii="Arial" w:cs="Arial" w:eastAsia="Arial" w:hAnsi="Arial"/>
          <w:color w:val="555555"/>
          <w:sz w:val="20"/>
          <w:szCs w:val="20"/>
        </w:rPr>
        <w:t xml:space="preserve">FX spread: Small margin on USDC/IDR conversion (estimated 0.2-0.3% additional)</w:t>
      </w:r>
    </w:p>
    <w:p>
      <w:pPr>
        <w:spacing w:after="160" w:before="0"/>
      </w:pPr>
      <w:r>
        <w:t xml:space="preserve"/>
      </w:r>
    </w:p>
    <w:p>
      <w:pPr>
        <w:pStyle w:val="Heading1"/>
        <w:spacing w:after="160" w:before="320"/>
      </w:pPr>
      <w:r>
        <w:rPr>
          <w:rFonts w:ascii="Arial" w:cs="Arial" w:eastAsia="Arial" w:hAnsi="Arial"/>
          <w:b/>
          <w:bCs/>
          <w:color w:val="1A3A5C"/>
          <w:sz w:val="36"/>
          <w:szCs w:val="36"/>
        </w:rPr>
        <w:t xml:space="preserve">5. Competitive Landscape</w:t>
      </w:r>
    </w:p>
    <w:p>
      <w:pPr>
        <w:spacing w:after="100" w:before="60"/>
        <w:jc w:val="left"/>
      </w:pPr>
      <w:r>
        <w:rPr>
          <w:rFonts w:ascii="Arial" w:cs="Arial" w:eastAsia="Arial" w:hAnsi="Arial"/>
          <w:b w:val="false"/>
          <w:bCs w:val="false"/>
          <w:color w:val="555555"/>
          <w:sz w:val="20"/>
          <w:szCs w:val="20"/>
        </w:rPr>
        <w:t xml:space="preserve">The table below compares StellarNest against leading remittance services and traditional banks across key dimensions relevant to the APAC migrant worker use case:</w:t>
      </w:r>
    </w:p>
    <w:p>
      <w:pPr>
        <w:spacing w:after="12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1680"/>
        <w:gridCol w:w="1200"/>
      </w:tblGrid>
      <w:tr>
        <w:trPr>
          <w:tblHeader/>
        </w:trPr>
        <w:tc>
          <w:tcPr>
            <w:tcW w:type="dxa" w:w="2400"/>
            <w:tcBorders>
              <w:top w:val="single" w:color="D0E4F0" w:sz="4"/>
              <w:left w:val="single" w:color="D0E4F0" w:sz="4"/>
              <w:bottom w:val="single" w:color="D0E4F0" w:sz="4"/>
              <w:right w:val="single" w:color="D0E4F0" w:sz="4"/>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Feature</w:t>
            </w:r>
          </w:p>
        </w:tc>
        <w:tc>
          <w:tcPr>
            <w:tcW w:type="dxa" w:w="1600"/>
            <w:tcBorders>
              <w:top w:val="single" w:color="D0E4F0" w:sz="4"/>
              <w:left w:val="single" w:color="D0E4F0" w:sz="4"/>
              <w:bottom w:val="single" w:color="D0E4F0" w:sz="4"/>
              <w:right w:val="single" w:color="D0E4F0" w:sz="4"/>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StellarNest</w:t>
            </w:r>
          </w:p>
        </w:tc>
        <w:tc>
          <w:tcPr>
            <w:tcW w:type="dxa" w:w="1600"/>
            <w:tcBorders>
              <w:top w:val="single" w:color="D0E4F0" w:sz="4"/>
              <w:left w:val="single" w:color="D0E4F0" w:sz="4"/>
              <w:bottom w:val="single" w:color="D0E4F0" w:sz="4"/>
              <w:right w:val="single" w:color="D0E4F0" w:sz="4"/>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Wise</w:t>
            </w:r>
          </w:p>
        </w:tc>
        <w:tc>
          <w:tcPr>
            <w:tcW w:type="dxa" w:w="1600"/>
            <w:tcBorders>
              <w:top w:val="single" w:color="D0E4F0" w:sz="4"/>
              <w:left w:val="single" w:color="D0E4F0" w:sz="4"/>
              <w:bottom w:val="single" w:color="D0E4F0" w:sz="4"/>
              <w:right w:val="single" w:color="D0E4F0" w:sz="4"/>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Remitly</w:t>
            </w:r>
          </w:p>
        </w:tc>
        <w:tc>
          <w:tcPr>
            <w:tcW w:type="dxa" w:w="1680"/>
            <w:tcBorders>
              <w:top w:val="single" w:color="D0E4F0" w:sz="4"/>
              <w:left w:val="single" w:color="D0E4F0" w:sz="4"/>
              <w:bottom w:val="single" w:color="D0E4F0" w:sz="4"/>
              <w:right w:val="single" w:color="D0E4F0" w:sz="4"/>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Western Union</w:t>
            </w:r>
          </w:p>
        </w:tc>
        <w:tc>
          <w:tcPr>
            <w:tcW w:type="dxa" w:w="1200"/>
            <w:tcBorders>
              <w:top w:val="single" w:color="D0E4F0" w:sz="4"/>
              <w:left w:val="single" w:color="D0E4F0" w:sz="4"/>
              <w:bottom w:val="single" w:color="D0E4F0" w:sz="4"/>
              <w:right w:val="single" w:color="D0E4F0" w:sz="4"/>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Traditional Bank</w:t>
            </w:r>
          </w:p>
        </w:tc>
      </w:tr>
      <w:tr>
        <w:tc>
          <w:tcPr>
            <w:tcW w:type="dxa" w:w="240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18"/>
                <w:szCs w:val="18"/>
              </w:rPr>
              <w:t xml:space="preserve">Cross-border payment</w:t>
            </w:r>
          </w:p>
        </w:tc>
        <w:tc>
          <w:tcPr>
            <w:tcW w:type="dxa" w:w="1600"/>
            <w:gridSpan w:val="1"/>
            <w:tcBorders>
              <w:top w:val="single" w:color="D0E4F0" w:sz="4"/>
              <w:left w:val="single" w:color="D0E4F0" w:sz="4"/>
              <w:bottom w:val="single" w:color="D0E4F0" w:sz="4"/>
              <w:right w:val="single" w:color="D0E4F0" w:sz="4"/>
            </w:tcBorders>
            <w:shd w:fill="EAF4FB" w:val="clear"/>
            <w:tcMar>
              <w:top w:type="dxa" w:w="80"/>
              <w:left w:type="dxa" w:w="120"/>
              <w:bottom w:type="dxa" w:w="80"/>
              <w:right w:type="dxa" w:w="120"/>
            </w:tcMar>
            <w:vAlign w:val="top"/>
          </w:tcPr>
          <w:p>
            <w:pPr>
              <w:jc w:val="center"/>
            </w:pPr>
            <w:r>
              <w:rPr>
                <w:rFonts w:ascii="Arial" w:cs="Arial" w:eastAsia="Arial" w:hAnsi="Arial"/>
                <w:b/>
                <w:bCs/>
                <w:color w:val="1E2A3A"/>
                <w:sz w:val="18"/>
                <w:szCs w:val="18"/>
              </w:rPr>
              <w:t xml:space="preserve">Yes</w:t>
            </w:r>
          </w:p>
        </w:tc>
        <w:tc>
          <w:tcPr>
            <w:tcW w:type="dxa" w:w="1600"/>
            <w:gridSpan w:val="1"/>
            <w:tcBorders>
              <w:top w:val="single" w:color="D0E4F0" w:sz="4"/>
              <w:left w:val="single" w:color="D0E4F0" w:sz="4"/>
              <w:bottom w:val="single" w:color="D0E4F0" w:sz="4"/>
              <w:right w:val="single" w:color="D0E4F0" w:sz="4"/>
            </w:tcBorders>
            <w:shd w:fill="F5F5F5" w:val="clear"/>
            <w:tcMar>
              <w:top w:type="dxa" w:w="80"/>
              <w:left w:type="dxa" w:w="120"/>
              <w:bottom w:type="dxa" w:w="80"/>
              <w:right w:type="dxa" w:w="120"/>
            </w:tcMar>
            <w:vAlign w:val="top"/>
          </w:tcPr>
          <w:p>
            <w:pPr>
              <w:jc w:val="center"/>
            </w:pPr>
            <w:r>
              <w:rPr>
                <w:rFonts w:ascii="Arial" w:cs="Arial" w:eastAsia="Arial" w:hAnsi="Arial"/>
                <w:b w:val="false"/>
                <w:bCs w:val="false"/>
                <w:color w:val="1E2A3A"/>
                <w:sz w:val="18"/>
                <w:szCs w:val="18"/>
              </w:rPr>
              <w:t xml:space="preserve">Yes</w:t>
            </w:r>
          </w:p>
        </w:tc>
        <w:tc>
          <w:tcPr>
            <w:tcW w:type="dxa" w:w="1600"/>
            <w:gridSpan w:val="1"/>
            <w:tcBorders>
              <w:top w:val="single" w:color="D0E4F0" w:sz="4"/>
              <w:left w:val="single" w:color="D0E4F0" w:sz="4"/>
              <w:bottom w:val="single" w:color="D0E4F0" w:sz="4"/>
              <w:right w:val="single" w:color="D0E4F0" w:sz="4"/>
            </w:tcBorders>
            <w:shd w:fill="F5F5F5" w:val="clear"/>
            <w:tcMar>
              <w:top w:type="dxa" w:w="80"/>
              <w:left w:type="dxa" w:w="120"/>
              <w:bottom w:type="dxa" w:w="80"/>
              <w:right w:type="dxa" w:w="120"/>
            </w:tcMar>
            <w:vAlign w:val="top"/>
          </w:tcPr>
          <w:p>
            <w:pPr>
              <w:jc w:val="center"/>
            </w:pPr>
            <w:r>
              <w:rPr>
                <w:rFonts w:ascii="Arial" w:cs="Arial" w:eastAsia="Arial" w:hAnsi="Arial"/>
                <w:b w:val="false"/>
                <w:bCs w:val="false"/>
                <w:color w:val="1E2A3A"/>
                <w:sz w:val="18"/>
                <w:szCs w:val="18"/>
              </w:rPr>
              <w:t xml:space="preserve">Yes</w:t>
            </w:r>
          </w:p>
        </w:tc>
        <w:tc>
          <w:tcPr>
            <w:tcW w:type="dxa" w:w="1680"/>
            <w:gridSpan w:val="1"/>
            <w:tcBorders>
              <w:top w:val="single" w:color="D0E4F0" w:sz="4"/>
              <w:left w:val="single" w:color="D0E4F0" w:sz="4"/>
              <w:bottom w:val="single" w:color="D0E4F0" w:sz="4"/>
              <w:right w:val="single" w:color="D0E4F0" w:sz="4"/>
            </w:tcBorders>
            <w:shd w:fill="F5F5F5" w:val="clear"/>
            <w:tcMar>
              <w:top w:type="dxa" w:w="80"/>
              <w:left w:type="dxa" w:w="120"/>
              <w:bottom w:type="dxa" w:w="80"/>
              <w:right w:type="dxa" w:w="120"/>
            </w:tcMar>
            <w:vAlign w:val="top"/>
          </w:tcPr>
          <w:p>
            <w:pPr>
              <w:jc w:val="center"/>
            </w:pPr>
            <w:r>
              <w:rPr>
                <w:rFonts w:ascii="Arial" w:cs="Arial" w:eastAsia="Arial" w:hAnsi="Arial"/>
                <w:b w:val="false"/>
                <w:bCs w:val="false"/>
                <w:color w:val="1E2A3A"/>
                <w:sz w:val="18"/>
                <w:szCs w:val="18"/>
              </w:rPr>
              <w:t xml:space="preserve">Yes</w:t>
            </w:r>
          </w:p>
        </w:tc>
        <w:tc>
          <w:tcPr>
            <w:tcW w:type="dxa" w:w="1200"/>
            <w:gridSpan w:val="1"/>
            <w:tcBorders>
              <w:top w:val="single" w:color="D0E4F0" w:sz="4"/>
              <w:left w:val="single" w:color="D0E4F0" w:sz="4"/>
              <w:bottom w:val="single" w:color="D0E4F0" w:sz="4"/>
              <w:right w:val="single" w:color="D0E4F0" w:sz="4"/>
            </w:tcBorders>
            <w:shd w:fill="F5F5F5" w:val="clear"/>
            <w:tcMar>
              <w:top w:type="dxa" w:w="80"/>
              <w:left w:type="dxa" w:w="120"/>
              <w:bottom w:type="dxa" w:w="80"/>
              <w:right w:type="dxa" w:w="120"/>
            </w:tcMar>
            <w:vAlign w:val="top"/>
          </w:tcPr>
          <w:p>
            <w:pPr>
              <w:jc w:val="center"/>
            </w:pPr>
            <w:r>
              <w:rPr>
                <w:rFonts w:ascii="Arial" w:cs="Arial" w:eastAsia="Arial" w:hAnsi="Arial"/>
                <w:b w:val="false"/>
                <w:bCs w:val="false"/>
                <w:color w:val="1E2A3A"/>
                <w:sz w:val="18"/>
                <w:szCs w:val="18"/>
              </w:rPr>
              <w:t xml:space="preserve">Yes</w:t>
            </w:r>
          </w:p>
        </w:tc>
      </w:tr>
      <w:tr>
        <w:tc>
          <w:tcPr>
            <w:tcW w:type="dxa" w:w="240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18"/>
                <w:szCs w:val="18"/>
              </w:rPr>
              <w:t xml:space="preserve">Blockchain-powered (Stellar)</w:t>
            </w:r>
          </w:p>
        </w:tc>
        <w:tc>
          <w:tcPr>
            <w:tcW w:type="dxa" w:w="1600"/>
            <w:gridSpan w:val="1"/>
            <w:tcBorders>
              <w:top w:val="single" w:color="D0E4F0" w:sz="4"/>
              <w:left w:val="single" w:color="D0E4F0" w:sz="4"/>
              <w:bottom w:val="single" w:color="D0E4F0" w:sz="4"/>
              <w:right w:val="single" w:color="D0E4F0" w:sz="4"/>
            </w:tcBorders>
            <w:shd w:fill="EAF4FB" w:val="clear"/>
            <w:tcMar>
              <w:top w:type="dxa" w:w="80"/>
              <w:left w:type="dxa" w:w="120"/>
              <w:bottom w:type="dxa" w:w="80"/>
              <w:right w:type="dxa" w:w="120"/>
            </w:tcMar>
            <w:vAlign w:val="top"/>
          </w:tcPr>
          <w:p>
            <w:pPr>
              <w:jc w:val="center"/>
            </w:pPr>
            <w:r>
              <w:rPr>
                <w:rFonts w:ascii="Arial" w:cs="Arial" w:eastAsia="Arial" w:hAnsi="Arial"/>
                <w:b/>
                <w:bCs/>
                <w:color w:val="1E2A3A"/>
                <w:sz w:val="18"/>
                <w:szCs w:val="18"/>
              </w:rPr>
              <w:t xml:space="preserve">Yes</w:t>
            </w:r>
          </w:p>
        </w:tc>
        <w:tc>
          <w:tcPr>
            <w:tcW w:type="dxa" w:w="1600"/>
            <w:gridSpan w:val="1"/>
            <w:tcBorders>
              <w:top w:val="single" w:color="D0E4F0" w:sz="4"/>
              <w:left w:val="single" w:color="D0E4F0" w:sz="4"/>
              <w:bottom w:val="single" w:color="D0E4F0" w:sz="4"/>
              <w:right w:val="single" w:color="D0E4F0" w:sz="4"/>
            </w:tcBorders>
            <w:shd w:fill="FAFAFA" w:val="clear"/>
            <w:tcMar>
              <w:top w:type="dxa" w:w="80"/>
              <w:left w:type="dxa" w:w="120"/>
              <w:bottom w:type="dxa" w:w="80"/>
              <w:right w:type="dxa" w:w="120"/>
            </w:tcMar>
            <w:vAlign w:val="top"/>
          </w:tcPr>
          <w:p>
            <w:pPr>
              <w:jc w:val="center"/>
            </w:pPr>
            <w:r>
              <w:rPr>
                <w:rFonts w:ascii="Arial" w:cs="Arial" w:eastAsia="Arial" w:hAnsi="Arial"/>
                <w:b w:val="false"/>
                <w:bCs w:val="false"/>
                <w:color w:val="1E2A3A"/>
                <w:sz w:val="18"/>
                <w:szCs w:val="18"/>
              </w:rPr>
              <w:t xml:space="preserve">No</w:t>
            </w:r>
          </w:p>
        </w:tc>
        <w:tc>
          <w:tcPr>
            <w:tcW w:type="dxa" w:w="1600"/>
            <w:gridSpan w:val="1"/>
            <w:tcBorders>
              <w:top w:val="single" w:color="D0E4F0" w:sz="4"/>
              <w:left w:val="single" w:color="D0E4F0" w:sz="4"/>
              <w:bottom w:val="single" w:color="D0E4F0" w:sz="4"/>
              <w:right w:val="single" w:color="D0E4F0" w:sz="4"/>
            </w:tcBorders>
            <w:shd w:fill="FAFAFA" w:val="clear"/>
            <w:tcMar>
              <w:top w:type="dxa" w:w="80"/>
              <w:left w:type="dxa" w:w="120"/>
              <w:bottom w:type="dxa" w:w="80"/>
              <w:right w:type="dxa" w:w="120"/>
            </w:tcMar>
            <w:vAlign w:val="top"/>
          </w:tcPr>
          <w:p>
            <w:pPr>
              <w:jc w:val="center"/>
            </w:pPr>
            <w:r>
              <w:rPr>
                <w:rFonts w:ascii="Arial" w:cs="Arial" w:eastAsia="Arial" w:hAnsi="Arial"/>
                <w:b w:val="false"/>
                <w:bCs w:val="false"/>
                <w:color w:val="1E2A3A"/>
                <w:sz w:val="18"/>
                <w:szCs w:val="18"/>
              </w:rPr>
              <w:t xml:space="preserve">No</w:t>
            </w:r>
          </w:p>
        </w:tc>
        <w:tc>
          <w:tcPr>
            <w:tcW w:type="dxa" w:w="1680"/>
            <w:gridSpan w:val="1"/>
            <w:tcBorders>
              <w:top w:val="single" w:color="D0E4F0" w:sz="4"/>
              <w:left w:val="single" w:color="D0E4F0" w:sz="4"/>
              <w:bottom w:val="single" w:color="D0E4F0" w:sz="4"/>
              <w:right w:val="single" w:color="D0E4F0" w:sz="4"/>
            </w:tcBorders>
            <w:shd w:fill="FAFAFA" w:val="clear"/>
            <w:tcMar>
              <w:top w:type="dxa" w:w="80"/>
              <w:left w:type="dxa" w:w="120"/>
              <w:bottom w:type="dxa" w:w="80"/>
              <w:right w:type="dxa" w:w="120"/>
            </w:tcMar>
            <w:vAlign w:val="top"/>
          </w:tcPr>
          <w:p>
            <w:pPr>
              <w:jc w:val="center"/>
            </w:pPr>
            <w:r>
              <w:rPr>
                <w:rFonts w:ascii="Arial" w:cs="Arial" w:eastAsia="Arial" w:hAnsi="Arial"/>
                <w:b w:val="false"/>
                <w:bCs w:val="false"/>
                <w:color w:val="1E2A3A"/>
                <w:sz w:val="18"/>
                <w:szCs w:val="18"/>
              </w:rPr>
              <w:t xml:space="preserve">No</w:t>
            </w:r>
          </w:p>
        </w:tc>
        <w:tc>
          <w:tcPr>
            <w:tcW w:type="dxa" w:w="1200"/>
            <w:gridSpan w:val="1"/>
            <w:tcBorders>
              <w:top w:val="single" w:color="D0E4F0" w:sz="4"/>
              <w:left w:val="single" w:color="D0E4F0" w:sz="4"/>
              <w:bottom w:val="single" w:color="D0E4F0" w:sz="4"/>
              <w:right w:val="single" w:color="D0E4F0" w:sz="4"/>
            </w:tcBorders>
            <w:shd w:fill="FAFAFA" w:val="clear"/>
            <w:tcMar>
              <w:top w:type="dxa" w:w="80"/>
              <w:left w:type="dxa" w:w="120"/>
              <w:bottom w:type="dxa" w:w="80"/>
              <w:right w:type="dxa" w:w="120"/>
            </w:tcMar>
            <w:vAlign w:val="top"/>
          </w:tcPr>
          <w:p>
            <w:pPr>
              <w:jc w:val="center"/>
            </w:pPr>
            <w:r>
              <w:rPr>
                <w:rFonts w:ascii="Arial" w:cs="Arial" w:eastAsia="Arial" w:hAnsi="Arial"/>
                <w:b w:val="false"/>
                <w:bCs w:val="false"/>
                <w:color w:val="1E2A3A"/>
                <w:sz w:val="18"/>
                <w:szCs w:val="18"/>
              </w:rPr>
              <w:t xml:space="preserve">No</w:t>
            </w:r>
          </w:p>
        </w:tc>
      </w:tr>
      <w:tr>
        <w:tc>
          <w:tcPr>
            <w:tcW w:type="dxa" w:w="240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18"/>
                <w:szCs w:val="18"/>
              </w:rPr>
              <w:t xml:space="preserve">Magic Claim Links</w:t>
            </w:r>
          </w:p>
        </w:tc>
        <w:tc>
          <w:tcPr>
            <w:tcW w:type="dxa" w:w="1600"/>
            <w:gridSpan w:val="1"/>
            <w:tcBorders>
              <w:top w:val="single" w:color="D0E4F0" w:sz="4"/>
              <w:left w:val="single" w:color="D0E4F0" w:sz="4"/>
              <w:bottom w:val="single" w:color="D0E4F0" w:sz="4"/>
              <w:right w:val="single" w:color="D0E4F0" w:sz="4"/>
            </w:tcBorders>
            <w:shd w:fill="EAF4FB" w:val="clear"/>
            <w:tcMar>
              <w:top w:type="dxa" w:w="80"/>
              <w:left w:type="dxa" w:w="120"/>
              <w:bottom w:type="dxa" w:w="80"/>
              <w:right w:type="dxa" w:w="120"/>
            </w:tcMar>
            <w:vAlign w:val="top"/>
          </w:tcPr>
          <w:p>
            <w:pPr>
              <w:jc w:val="center"/>
            </w:pPr>
            <w:r>
              <w:rPr>
                <w:rFonts w:ascii="Arial" w:cs="Arial" w:eastAsia="Arial" w:hAnsi="Arial"/>
                <w:b/>
                <w:bCs/>
                <w:color w:val="1E2A3A"/>
                <w:sz w:val="18"/>
                <w:szCs w:val="18"/>
              </w:rPr>
              <w:t xml:space="preserve">Yes</w:t>
            </w:r>
          </w:p>
        </w:tc>
        <w:tc>
          <w:tcPr>
            <w:tcW w:type="dxa" w:w="1600"/>
            <w:gridSpan w:val="1"/>
            <w:tcBorders>
              <w:top w:val="single" w:color="D0E4F0" w:sz="4"/>
              <w:left w:val="single" w:color="D0E4F0" w:sz="4"/>
              <w:bottom w:val="single" w:color="D0E4F0" w:sz="4"/>
              <w:right w:val="single" w:color="D0E4F0" w:sz="4"/>
            </w:tcBorders>
            <w:shd w:fill="FAFAFA" w:val="clear"/>
            <w:tcMar>
              <w:top w:type="dxa" w:w="80"/>
              <w:left w:type="dxa" w:w="120"/>
              <w:bottom w:type="dxa" w:w="80"/>
              <w:right w:type="dxa" w:w="120"/>
            </w:tcMar>
            <w:vAlign w:val="top"/>
          </w:tcPr>
          <w:p>
            <w:pPr>
              <w:jc w:val="center"/>
            </w:pPr>
            <w:r>
              <w:rPr>
                <w:rFonts w:ascii="Arial" w:cs="Arial" w:eastAsia="Arial" w:hAnsi="Arial"/>
                <w:b w:val="false"/>
                <w:bCs w:val="false"/>
                <w:color w:val="1E2A3A"/>
                <w:sz w:val="18"/>
                <w:szCs w:val="18"/>
              </w:rPr>
              <w:t xml:space="preserve">No</w:t>
            </w:r>
          </w:p>
        </w:tc>
        <w:tc>
          <w:tcPr>
            <w:tcW w:type="dxa" w:w="1600"/>
            <w:gridSpan w:val="1"/>
            <w:tcBorders>
              <w:top w:val="single" w:color="D0E4F0" w:sz="4"/>
              <w:left w:val="single" w:color="D0E4F0" w:sz="4"/>
              <w:bottom w:val="single" w:color="D0E4F0" w:sz="4"/>
              <w:right w:val="single" w:color="D0E4F0" w:sz="4"/>
            </w:tcBorders>
            <w:shd w:fill="FAFAFA" w:val="clear"/>
            <w:tcMar>
              <w:top w:type="dxa" w:w="80"/>
              <w:left w:type="dxa" w:w="120"/>
              <w:bottom w:type="dxa" w:w="80"/>
              <w:right w:type="dxa" w:w="120"/>
            </w:tcMar>
            <w:vAlign w:val="top"/>
          </w:tcPr>
          <w:p>
            <w:pPr>
              <w:jc w:val="center"/>
            </w:pPr>
            <w:r>
              <w:rPr>
                <w:rFonts w:ascii="Arial" w:cs="Arial" w:eastAsia="Arial" w:hAnsi="Arial"/>
                <w:b w:val="false"/>
                <w:bCs w:val="false"/>
                <w:color w:val="1E2A3A"/>
                <w:sz w:val="18"/>
                <w:szCs w:val="18"/>
              </w:rPr>
              <w:t xml:space="preserve">No</w:t>
            </w:r>
          </w:p>
        </w:tc>
        <w:tc>
          <w:tcPr>
            <w:tcW w:type="dxa" w:w="1680"/>
            <w:gridSpan w:val="1"/>
            <w:tcBorders>
              <w:top w:val="single" w:color="D0E4F0" w:sz="4"/>
              <w:left w:val="single" w:color="D0E4F0" w:sz="4"/>
              <w:bottom w:val="single" w:color="D0E4F0" w:sz="4"/>
              <w:right w:val="single" w:color="D0E4F0" w:sz="4"/>
            </w:tcBorders>
            <w:shd w:fill="FAFAFA" w:val="clear"/>
            <w:tcMar>
              <w:top w:type="dxa" w:w="80"/>
              <w:left w:type="dxa" w:w="120"/>
              <w:bottom w:type="dxa" w:w="80"/>
              <w:right w:type="dxa" w:w="120"/>
            </w:tcMar>
            <w:vAlign w:val="top"/>
          </w:tcPr>
          <w:p>
            <w:pPr>
              <w:jc w:val="center"/>
            </w:pPr>
            <w:r>
              <w:rPr>
                <w:rFonts w:ascii="Arial" w:cs="Arial" w:eastAsia="Arial" w:hAnsi="Arial"/>
                <w:b w:val="false"/>
                <w:bCs w:val="false"/>
                <w:color w:val="1E2A3A"/>
                <w:sz w:val="18"/>
                <w:szCs w:val="18"/>
              </w:rPr>
              <w:t xml:space="preserve">No</w:t>
            </w:r>
          </w:p>
        </w:tc>
        <w:tc>
          <w:tcPr>
            <w:tcW w:type="dxa" w:w="1200"/>
            <w:gridSpan w:val="1"/>
            <w:tcBorders>
              <w:top w:val="single" w:color="D0E4F0" w:sz="4"/>
              <w:left w:val="single" w:color="D0E4F0" w:sz="4"/>
              <w:bottom w:val="single" w:color="D0E4F0" w:sz="4"/>
              <w:right w:val="single" w:color="D0E4F0" w:sz="4"/>
            </w:tcBorders>
            <w:shd w:fill="FAFAFA" w:val="clear"/>
            <w:tcMar>
              <w:top w:type="dxa" w:w="80"/>
              <w:left w:type="dxa" w:w="120"/>
              <w:bottom w:type="dxa" w:w="80"/>
              <w:right w:type="dxa" w:w="120"/>
            </w:tcMar>
            <w:vAlign w:val="top"/>
          </w:tcPr>
          <w:p>
            <w:pPr>
              <w:jc w:val="center"/>
            </w:pPr>
            <w:r>
              <w:rPr>
                <w:rFonts w:ascii="Arial" w:cs="Arial" w:eastAsia="Arial" w:hAnsi="Arial"/>
                <w:b w:val="false"/>
                <w:bCs w:val="false"/>
                <w:color w:val="1E2A3A"/>
                <w:sz w:val="18"/>
                <w:szCs w:val="18"/>
              </w:rPr>
              <w:t xml:space="preserve">No</w:t>
            </w:r>
          </w:p>
        </w:tc>
      </w:tr>
      <w:tr>
        <w:tc>
          <w:tcPr>
            <w:tcW w:type="dxa" w:w="240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18"/>
                <w:szCs w:val="18"/>
              </w:rPr>
              <w:t xml:space="preserve">Split-Routing (Family + Savings)</w:t>
            </w:r>
          </w:p>
        </w:tc>
        <w:tc>
          <w:tcPr>
            <w:tcW w:type="dxa" w:w="1600"/>
            <w:gridSpan w:val="1"/>
            <w:tcBorders>
              <w:top w:val="single" w:color="D0E4F0" w:sz="4"/>
              <w:left w:val="single" w:color="D0E4F0" w:sz="4"/>
              <w:bottom w:val="single" w:color="D0E4F0" w:sz="4"/>
              <w:right w:val="single" w:color="D0E4F0" w:sz="4"/>
            </w:tcBorders>
            <w:shd w:fill="EAF4FB" w:val="clear"/>
            <w:tcMar>
              <w:top w:type="dxa" w:w="80"/>
              <w:left w:type="dxa" w:w="120"/>
              <w:bottom w:type="dxa" w:w="80"/>
              <w:right w:type="dxa" w:w="120"/>
            </w:tcMar>
            <w:vAlign w:val="top"/>
          </w:tcPr>
          <w:p>
            <w:pPr>
              <w:jc w:val="center"/>
            </w:pPr>
            <w:r>
              <w:rPr>
                <w:rFonts w:ascii="Arial" w:cs="Arial" w:eastAsia="Arial" w:hAnsi="Arial"/>
                <w:b/>
                <w:bCs/>
                <w:color w:val="1E2A3A"/>
                <w:sz w:val="18"/>
                <w:szCs w:val="18"/>
              </w:rPr>
              <w:t xml:space="preserve">Yes</w:t>
            </w:r>
          </w:p>
        </w:tc>
        <w:tc>
          <w:tcPr>
            <w:tcW w:type="dxa" w:w="1600"/>
            <w:gridSpan w:val="1"/>
            <w:tcBorders>
              <w:top w:val="single" w:color="D0E4F0" w:sz="4"/>
              <w:left w:val="single" w:color="D0E4F0" w:sz="4"/>
              <w:bottom w:val="single" w:color="D0E4F0" w:sz="4"/>
              <w:right w:val="single" w:color="D0E4F0" w:sz="4"/>
            </w:tcBorders>
            <w:shd w:fill="FAFAFA" w:val="clear"/>
            <w:tcMar>
              <w:top w:type="dxa" w:w="80"/>
              <w:left w:type="dxa" w:w="120"/>
              <w:bottom w:type="dxa" w:w="80"/>
              <w:right w:type="dxa" w:w="120"/>
            </w:tcMar>
            <w:vAlign w:val="top"/>
          </w:tcPr>
          <w:p>
            <w:pPr>
              <w:jc w:val="center"/>
            </w:pPr>
            <w:r>
              <w:rPr>
                <w:rFonts w:ascii="Arial" w:cs="Arial" w:eastAsia="Arial" w:hAnsi="Arial"/>
                <w:b w:val="false"/>
                <w:bCs w:val="false"/>
                <w:color w:val="1E2A3A"/>
                <w:sz w:val="18"/>
                <w:szCs w:val="18"/>
              </w:rPr>
              <w:t xml:space="preserve">No</w:t>
            </w:r>
          </w:p>
        </w:tc>
        <w:tc>
          <w:tcPr>
            <w:tcW w:type="dxa" w:w="160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A3A"/>
                <w:sz w:val="18"/>
                <w:szCs w:val="18"/>
              </w:rPr>
              <w:t xml:space="preserve">Partial</w:t>
            </w:r>
          </w:p>
        </w:tc>
        <w:tc>
          <w:tcPr>
            <w:tcW w:type="dxa" w:w="1680"/>
            <w:gridSpan w:val="1"/>
            <w:tcBorders>
              <w:top w:val="single" w:color="D0E4F0" w:sz="4"/>
              <w:left w:val="single" w:color="D0E4F0" w:sz="4"/>
              <w:bottom w:val="single" w:color="D0E4F0" w:sz="4"/>
              <w:right w:val="single" w:color="D0E4F0" w:sz="4"/>
            </w:tcBorders>
            <w:shd w:fill="FAFAFA" w:val="clear"/>
            <w:tcMar>
              <w:top w:type="dxa" w:w="80"/>
              <w:left w:type="dxa" w:w="120"/>
              <w:bottom w:type="dxa" w:w="80"/>
              <w:right w:type="dxa" w:w="120"/>
            </w:tcMar>
            <w:vAlign w:val="top"/>
          </w:tcPr>
          <w:p>
            <w:pPr>
              <w:jc w:val="center"/>
            </w:pPr>
            <w:r>
              <w:rPr>
                <w:rFonts w:ascii="Arial" w:cs="Arial" w:eastAsia="Arial" w:hAnsi="Arial"/>
                <w:b w:val="false"/>
                <w:bCs w:val="false"/>
                <w:color w:val="1E2A3A"/>
                <w:sz w:val="18"/>
                <w:szCs w:val="18"/>
              </w:rPr>
              <w:t xml:space="preserve">No</w:t>
            </w:r>
          </w:p>
        </w:tc>
        <w:tc>
          <w:tcPr>
            <w:tcW w:type="dxa" w:w="1200"/>
            <w:gridSpan w:val="1"/>
            <w:tcBorders>
              <w:top w:val="single" w:color="D0E4F0" w:sz="4"/>
              <w:left w:val="single" w:color="D0E4F0" w:sz="4"/>
              <w:bottom w:val="single" w:color="D0E4F0" w:sz="4"/>
              <w:right w:val="single" w:color="D0E4F0" w:sz="4"/>
            </w:tcBorders>
            <w:shd w:fill="FAFAFA" w:val="clear"/>
            <w:tcMar>
              <w:top w:type="dxa" w:w="80"/>
              <w:left w:type="dxa" w:w="120"/>
              <w:bottom w:type="dxa" w:w="80"/>
              <w:right w:type="dxa" w:w="120"/>
            </w:tcMar>
            <w:vAlign w:val="top"/>
          </w:tcPr>
          <w:p>
            <w:pPr>
              <w:jc w:val="center"/>
            </w:pPr>
            <w:r>
              <w:rPr>
                <w:rFonts w:ascii="Arial" w:cs="Arial" w:eastAsia="Arial" w:hAnsi="Arial"/>
                <w:b w:val="false"/>
                <w:bCs w:val="false"/>
                <w:color w:val="1E2A3A"/>
                <w:sz w:val="18"/>
                <w:szCs w:val="18"/>
              </w:rPr>
              <w:t xml:space="preserve">No</w:t>
            </w:r>
          </w:p>
        </w:tc>
      </w:tr>
      <w:tr>
        <w:tc>
          <w:tcPr>
            <w:tcW w:type="dxa" w:w="240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18"/>
                <w:szCs w:val="18"/>
              </w:rPr>
              <w:t xml:space="preserve">Built-in Proof of Income</w:t>
            </w:r>
          </w:p>
        </w:tc>
        <w:tc>
          <w:tcPr>
            <w:tcW w:type="dxa" w:w="1600"/>
            <w:gridSpan w:val="1"/>
            <w:tcBorders>
              <w:top w:val="single" w:color="D0E4F0" w:sz="4"/>
              <w:left w:val="single" w:color="D0E4F0" w:sz="4"/>
              <w:bottom w:val="single" w:color="D0E4F0" w:sz="4"/>
              <w:right w:val="single" w:color="D0E4F0" w:sz="4"/>
            </w:tcBorders>
            <w:shd w:fill="EAF4FB" w:val="clear"/>
            <w:tcMar>
              <w:top w:type="dxa" w:w="80"/>
              <w:left w:type="dxa" w:w="120"/>
              <w:bottom w:type="dxa" w:w="80"/>
              <w:right w:type="dxa" w:w="120"/>
            </w:tcMar>
            <w:vAlign w:val="top"/>
          </w:tcPr>
          <w:p>
            <w:pPr>
              <w:jc w:val="center"/>
            </w:pPr>
            <w:r>
              <w:rPr>
                <w:rFonts w:ascii="Arial" w:cs="Arial" w:eastAsia="Arial" w:hAnsi="Arial"/>
                <w:b/>
                <w:bCs/>
                <w:color w:val="1E2A3A"/>
                <w:sz w:val="18"/>
                <w:szCs w:val="18"/>
              </w:rPr>
              <w:t xml:space="preserve">Yes</w:t>
            </w:r>
          </w:p>
        </w:tc>
        <w:tc>
          <w:tcPr>
            <w:tcW w:type="dxa" w:w="1600"/>
            <w:gridSpan w:val="1"/>
            <w:tcBorders>
              <w:top w:val="single" w:color="D0E4F0" w:sz="4"/>
              <w:left w:val="single" w:color="D0E4F0" w:sz="4"/>
              <w:bottom w:val="single" w:color="D0E4F0" w:sz="4"/>
              <w:right w:val="single" w:color="D0E4F0" w:sz="4"/>
            </w:tcBorders>
            <w:shd w:fill="FAFAFA" w:val="clear"/>
            <w:tcMar>
              <w:top w:type="dxa" w:w="80"/>
              <w:left w:type="dxa" w:w="120"/>
              <w:bottom w:type="dxa" w:w="80"/>
              <w:right w:type="dxa" w:w="120"/>
            </w:tcMar>
            <w:vAlign w:val="top"/>
          </w:tcPr>
          <w:p>
            <w:pPr>
              <w:jc w:val="center"/>
            </w:pPr>
            <w:r>
              <w:rPr>
                <w:rFonts w:ascii="Arial" w:cs="Arial" w:eastAsia="Arial" w:hAnsi="Arial"/>
                <w:b w:val="false"/>
                <w:bCs w:val="false"/>
                <w:color w:val="1E2A3A"/>
                <w:sz w:val="18"/>
                <w:szCs w:val="18"/>
              </w:rPr>
              <w:t xml:space="preserve">No</w:t>
            </w:r>
          </w:p>
        </w:tc>
        <w:tc>
          <w:tcPr>
            <w:tcW w:type="dxa" w:w="1600"/>
            <w:gridSpan w:val="1"/>
            <w:tcBorders>
              <w:top w:val="single" w:color="D0E4F0" w:sz="4"/>
              <w:left w:val="single" w:color="D0E4F0" w:sz="4"/>
              <w:bottom w:val="single" w:color="D0E4F0" w:sz="4"/>
              <w:right w:val="single" w:color="D0E4F0" w:sz="4"/>
            </w:tcBorders>
            <w:shd w:fill="FAFAFA" w:val="clear"/>
            <w:tcMar>
              <w:top w:type="dxa" w:w="80"/>
              <w:left w:type="dxa" w:w="120"/>
              <w:bottom w:type="dxa" w:w="80"/>
              <w:right w:type="dxa" w:w="120"/>
            </w:tcMar>
            <w:vAlign w:val="top"/>
          </w:tcPr>
          <w:p>
            <w:pPr>
              <w:jc w:val="center"/>
            </w:pPr>
            <w:r>
              <w:rPr>
                <w:rFonts w:ascii="Arial" w:cs="Arial" w:eastAsia="Arial" w:hAnsi="Arial"/>
                <w:b w:val="false"/>
                <w:bCs w:val="false"/>
                <w:color w:val="1E2A3A"/>
                <w:sz w:val="18"/>
                <w:szCs w:val="18"/>
              </w:rPr>
              <w:t xml:space="preserve">No</w:t>
            </w:r>
          </w:p>
        </w:tc>
        <w:tc>
          <w:tcPr>
            <w:tcW w:type="dxa" w:w="1680"/>
            <w:gridSpan w:val="1"/>
            <w:tcBorders>
              <w:top w:val="single" w:color="D0E4F0" w:sz="4"/>
              <w:left w:val="single" w:color="D0E4F0" w:sz="4"/>
              <w:bottom w:val="single" w:color="D0E4F0" w:sz="4"/>
              <w:right w:val="single" w:color="D0E4F0" w:sz="4"/>
            </w:tcBorders>
            <w:shd w:fill="FAFAFA" w:val="clear"/>
            <w:tcMar>
              <w:top w:type="dxa" w:w="80"/>
              <w:left w:type="dxa" w:w="120"/>
              <w:bottom w:type="dxa" w:w="80"/>
              <w:right w:type="dxa" w:w="120"/>
            </w:tcMar>
            <w:vAlign w:val="top"/>
          </w:tcPr>
          <w:p>
            <w:pPr>
              <w:jc w:val="center"/>
            </w:pPr>
            <w:r>
              <w:rPr>
                <w:rFonts w:ascii="Arial" w:cs="Arial" w:eastAsia="Arial" w:hAnsi="Arial"/>
                <w:b w:val="false"/>
                <w:bCs w:val="false"/>
                <w:color w:val="1E2A3A"/>
                <w:sz w:val="18"/>
                <w:szCs w:val="18"/>
              </w:rPr>
              <w:t xml:space="preserve">No</w:t>
            </w:r>
          </w:p>
        </w:tc>
        <w:tc>
          <w:tcPr>
            <w:tcW w:type="dxa" w:w="1200"/>
            <w:gridSpan w:val="1"/>
            <w:tcBorders>
              <w:top w:val="single" w:color="D0E4F0" w:sz="4"/>
              <w:left w:val="single" w:color="D0E4F0" w:sz="4"/>
              <w:bottom w:val="single" w:color="D0E4F0" w:sz="4"/>
              <w:right w:val="single" w:color="D0E4F0" w:sz="4"/>
            </w:tcBorders>
            <w:shd w:fill="FAFAFA" w:val="clear"/>
            <w:tcMar>
              <w:top w:type="dxa" w:w="80"/>
              <w:left w:type="dxa" w:w="120"/>
              <w:bottom w:type="dxa" w:w="80"/>
              <w:right w:type="dxa" w:w="120"/>
            </w:tcMar>
            <w:vAlign w:val="top"/>
          </w:tcPr>
          <w:p>
            <w:pPr>
              <w:jc w:val="center"/>
            </w:pPr>
            <w:r>
              <w:rPr>
                <w:rFonts w:ascii="Arial" w:cs="Arial" w:eastAsia="Arial" w:hAnsi="Arial"/>
                <w:b w:val="false"/>
                <w:bCs w:val="false"/>
                <w:color w:val="1E2A3A"/>
                <w:sz w:val="18"/>
                <w:szCs w:val="18"/>
              </w:rPr>
              <w:t xml:space="preserve">No</w:t>
            </w:r>
          </w:p>
        </w:tc>
      </w:tr>
      <w:tr>
        <w:tc>
          <w:tcPr>
            <w:tcW w:type="dxa" w:w="240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18"/>
                <w:szCs w:val="18"/>
              </w:rPr>
              <w:t xml:space="preserve">Insights Dashboard</w:t>
            </w:r>
          </w:p>
        </w:tc>
        <w:tc>
          <w:tcPr>
            <w:tcW w:type="dxa" w:w="1600"/>
            <w:gridSpan w:val="1"/>
            <w:tcBorders>
              <w:top w:val="single" w:color="D0E4F0" w:sz="4"/>
              <w:left w:val="single" w:color="D0E4F0" w:sz="4"/>
              <w:bottom w:val="single" w:color="D0E4F0" w:sz="4"/>
              <w:right w:val="single" w:color="D0E4F0" w:sz="4"/>
            </w:tcBorders>
            <w:shd w:fill="EAF4FB" w:val="clear"/>
            <w:tcMar>
              <w:top w:type="dxa" w:w="80"/>
              <w:left w:type="dxa" w:w="120"/>
              <w:bottom w:type="dxa" w:w="80"/>
              <w:right w:type="dxa" w:w="120"/>
            </w:tcMar>
            <w:vAlign w:val="top"/>
          </w:tcPr>
          <w:p>
            <w:pPr>
              <w:jc w:val="center"/>
            </w:pPr>
            <w:r>
              <w:rPr>
                <w:rFonts w:ascii="Arial" w:cs="Arial" w:eastAsia="Arial" w:hAnsi="Arial"/>
                <w:b/>
                <w:bCs/>
                <w:color w:val="1E2A3A"/>
                <w:sz w:val="18"/>
                <w:szCs w:val="18"/>
              </w:rPr>
              <w:t xml:space="preserve">Yes</w:t>
            </w:r>
          </w:p>
        </w:tc>
        <w:tc>
          <w:tcPr>
            <w:tcW w:type="dxa" w:w="160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A3A"/>
                <w:sz w:val="18"/>
                <w:szCs w:val="18"/>
              </w:rPr>
              <w:t xml:space="preserve">Partial</w:t>
            </w:r>
          </w:p>
        </w:tc>
        <w:tc>
          <w:tcPr>
            <w:tcW w:type="dxa" w:w="1600"/>
            <w:gridSpan w:val="1"/>
            <w:tcBorders>
              <w:top w:val="single" w:color="D0E4F0" w:sz="4"/>
              <w:left w:val="single" w:color="D0E4F0" w:sz="4"/>
              <w:bottom w:val="single" w:color="D0E4F0" w:sz="4"/>
              <w:right w:val="single" w:color="D0E4F0" w:sz="4"/>
            </w:tcBorders>
            <w:shd w:fill="FAFAFA" w:val="clear"/>
            <w:tcMar>
              <w:top w:type="dxa" w:w="80"/>
              <w:left w:type="dxa" w:w="120"/>
              <w:bottom w:type="dxa" w:w="80"/>
              <w:right w:type="dxa" w:w="120"/>
            </w:tcMar>
            <w:vAlign w:val="top"/>
          </w:tcPr>
          <w:p>
            <w:pPr>
              <w:jc w:val="center"/>
            </w:pPr>
            <w:r>
              <w:rPr>
                <w:rFonts w:ascii="Arial" w:cs="Arial" w:eastAsia="Arial" w:hAnsi="Arial"/>
                <w:b w:val="false"/>
                <w:bCs w:val="false"/>
                <w:color w:val="1E2A3A"/>
                <w:sz w:val="18"/>
                <w:szCs w:val="18"/>
              </w:rPr>
              <w:t xml:space="preserve">No</w:t>
            </w:r>
          </w:p>
        </w:tc>
        <w:tc>
          <w:tcPr>
            <w:tcW w:type="dxa" w:w="1680"/>
            <w:gridSpan w:val="1"/>
            <w:tcBorders>
              <w:top w:val="single" w:color="D0E4F0" w:sz="4"/>
              <w:left w:val="single" w:color="D0E4F0" w:sz="4"/>
              <w:bottom w:val="single" w:color="D0E4F0" w:sz="4"/>
              <w:right w:val="single" w:color="D0E4F0" w:sz="4"/>
            </w:tcBorders>
            <w:shd w:fill="FAFAFA" w:val="clear"/>
            <w:tcMar>
              <w:top w:type="dxa" w:w="80"/>
              <w:left w:type="dxa" w:w="120"/>
              <w:bottom w:type="dxa" w:w="80"/>
              <w:right w:type="dxa" w:w="120"/>
            </w:tcMar>
            <w:vAlign w:val="top"/>
          </w:tcPr>
          <w:p>
            <w:pPr>
              <w:jc w:val="center"/>
            </w:pPr>
            <w:r>
              <w:rPr>
                <w:rFonts w:ascii="Arial" w:cs="Arial" w:eastAsia="Arial" w:hAnsi="Arial"/>
                <w:b w:val="false"/>
                <w:bCs w:val="false"/>
                <w:color w:val="1E2A3A"/>
                <w:sz w:val="18"/>
                <w:szCs w:val="18"/>
              </w:rPr>
              <w:t xml:space="preserve">No</w:t>
            </w:r>
          </w:p>
        </w:tc>
        <w:tc>
          <w:tcPr>
            <w:tcW w:type="dxa" w:w="1200"/>
            <w:gridSpan w:val="1"/>
            <w:tcBorders>
              <w:top w:val="single" w:color="D0E4F0" w:sz="4"/>
              <w:left w:val="single" w:color="D0E4F0" w:sz="4"/>
              <w:bottom w:val="single" w:color="D0E4F0" w:sz="4"/>
              <w:right w:val="single" w:color="D0E4F0" w:sz="4"/>
            </w:tcBorders>
            <w:shd w:fill="FAFAFA" w:val="clear"/>
            <w:tcMar>
              <w:top w:type="dxa" w:w="80"/>
              <w:left w:type="dxa" w:w="120"/>
              <w:bottom w:type="dxa" w:w="80"/>
              <w:right w:type="dxa" w:w="120"/>
            </w:tcMar>
            <w:vAlign w:val="top"/>
          </w:tcPr>
          <w:p>
            <w:pPr>
              <w:jc w:val="center"/>
            </w:pPr>
            <w:r>
              <w:rPr>
                <w:rFonts w:ascii="Arial" w:cs="Arial" w:eastAsia="Arial" w:hAnsi="Arial"/>
                <w:b w:val="false"/>
                <w:bCs w:val="false"/>
                <w:color w:val="1E2A3A"/>
                <w:sz w:val="18"/>
                <w:szCs w:val="18"/>
              </w:rPr>
              <w:t xml:space="preserve">No</w:t>
            </w:r>
          </w:p>
        </w:tc>
      </w:tr>
      <w:tr>
        <w:tc>
          <w:tcPr>
            <w:tcW w:type="dxa" w:w="240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18"/>
                <w:szCs w:val="18"/>
              </w:rPr>
              <w:t xml:space="preserve">No bank account needed (recipient)</w:t>
            </w:r>
          </w:p>
        </w:tc>
        <w:tc>
          <w:tcPr>
            <w:tcW w:type="dxa" w:w="1600"/>
            <w:gridSpan w:val="1"/>
            <w:tcBorders>
              <w:top w:val="single" w:color="D0E4F0" w:sz="4"/>
              <w:left w:val="single" w:color="D0E4F0" w:sz="4"/>
              <w:bottom w:val="single" w:color="D0E4F0" w:sz="4"/>
              <w:right w:val="single" w:color="D0E4F0" w:sz="4"/>
            </w:tcBorders>
            <w:shd w:fill="EAF4FB" w:val="clear"/>
            <w:tcMar>
              <w:top w:type="dxa" w:w="80"/>
              <w:left w:type="dxa" w:w="120"/>
              <w:bottom w:type="dxa" w:w="80"/>
              <w:right w:type="dxa" w:w="120"/>
            </w:tcMar>
            <w:vAlign w:val="top"/>
          </w:tcPr>
          <w:p>
            <w:pPr>
              <w:jc w:val="center"/>
            </w:pPr>
            <w:r>
              <w:rPr>
                <w:rFonts w:ascii="Arial" w:cs="Arial" w:eastAsia="Arial" w:hAnsi="Arial"/>
                <w:b/>
                <w:bCs/>
                <w:color w:val="1E2A3A"/>
                <w:sz w:val="18"/>
                <w:szCs w:val="18"/>
              </w:rPr>
              <w:t xml:space="preserve">Yes</w:t>
            </w:r>
          </w:p>
        </w:tc>
        <w:tc>
          <w:tcPr>
            <w:tcW w:type="dxa" w:w="1600"/>
            <w:gridSpan w:val="1"/>
            <w:tcBorders>
              <w:top w:val="single" w:color="D0E4F0" w:sz="4"/>
              <w:left w:val="single" w:color="D0E4F0" w:sz="4"/>
              <w:bottom w:val="single" w:color="D0E4F0" w:sz="4"/>
              <w:right w:val="single" w:color="D0E4F0" w:sz="4"/>
            </w:tcBorders>
            <w:shd w:fill="FAFAFA" w:val="clear"/>
            <w:tcMar>
              <w:top w:type="dxa" w:w="80"/>
              <w:left w:type="dxa" w:w="120"/>
              <w:bottom w:type="dxa" w:w="80"/>
              <w:right w:type="dxa" w:w="120"/>
            </w:tcMar>
            <w:vAlign w:val="top"/>
          </w:tcPr>
          <w:p>
            <w:pPr>
              <w:jc w:val="center"/>
            </w:pPr>
            <w:r>
              <w:rPr>
                <w:rFonts w:ascii="Arial" w:cs="Arial" w:eastAsia="Arial" w:hAnsi="Arial"/>
                <w:b w:val="false"/>
                <w:bCs w:val="false"/>
                <w:color w:val="1E2A3A"/>
                <w:sz w:val="18"/>
                <w:szCs w:val="18"/>
              </w:rPr>
              <w:t xml:space="preserve">No</w:t>
            </w:r>
          </w:p>
        </w:tc>
        <w:tc>
          <w:tcPr>
            <w:tcW w:type="dxa" w:w="1600"/>
            <w:gridSpan w:val="1"/>
            <w:tcBorders>
              <w:top w:val="single" w:color="D0E4F0" w:sz="4"/>
              <w:left w:val="single" w:color="D0E4F0" w:sz="4"/>
              <w:bottom w:val="single" w:color="D0E4F0" w:sz="4"/>
              <w:right w:val="single" w:color="D0E4F0" w:sz="4"/>
            </w:tcBorders>
            <w:shd w:fill="FAFAFA" w:val="clear"/>
            <w:tcMar>
              <w:top w:type="dxa" w:w="80"/>
              <w:left w:type="dxa" w:w="120"/>
              <w:bottom w:type="dxa" w:w="80"/>
              <w:right w:type="dxa" w:w="120"/>
            </w:tcMar>
            <w:vAlign w:val="top"/>
          </w:tcPr>
          <w:p>
            <w:pPr>
              <w:jc w:val="center"/>
            </w:pPr>
            <w:r>
              <w:rPr>
                <w:rFonts w:ascii="Arial" w:cs="Arial" w:eastAsia="Arial" w:hAnsi="Arial"/>
                <w:b w:val="false"/>
                <w:bCs w:val="false"/>
                <w:color w:val="1E2A3A"/>
                <w:sz w:val="18"/>
                <w:szCs w:val="18"/>
              </w:rPr>
              <w:t xml:space="preserve">No</w:t>
            </w:r>
          </w:p>
        </w:tc>
        <w:tc>
          <w:tcPr>
            <w:tcW w:type="dxa" w:w="1680"/>
            <w:gridSpan w:val="1"/>
            <w:tcBorders>
              <w:top w:val="single" w:color="D0E4F0" w:sz="4"/>
              <w:left w:val="single" w:color="D0E4F0" w:sz="4"/>
              <w:bottom w:val="single" w:color="D0E4F0" w:sz="4"/>
              <w:right w:val="single" w:color="D0E4F0" w:sz="4"/>
            </w:tcBorders>
            <w:shd w:fill="FAFAFA" w:val="clear"/>
            <w:tcMar>
              <w:top w:type="dxa" w:w="80"/>
              <w:left w:type="dxa" w:w="120"/>
              <w:bottom w:type="dxa" w:w="80"/>
              <w:right w:type="dxa" w:w="120"/>
            </w:tcMar>
            <w:vAlign w:val="top"/>
          </w:tcPr>
          <w:p>
            <w:pPr>
              <w:jc w:val="center"/>
            </w:pPr>
            <w:r>
              <w:rPr>
                <w:rFonts w:ascii="Arial" w:cs="Arial" w:eastAsia="Arial" w:hAnsi="Arial"/>
                <w:b w:val="false"/>
                <w:bCs w:val="false"/>
                <w:color w:val="1E2A3A"/>
                <w:sz w:val="18"/>
                <w:szCs w:val="18"/>
              </w:rPr>
              <w:t xml:space="preserve">No</w:t>
            </w:r>
          </w:p>
        </w:tc>
        <w:tc>
          <w:tcPr>
            <w:tcW w:type="dxa" w:w="1200"/>
            <w:gridSpan w:val="1"/>
            <w:tcBorders>
              <w:top w:val="single" w:color="D0E4F0" w:sz="4"/>
              <w:left w:val="single" w:color="D0E4F0" w:sz="4"/>
              <w:bottom w:val="single" w:color="D0E4F0" w:sz="4"/>
              <w:right w:val="single" w:color="D0E4F0" w:sz="4"/>
            </w:tcBorders>
            <w:shd w:fill="FAFAFA" w:val="clear"/>
            <w:tcMar>
              <w:top w:type="dxa" w:w="80"/>
              <w:left w:type="dxa" w:w="120"/>
              <w:bottom w:type="dxa" w:w="80"/>
              <w:right w:type="dxa" w:w="120"/>
            </w:tcMar>
            <w:vAlign w:val="top"/>
          </w:tcPr>
          <w:p>
            <w:pPr>
              <w:jc w:val="center"/>
            </w:pPr>
            <w:r>
              <w:rPr>
                <w:rFonts w:ascii="Arial" w:cs="Arial" w:eastAsia="Arial" w:hAnsi="Arial"/>
                <w:b w:val="false"/>
                <w:bCs w:val="false"/>
                <w:color w:val="1E2A3A"/>
                <w:sz w:val="18"/>
                <w:szCs w:val="18"/>
              </w:rPr>
              <w:t xml:space="preserve">No</w:t>
            </w:r>
          </w:p>
        </w:tc>
      </w:tr>
      <w:tr>
        <w:tc>
          <w:tcPr>
            <w:tcW w:type="dxa" w:w="240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18"/>
                <w:szCs w:val="18"/>
              </w:rPr>
              <w:t xml:space="preserve">AES-GCM encrypted secrets</w:t>
            </w:r>
          </w:p>
        </w:tc>
        <w:tc>
          <w:tcPr>
            <w:tcW w:type="dxa" w:w="1600"/>
            <w:gridSpan w:val="1"/>
            <w:tcBorders>
              <w:top w:val="single" w:color="D0E4F0" w:sz="4"/>
              <w:left w:val="single" w:color="D0E4F0" w:sz="4"/>
              <w:bottom w:val="single" w:color="D0E4F0" w:sz="4"/>
              <w:right w:val="single" w:color="D0E4F0" w:sz="4"/>
            </w:tcBorders>
            <w:shd w:fill="EAF4FB" w:val="clear"/>
            <w:tcMar>
              <w:top w:type="dxa" w:w="80"/>
              <w:left w:type="dxa" w:w="120"/>
              <w:bottom w:type="dxa" w:w="80"/>
              <w:right w:type="dxa" w:w="120"/>
            </w:tcMar>
            <w:vAlign w:val="top"/>
          </w:tcPr>
          <w:p>
            <w:pPr>
              <w:jc w:val="center"/>
            </w:pPr>
            <w:r>
              <w:rPr>
                <w:rFonts w:ascii="Arial" w:cs="Arial" w:eastAsia="Arial" w:hAnsi="Arial"/>
                <w:b/>
                <w:bCs/>
                <w:color w:val="1E2A3A"/>
                <w:sz w:val="18"/>
                <w:szCs w:val="18"/>
              </w:rPr>
              <w:t xml:space="preserve">Yes</w:t>
            </w:r>
          </w:p>
        </w:tc>
        <w:tc>
          <w:tcPr>
            <w:tcW w:type="dxa" w:w="160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A3A"/>
                <w:sz w:val="18"/>
                <w:szCs w:val="18"/>
              </w:rPr>
              <w:t xml:space="preserve">N/A</w:t>
            </w:r>
          </w:p>
        </w:tc>
        <w:tc>
          <w:tcPr>
            <w:tcW w:type="dxa" w:w="160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A3A"/>
                <w:sz w:val="18"/>
                <w:szCs w:val="18"/>
              </w:rPr>
              <w:t xml:space="preserve">N/A</w:t>
            </w:r>
          </w:p>
        </w:tc>
        <w:tc>
          <w:tcPr>
            <w:tcW w:type="dxa" w:w="168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A3A"/>
                <w:sz w:val="18"/>
                <w:szCs w:val="18"/>
              </w:rPr>
              <w:t xml:space="preserve">N/A</w:t>
            </w:r>
          </w:p>
        </w:tc>
        <w:tc>
          <w:tcPr>
            <w:tcW w:type="dxa" w:w="120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A3A"/>
                <w:sz w:val="18"/>
                <w:szCs w:val="18"/>
              </w:rPr>
              <w:t xml:space="preserve">N/A</w:t>
            </w:r>
          </w:p>
        </w:tc>
      </w:tr>
      <w:tr>
        <w:tc>
          <w:tcPr>
            <w:tcW w:type="dxa" w:w="240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18"/>
                <w:szCs w:val="18"/>
              </w:rPr>
              <w:t xml:space="preserve">Designed for Indonesian WF/wokers</w:t>
            </w:r>
          </w:p>
        </w:tc>
        <w:tc>
          <w:tcPr>
            <w:tcW w:type="dxa" w:w="1600"/>
            <w:gridSpan w:val="1"/>
            <w:tcBorders>
              <w:top w:val="single" w:color="D0E4F0" w:sz="4"/>
              <w:left w:val="single" w:color="D0E4F0" w:sz="4"/>
              <w:bottom w:val="single" w:color="D0E4F0" w:sz="4"/>
              <w:right w:val="single" w:color="D0E4F0" w:sz="4"/>
            </w:tcBorders>
            <w:shd w:fill="EAF4FB" w:val="clear"/>
            <w:tcMar>
              <w:top w:type="dxa" w:w="80"/>
              <w:left w:type="dxa" w:w="120"/>
              <w:bottom w:type="dxa" w:w="80"/>
              <w:right w:type="dxa" w:w="120"/>
            </w:tcMar>
            <w:vAlign w:val="top"/>
          </w:tcPr>
          <w:p>
            <w:pPr>
              <w:jc w:val="center"/>
            </w:pPr>
            <w:r>
              <w:rPr>
                <w:rFonts w:ascii="Arial" w:cs="Arial" w:eastAsia="Arial" w:hAnsi="Arial"/>
                <w:b/>
                <w:bCs/>
                <w:color w:val="1E2A3A"/>
                <w:sz w:val="18"/>
                <w:szCs w:val="18"/>
              </w:rPr>
              <w:t xml:space="preserve">Yes</w:t>
            </w:r>
          </w:p>
        </w:tc>
        <w:tc>
          <w:tcPr>
            <w:tcW w:type="dxa" w:w="1600"/>
            <w:gridSpan w:val="1"/>
            <w:tcBorders>
              <w:top w:val="single" w:color="D0E4F0" w:sz="4"/>
              <w:left w:val="single" w:color="D0E4F0" w:sz="4"/>
              <w:bottom w:val="single" w:color="D0E4F0" w:sz="4"/>
              <w:right w:val="single" w:color="D0E4F0" w:sz="4"/>
            </w:tcBorders>
            <w:shd w:fill="FAFAFA" w:val="clear"/>
            <w:tcMar>
              <w:top w:type="dxa" w:w="80"/>
              <w:left w:type="dxa" w:w="120"/>
              <w:bottom w:type="dxa" w:w="80"/>
              <w:right w:type="dxa" w:w="120"/>
            </w:tcMar>
            <w:vAlign w:val="top"/>
          </w:tcPr>
          <w:p>
            <w:pPr>
              <w:jc w:val="center"/>
            </w:pPr>
            <w:r>
              <w:rPr>
                <w:rFonts w:ascii="Arial" w:cs="Arial" w:eastAsia="Arial" w:hAnsi="Arial"/>
                <w:b w:val="false"/>
                <w:bCs w:val="false"/>
                <w:color w:val="1E2A3A"/>
                <w:sz w:val="18"/>
                <w:szCs w:val="18"/>
              </w:rPr>
              <w:t xml:space="preserve">No</w:t>
            </w:r>
          </w:p>
        </w:tc>
        <w:tc>
          <w:tcPr>
            <w:tcW w:type="dxa" w:w="1600"/>
            <w:gridSpan w:val="1"/>
            <w:tcBorders>
              <w:top w:val="single" w:color="D0E4F0" w:sz="4"/>
              <w:left w:val="single" w:color="D0E4F0" w:sz="4"/>
              <w:bottom w:val="single" w:color="D0E4F0" w:sz="4"/>
              <w:right w:val="single" w:color="D0E4F0" w:sz="4"/>
            </w:tcBorders>
            <w:shd w:fill="FAFAFA" w:val="clear"/>
            <w:tcMar>
              <w:top w:type="dxa" w:w="80"/>
              <w:left w:type="dxa" w:w="120"/>
              <w:bottom w:type="dxa" w:w="80"/>
              <w:right w:type="dxa" w:w="120"/>
            </w:tcMar>
            <w:vAlign w:val="top"/>
          </w:tcPr>
          <w:p>
            <w:pPr>
              <w:jc w:val="center"/>
            </w:pPr>
            <w:r>
              <w:rPr>
                <w:rFonts w:ascii="Arial" w:cs="Arial" w:eastAsia="Arial" w:hAnsi="Arial"/>
                <w:b w:val="false"/>
                <w:bCs w:val="false"/>
                <w:color w:val="1E2A3A"/>
                <w:sz w:val="18"/>
                <w:szCs w:val="18"/>
              </w:rPr>
              <w:t xml:space="preserve">No</w:t>
            </w:r>
          </w:p>
        </w:tc>
        <w:tc>
          <w:tcPr>
            <w:tcW w:type="dxa" w:w="1680"/>
            <w:gridSpan w:val="1"/>
            <w:tcBorders>
              <w:top w:val="single" w:color="D0E4F0" w:sz="4"/>
              <w:left w:val="single" w:color="D0E4F0" w:sz="4"/>
              <w:bottom w:val="single" w:color="D0E4F0" w:sz="4"/>
              <w:right w:val="single" w:color="D0E4F0" w:sz="4"/>
            </w:tcBorders>
            <w:shd w:fill="FAFAFA" w:val="clear"/>
            <w:tcMar>
              <w:top w:type="dxa" w:w="80"/>
              <w:left w:type="dxa" w:w="120"/>
              <w:bottom w:type="dxa" w:w="80"/>
              <w:right w:type="dxa" w:w="120"/>
            </w:tcMar>
            <w:vAlign w:val="top"/>
          </w:tcPr>
          <w:p>
            <w:pPr>
              <w:jc w:val="center"/>
            </w:pPr>
            <w:r>
              <w:rPr>
                <w:rFonts w:ascii="Arial" w:cs="Arial" w:eastAsia="Arial" w:hAnsi="Arial"/>
                <w:b w:val="false"/>
                <w:bCs w:val="false"/>
                <w:color w:val="1E2A3A"/>
                <w:sz w:val="18"/>
                <w:szCs w:val="18"/>
              </w:rPr>
              <w:t xml:space="preserve">No</w:t>
            </w:r>
          </w:p>
        </w:tc>
        <w:tc>
          <w:tcPr>
            <w:tcW w:type="dxa" w:w="120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A3A"/>
                <w:sz w:val="18"/>
                <w:szCs w:val="18"/>
              </w:rPr>
              <w:t xml:space="preserve">Partial</w:t>
            </w:r>
          </w:p>
        </w:tc>
      </w:tr>
      <w:tr>
        <w:tc>
          <w:tcPr>
            <w:tcW w:type="dxa" w:w="240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18"/>
                <w:szCs w:val="18"/>
              </w:rPr>
              <w:t xml:space="preserve">Crypto/on-chain settlement</w:t>
            </w:r>
          </w:p>
        </w:tc>
        <w:tc>
          <w:tcPr>
            <w:tcW w:type="dxa" w:w="1600"/>
            <w:gridSpan w:val="1"/>
            <w:tcBorders>
              <w:top w:val="single" w:color="D0E4F0" w:sz="4"/>
              <w:left w:val="single" w:color="D0E4F0" w:sz="4"/>
              <w:bottom w:val="single" w:color="D0E4F0" w:sz="4"/>
              <w:right w:val="single" w:color="D0E4F0" w:sz="4"/>
            </w:tcBorders>
            <w:shd w:fill="EAF4FB" w:val="clear"/>
            <w:tcMar>
              <w:top w:type="dxa" w:w="80"/>
              <w:left w:type="dxa" w:w="120"/>
              <w:bottom w:type="dxa" w:w="80"/>
              <w:right w:type="dxa" w:w="120"/>
            </w:tcMar>
            <w:vAlign w:val="top"/>
          </w:tcPr>
          <w:p>
            <w:pPr>
              <w:jc w:val="center"/>
            </w:pPr>
            <w:r>
              <w:rPr>
                <w:rFonts w:ascii="Arial" w:cs="Arial" w:eastAsia="Arial" w:hAnsi="Arial"/>
                <w:b/>
                <w:bCs/>
                <w:color w:val="1E2A3A"/>
                <w:sz w:val="18"/>
                <w:szCs w:val="18"/>
              </w:rPr>
              <w:t xml:space="preserve">Yes</w:t>
            </w:r>
          </w:p>
        </w:tc>
        <w:tc>
          <w:tcPr>
            <w:tcW w:type="dxa" w:w="1600"/>
            <w:gridSpan w:val="1"/>
            <w:tcBorders>
              <w:top w:val="single" w:color="D0E4F0" w:sz="4"/>
              <w:left w:val="single" w:color="D0E4F0" w:sz="4"/>
              <w:bottom w:val="single" w:color="D0E4F0" w:sz="4"/>
              <w:right w:val="single" w:color="D0E4F0" w:sz="4"/>
            </w:tcBorders>
            <w:shd w:fill="FAFAFA" w:val="clear"/>
            <w:tcMar>
              <w:top w:type="dxa" w:w="80"/>
              <w:left w:type="dxa" w:w="120"/>
              <w:bottom w:type="dxa" w:w="80"/>
              <w:right w:type="dxa" w:w="120"/>
            </w:tcMar>
            <w:vAlign w:val="top"/>
          </w:tcPr>
          <w:p>
            <w:pPr>
              <w:jc w:val="center"/>
            </w:pPr>
            <w:r>
              <w:rPr>
                <w:rFonts w:ascii="Arial" w:cs="Arial" w:eastAsia="Arial" w:hAnsi="Arial"/>
                <w:b w:val="false"/>
                <w:bCs w:val="false"/>
                <w:color w:val="1E2A3A"/>
                <w:sz w:val="18"/>
                <w:szCs w:val="18"/>
              </w:rPr>
              <w:t xml:space="preserve">No</w:t>
            </w:r>
          </w:p>
        </w:tc>
        <w:tc>
          <w:tcPr>
            <w:tcW w:type="dxa" w:w="1600"/>
            <w:gridSpan w:val="1"/>
            <w:tcBorders>
              <w:top w:val="single" w:color="D0E4F0" w:sz="4"/>
              <w:left w:val="single" w:color="D0E4F0" w:sz="4"/>
              <w:bottom w:val="single" w:color="D0E4F0" w:sz="4"/>
              <w:right w:val="single" w:color="D0E4F0" w:sz="4"/>
            </w:tcBorders>
            <w:shd w:fill="FAFAFA" w:val="clear"/>
            <w:tcMar>
              <w:top w:type="dxa" w:w="80"/>
              <w:left w:type="dxa" w:w="120"/>
              <w:bottom w:type="dxa" w:w="80"/>
              <w:right w:type="dxa" w:w="120"/>
            </w:tcMar>
            <w:vAlign w:val="top"/>
          </w:tcPr>
          <w:p>
            <w:pPr>
              <w:jc w:val="center"/>
            </w:pPr>
            <w:r>
              <w:rPr>
                <w:rFonts w:ascii="Arial" w:cs="Arial" w:eastAsia="Arial" w:hAnsi="Arial"/>
                <w:b w:val="false"/>
                <w:bCs w:val="false"/>
                <w:color w:val="1E2A3A"/>
                <w:sz w:val="18"/>
                <w:szCs w:val="18"/>
              </w:rPr>
              <w:t xml:space="preserve">No</w:t>
            </w:r>
          </w:p>
        </w:tc>
        <w:tc>
          <w:tcPr>
            <w:tcW w:type="dxa" w:w="1680"/>
            <w:gridSpan w:val="1"/>
            <w:tcBorders>
              <w:top w:val="single" w:color="D0E4F0" w:sz="4"/>
              <w:left w:val="single" w:color="D0E4F0" w:sz="4"/>
              <w:bottom w:val="single" w:color="D0E4F0" w:sz="4"/>
              <w:right w:val="single" w:color="D0E4F0" w:sz="4"/>
            </w:tcBorders>
            <w:shd w:fill="FAFAFA" w:val="clear"/>
            <w:tcMar>
              <w:top w:type="dxa" w:w="80"/>
              <w:left w:type="dxa" w:w="120"/>
              <w:bottom w:type="dxa" w:w="80"/>
              <w:right w:type="dxa" w:w="120"/>
            </w:tcMar>
            <w:vAlign w:val="top"/>
          </w:tcPr>
          <w:p>
            <w:pPr>
              <w:jc w:val="center"/>
            </w:pPr>
            <w:r>
              <w:rPr>
                <w:rFonts w:ascii="Arial" w:cs="Arial" w:eastAsia="Arial" w:hAnsi="Arial"/>
                <w:b w:val="false"/>
                <w:bCs w:val="false"/>
                <w:color w:val="1E2A3A"/>
                <w:sz w:val="18"/>
                <w:szCs w:val="18"/>
              </w:rPr>
              <w:t xml:space="preserve">No</w:t>
            </w:r>
          </w:p>
        </w:tc>
        <w:tc>
          <w:tcPr>
            <w:tcW w:type="dxa" w:w="1200"/>
            <w:gridSpan w:val="1"/>
            <w:tcBorders>
              <w:top w:val="single" w:color="D0E4F0" w:sz="4"/>
              <w:left w:val="single" w:color="D0E4F0" w:sz="4"/>
              <w:bottom w:val="single" w:color="D0E4F0" w:sz="4"/>
              <w:right w:val="single" w:color="D0E4F0" w:sz="4"/>
            </w:tcBorders>
            <w:shd w:fill="FAFAFA" w:val="clear"/>
            <w:tcMar>
              <w:top w:type="dxa" w:w="80"/>
              <w:left w:type="dxa" w:w="120"/>
              <w:bottom w:type="dxa" w:w="80"/>
              <w:right w:type="dxa" w:w="120"/>
            </w:tcMar>
            <w:vAlign w:val="top"/>
          </w:tcPr>
          <w:p>
            <w:pPr>
              <w:jc w:val="center"/>
            </w:pPr>
            <w:r>
              <w:rPr>
                <w:rFonts w:ascii="Arial" w:cs="Arial" w:eastAsia="Arial" w:hAnsi="Arial"/>
                <w:b w:val="false"/>
                <w:bCs w:val="false"/>
                <w:color w:val="1E2A3A"/>
                <w:sz w:val="18"/>
                <w:szCs w:val="18"/>
              </w:rPr>
              <w:t xml:space="preserve">No</w:t>
            </w:r>
          </w:p>
        </w:tc>
      </w:tr>
      <w:tr>
        <w:tc>
          <w:tcPr>
            <w:tcW w:type="dxa" w:w="240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18"/>
                <w:szCs w:val="18"/>
              </w:rPr>
              <w:t xml:space="preserve">Transaction speed</w:t>
            </w:r>
          </w:p>
        </w:tc>
        <w:tc>
          <w:tcPr>
            <w:tcW w:type="dxa" w:w="1600"/>
            <w:gridSpan w:val="1"/>
            <w:tcBorders>
              <w:top w:val="single" w:color="D0E4F0" w:sz="4"/>
              <w:left w:val="single" w:color="D0E4F0" w:sz="4"/>
              <w:bottom w:val="single" w:color="D0E4F0" w:sz="4"/>
              <w:right w:val="single" w:color="D0E4F0" w:sz="4"/>
            </w:tcBorders>
            <w:shd w:fill="EAF4FB" w:val="clear"/>
            <w:tcMar>
              <w:top w:type="dxa" w:w="80"/>
              <w:left w:type="dxa" w:w="120"/>
              <w:bottom w:type="dxa" w:w="80"/>
              <w:right w:type="dxa" w:w="120"/>
            </w:tcMar>
            <w:vAlign w:val="top"/>
          </w:tcPr>
          <w:p>
            <w:pPr>
              <w:jc w:val="center"/>
            </w:pPr>
            <w:r>
              <w:rPr>
                <w:rFonts w:ascii="Arial" w:cs="Arial" w:eastAsia="Arial" w:hAnsi="Arial"/>
                <w:b/>
                <w:bCs/>
                <w:color w:val="1E2A3A"/>
                <w:sz w:val="18"/>
                <w:szCs w:val="18"/>
              </w:rPr>
              <w:t xml:space="preserve">&lt;5 seconds</w:t>
            </w:r>
          </w:p>
        </w:tc>
        <w:tc>
          <w:tcPr>
            <w:tcW w:type="dxa" w:w="160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A3A"/>
                <w:sz w:val="18"/>
                <w:szCs w:val="18"/>
              </w:rPr>
              <w:t xml:space="preserve">1-2 days</w:t>
            </w:r>
          </w:p>
        </w:tc>
        <w:tc>
          <w:tcPr>
            <w:tcW w:type="dxa" w:w="160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A3A"/>
                <w:sz w:val="18"/>
                <w:szCs w:val="18"/>
              </w:rPr>
              <w:t xml:space="preserve">Minutes-Hours</w:t>
            </w:r>
          </w:p>
        </w:tc>
        <w:tc>
          <w:tcPr>
            <w:tcW w:type="dxa" w:w="168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A3A"/>
                <w:sz w:val="18"/>
                <w:szCs w:val="18"/>
              </w:rPr>
              <w:t xml:space="preserve">1-5 days</w:t>
            </w:r>
          </w:p>
        </w:tc>
        <w:tc>
          <w:tcPr>
            <w:tcW w:type="dxa" w:w="120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A3A"/>
                <w:sz w:val="18"/>
                <w:szCs w:val="18"/>
              </w:rPr>
              <w:t xml:space="preserve">2-5 days</w:t>
            </w:r>
          </w:p>
        </w:tc>
      </w:tr>
      <w:tr>
        <w:tc>
          <w:tcPr>
            <w:tcW w:type="dxa" w:w="240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18"/>
                <w:szCs w:val="18"/>
              </w:rPr>
              <w:t xml:space="preserve">Target fee structure</w:t>
            </w:r>
          </w:p>
        </w:tc>
        <w:tc>
          <w:tcPr>
            <w:tcW w:type="dxa" w:w="1600"/>
            <w:gridSpan w:val="1"/>
            <w:tcBorders>
              <w:top w:val="single" w:color="D0E4F0" w:sz="4"/>
              <w:left w:val="single" w:color="D0E4F0" w:sz="4"/>
              <w:bottom w:val="single" w:color="D0E4F0" w:sz="4"/>
              <w:right w:val="single" w:color="D0E4F0" w:sz="4"/>
            </w:tcBorders>
            <w:shd w:fill="EAF4FB" w:val="clear"/>
            <w:tcMar>
              <w:top w:type="dxa" w:w="80"/>
              <w:left w:type="dxa" w:w="120"/>
              <w:bottom w:type="dxa" w:w="80"/>
              <w:right w:type="dxa" w:w="120"/>
            </w:tcMar>
            <w:vAlign w:val="top"/>
          </w:tcPr>
          <w:p>
            <w:pPr>
              <w:jc w:val="center"/>
            </w:pPr>
            <w:r>
              <w:rPr>
                <w:rFonts w:ascii="Arial" w:cs="Arial" w:eastAsia="Arial" w:hAnsi="Arial"/>
                <w:b/>
                <w:bCs/>
                <w:color w:val="1E2A3A"/>
                <w:sz w:val="18"/>
                <w:szCs w:val="18"/>
              </w:rPr>
              <w:t xml:space="preserve">Low (&lt;1%)</w:t>
            </w:r>
          </w:p>
        </w:tc>
        <w:tc>
          <w:tcPr>
            <w:tcW w:type="dxa" w:w="160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A3A"/>
                <w:sz w:val="18"/>
                <w:szCs w:val="18"/>
              </w:rPr>
              <w:t xml:space="preserve">Low-Med</w:t>
            </w:r>
          </w:p>
        </w:tc>
        <w:tc>
          <w:tcPr>
            <w:tcW w:type="dxa" w:w="160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A3A"/>
                <w:sz w:val="18"/>
                <w:szCs w:val="18"/>
              </w:rPr>
              <w:t xml:space="preserve">Medium</w:t>
            </w:r>
          </w:p>
        </w:tc>
        <w:tc>
          <w:tcPr>
            <w:tcW w:type="dxa" w:w="168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A3A"/>
                <w:sz w:val="18"/>
                <w:szCs w:val="18"/>
              </w:rPr>
              <w:t xml:space="preserve">High</w:t>
            </w:r>
          </w:p>
        </w:tc>
        <w:tc>
          <w:tcPr>
            <w:tcW w:type="dxa" w:w="120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E2A3A"/>
                <w:sz w:val="18"/>
                <w:szCs w:val="18"/>
              </w:rPr>
              <w:t xml:space="preserve">High</w:t>
            </w:r>
          </w:p>
        </w:tc>
      </w:tr>
      <w:tr>
        <w:tc>
          <w:tcPr>
            <w:tcW w:type="dxa" w:w="240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18"/>
                <w:szCs w:val="18"/>
              </w:rPr>
              <w:t xml:space="preserve">Demo/Local-first (no KYC)</w:t>
            </w:r>
          </w:p>
        </w:tc>
        <w:tc>
          <w:tcPr>
            <w:tcW w:type="dxa" w:w="1600"/>
            <w:gridSpan w:val="1"/>
            <w:tcBorders>
              <w:top w:val="single" w:color="D0E4F0" w:sz="4"/>
              <w:left w:val="single" w:color="D0E4F0" w:sz="4"/>
              <w:bottom w:val="single" w:color="D0E4F0" w:sz="4"/>
              <w:right w:val="single" w:color="D0E4F0" w:sz="4"/>
            </w:tcBorders>
            <w:shd w:fill="EAF4FB" w:val="clear"/>
            <w:tcMar>
              <w:top w:type="dxa" w:w="80"/>
              <w:left w:type="dxa" w:w="120"/>
              <w:bottom w:type="dxa" w:w="80"/>
              <w:right w:type="dxa" w:w="120"/>
            </w:tcMar>
            <w:vAlign w:val="top"/>
          </w:tcPr>
          <w:p>
            <w:pPr>
              <w:jc w:val="center"/>
            </w:pPr>
            <w:r>
              <w:rPr>
                <w:rFonts w:ascii="Arial" w:cs="Arial" w:eastAsia="Arial" w:hAnsi="Arial"/>
                <w:b/>
                <w:bCs/>
                <w:color w:val="1E2A3A"/>
                <w:sz w:val="18"/>
                <w:szCs w:val="18"/>
              </w:rPr>
              <w:t xml:space="preserve">Yes</w:t>
            </w:r>
          </w:p>
        </w:tc>
        <w:tc>
          <w:tcPr>
            <w:tcW w:type="dxa" w:w="1600"/>
            <w:gridSpan w:val="1"/>
            <w:tcBorders>
              <w:top w:val="single" w:color="D0E4F0" w:sz="4"/>
              <w:left w:val="single" w:color="D0E4F0" w:sz="4"/>
              <w:bottom w:val="single" w:color="D0E4F0" w:sz="4"/>
              <w:right w:val="single" w:color="D0E4F0" w:sz="4"/>
            </w:tcBorders>
            <w:shd w:fill="FAFAFA" w:val="clear"/>
            <w:tcMar>
              <w:top w:type="dxa" w:w="80"/>
              <w:left w:type="dxa" w:w="120"/>
              <w:bottom w:type="dxa" w:w="80"/>
              <w:right w:type="dxa" w:w="120"/>
            </w:tcMar>
            <w:vAlign w:val="top"/>
          </w:tcPr>
          <w:p>
            <w:pPr>
              <w:jc w:val="center"/>
            </w:pPr>
            <w:r>
              <w:rPr>
                <w:rFonts w:ascii="Arial" w:cs="Arial" w:eastAsia="Arial" w:hAnsi="Arial"/>
                <w:b w:val="false"/>
                <w:bCs w:val="false"/>
                <w:color w:val="1E2A3A"/>
                <w:sz w:val="18"/>
                <w:szCs w:val="18"/>
              </w:rPr>
              <w:t xml:space="preserve">No</w:t>
            </w:r>
          </w:p>
        </w:tc>
        <w:tc>
          <w:tcPr>
            <w:tcW w:type="dxa" w:w="1600"/>
            <w:gridSpan w:val="1"/>
            <w:tcBorders>
              <w:top w:val="single" w:color="D0E4F0" w:sz="4"/>
              <w:left w:val="single" w:color="D0E4F0" w:sz="4"/>
              <w:bottom w:val="single" w:color="D0E4F0" w:sz="4"/>
              <w:right w:val="single" w:color="D0E4F0" w:sz="4"/>
            </w:tcBorders>
            <w:shd w:fill="FAFAFA" w:val="clear"/>
            <w:tcMar>
              <w:top w:type="dxa" w:w="80"/>
              <w:left w:type="dxa" w:w="120"/>
              <w:bottom w:type="dxa" w:w="80"/>
              <w:right w:type="dxa" w:w="120"/>
            </w:tcMar>
            <w:vAlign w:val="top"/>
          </w:tcPr>
          <w:p>
            <w:pPr>
              <w:jc w:val="center"/>
            </w:pPr>
            <w:r>
              <w:rPr>
                <w:rFonts w:ascii="Arial" w:cs="Arial" w:eastAsia="Arial" w:hAnsi="Arial"/>
                <w:b w:val="false"/>
                <w:bCs w:val="false"/>
                <w:color w:val="1E2A3A"/>
                <w:sz w:val="18"/>
                <w:szCs w:val="18"/>
              </w:rPr>
              <w:t xml:space="preserve">No</w:t>
            </w:r>
          </w:p>
        </w:tc>
        <w:tc>
          <w:tcPr>
            <w:tcW w:type="dxa" w:w="1680"/>
            <w:gridSpan w:val="1"/>
            <w:tcBorders>
              <w:top w:val="single" w:color="D0E4F0" w:sz="4"/>
              <w:left w:val="single" w:color="D0E4F0" w:sz="4"/>
              <w:bottom w:val="single" w:color="D0E4F0" w:sz="4"/>
              <w:right w:val="single" w:color="D0E4F0" w:sz="4"/>
            </w:tcBorders>
            <w:shd w:fill="FAFAFA" w:val="clear"/>
            <w:tcMar>
              <w:top w:type="dxa" w:w="80"/>
              <w:left w:type="dxa" w:w="120"/>
              <w:bottom w:type="dxa" w:w="80"/>
              <w:right w:type="dxa" w:w="120"/>
            </w:tcMar>
            <w:vAlign w:val="top"/>
          </w:tcPr>
          <w:p>
            <w:pPr>
              <w:jc w:val="center"/>
            </w:pPr>
            <w:r>
              <w:rPr>
                <w:rFonts w:ascii="Arial" w:cs="Arial" w:eastAsia="Arial" w:hAnsi="Arial"/>
                <w:b w:val="false"/>
                <w:bCs w:val="false"/>
                <w:color w:val="1E2A3A"/>
                <w:sz w:val="18"/>
                <w:szCs w:val="18"/>
              </w:rPr>
              <w:t xml:space="preserve">No</w:t>
            </w:r>
          </w:p>
        </w:tc>
        <w:tc>
          <w:tcPr>
            <w:tcW w:type="dxa" w:w="1200"/>
            <w:gridSpan w:val="1"/>
            <w:tcBorders>
              <w:top w:val="single" w:color="D0E4F0" w:sz="4"/>
              <w:left w:val="single" w:color="D0E4F0" w:sz="4"/>
              <w:bottom w:val="single" w:color="D0E4F0" w:sz="4"/>
              <w:right w:val="single" w:color="D0E4F0" w:sz="4"/>
            </w:tcBorders>
            <w:shd w:fill="FAFAFA" w:val="clear"/>
            <w:tcMar>
              <w:top w:type="dxa" w:w="80"/>
              <w:left w:type="dxa" w:w="120"/>
              <w:bottom w:type="dxa" w:w="80"/>
              <w:right w:type="dxa" w:w="120"/>
            </w:tcMar>
            <w:vAlign w:val="top"/>
          </w:tcPr>
          <w:p>
            <w:pPr>
              <w:jc w:val="center"/>
            </w:pPr>
            <w:r>
              <w:rPr>
                <w:rFonts w:ascii="Arial" w:cs="Arial" w:eastAsia="Arial" w:hAnsi="Arial"/>
                <w:b w:val="false"/>
                <w:bCs w:val="false"/>
                <w:color w:val="1E2A3A"/>
                <w:sz w:val="18"/>
                <w:szCs w:val="18"/>
              </w:rPr>
              <w:t xml:space="preserve">No</w:t>
            </w:r>
          </w:p>
        </w:tc>
      </w:tr>
    </w:tbl>
    <w:p>
      <w:pPr>
        <w:spacing w:after="100" w:before="60"/>
        <w:jc w:val="left"/>
      </w:pPr>
      <w:r>
        <w:rPr>
          <w:rFonts w:ascii="Arial" w:cs="Arial" w:eastAsia="Arial" w:hAnsi="Arial"/>
          <w:b w:val="false"/>
          <w:bCs w:val="false"/>
          <w:color w:val="999999"/>
          <w:sz w:val="16"/>
          <w:szCs w:val="16"/>
        </w:rPr>
        <w:t xml:space="preserve">Source: Market research, provider feature pages. Competitive assessment as of July 2026.</w:t>
      </w:r>
    </w:p>
    <w:p>
      <w:pPr>
        <w:spacing w:after="160" w:before="0"/>
      </w:pPr>
      <w:r>
        <w:t xml:space="preserve"/>
      </w:r>
    </w:p>
    <w:p>
      <w:pPr>
        <w:pStyle w:val="Heading1"/>
        <w:spacing w:after="160" w:before="320"/>
      </w:pPr>
      <w:r>
        <w:rPr>
          <w:rFonts w:ascii="Arial" w:cs="Arial" w:eastAsia="Arial" w:hAnsi="Arial"/>
          <w:b/>
          <w:bCs/>
          <w:color w:val="1A3A5C"/>
          <w:sz w:val="36"/>
          <w:szCs w:val="36"/>
        </w:rPr>
        <w:t xml:space="preserve">6. Technical Architecture</w:t>
      </w:r>
    </w:p>
    <w:p>
      <w:pPr>
        <w:pStyle w:val="Heading2"/>
        <w:spacing w:after="120" w:before="240"/>
      </w:pPr>
      <w:r>
        <w:rPr>
          <w:rFonts w:ascii="Arial" w:cs="Arial" w:eastAsia="Arial" w:hAnsi="Arial"/>
          <w:b/>
          <w:bCs/>
          <w:color w:val="0D7377"/>
          <w:sz w:val="26"/>
          <w:szCs w:val="26"/>
        </w:rPr>
        <w:t xml:space="preserve">6.1 System Overview</w:t>
      </w:r>
    </w:p>
    <w:p>
      <w:pPr>
        <w:spacing w:after="100" w:before="60"/>
        <w:jc w:val="left"/>
      </w:pPr>
      <w:r>
        <w:rPr>
          <w:rFonts w:ascii="Arial" w:cs="Arial" w:eastAsia="Arial" w:hAnsi="Arial"/>
          <w:b w:val="false"/>
          <w:bCs w:val="false"/>
          <w:color w:val="555555"/>
          <w:sz w:val="20"/>
          <w:szCs w:val="20"/>
        </w:rPr>
        <w:t xml:space="preserve">StellarNest follows a client-heavy architecture: all financial logic (encryption, transaction building, balance computation) runs in the browser. Firebase Firestore serves as the real-time backend for user profiles, claims metadata, and transaction history. The Stellar blockchain handles all value settlement.</w:t>
      </w:r>
    </w:p>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5280"/>
      </w:tblGrid>
      <w:tr>
        <w:trPr>
          <w:tblHeader/>
        </w:trPr>
        <w:tc>
          <w:tcPr>
            <w:tcW w:type="dxa" w:w="2200"/>
            <w:tcBorders>
              <w:top w:val="single" w:color="D0E4F0" w:sz="4"/>
              <w:left w:val="single" w:color="D0E4F0" w:sz="4"/>
              <w:bottom w:val="single" w:color="D0E4F0" w:sz="4"/>
              <w:right w:val="single" w:color="D0E4F0" w:sz="4"/>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Layer</w:t>
            </w:r>
          </w:p>
        </w:tc>
        <w:tc>
          <w:tcPr>
            <w:tcW w:type="dxa" w:w="2600"/>
            <w:tcBorders>
              <w:top w:val="single" w:color="D0E4F0" w:sz="4"/>
              <w:left w:val="single" w:color="D0E4F0" w:sz="4"/>
              <w:bottom w:val="single" w:color="D0E4F0" w:sz="4"/>
              <w:right w:val="single" w:color="D0E4F0" w:sz="4"/>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Technology</w:t>
            </w:r>
          </w:p>
        </w:tc>
        <w:tc>
          <w:tcPr>
            <w:tcW w:type="dxa" w:w="5280"/>
            <w:tcBorders>
              <w:top w:val="single" w:color="D0E4F0" w:sz="4"/>
              <w:left w:val="single" w:color="D0E4F0" w:sz="4"/>
              <w:bottom w:val="single" w:color="D0E4F0" w:sz="4"/>
              <w:right w:val="single" w:color="D0E4F0" w:sz="4"/>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Notes</w:t>
            </w:r>
          </w:p>
        </w:tc>
      </w:tr>
      <w:tr>
        <w:tc>
          <w:tcPr>
            <w:tcW w:type="dxa" w:w="2200"/>
            <w:gridSpan w:val="1"/>
            <w:tcBorders>
              <w:top w:val="single" w:color="D0E4F0" w:sz="4"/>
              <w:left w:val="single" w:color="D0E4F0" w:sz="4"/>
              <w:bottom w:val="single" w:color="D0E4F0" w:sz="4"/>
              <w:right w:val="single" w:color="D0E4F0" w:sz="4"/>
            </w:tcBorders>
            <w:shd w:fill="EEF4F8" w:val="clear"/>
            <w:tcMar>
              <w:top w:type="dxa" w:w="80"/>
              <w:left w:type="dxa" w:w="120"/>
              <w:bottom w:type="dxa" w:w="80"/>
              <w:right w:type="dxa" w:w="120"/>
            </w:tcMar>
            <w:vAlign w:val="top"/>
          </w:tcPr>
          <w:p>
            <w:pPr>
              <w:jc w:val="left"/>
            </w:pPr>
            <w:r>
              <w:rPr>
                <w:rFonts w:ascii="Arial" w:cs="Arial" w:eastAsia="Arial" w:hAnsi="Arial"/>
                <w:b/>
                <w:bCs/>
                <w:color w:val="1E2A3A"/>
                <w:sz w:val="18"/>
                <w:szCs w:val="18"/>
              </w:rPr>
              <w:t xml:space="preserve">Frontend</w:t>
            </w:r>
          </w:p>
        </w:tc>
        <w:tc>
          <w:tcPr>
            <w:tcW w:type="dxa" w:w="260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left"/>
            </w:pPr>
            <w:r>
              <w:rPr>
                <w:rFonts w:ascii="Arial" w:cs="Arial" w:eastAsia="Arial" w:hAnsi="Arial"/>
                <w:b/>
                <w:bCs/>
                <w:color w:val="1E2A3A"/>
                <w:sz w:val="18"/>
                <w:szCs w:val="18"/>
              </w:rPr>
              <w:t xml:space="preserve">React 18 + TypeScript</w:t>
            </w:r>
          </w:p>
        </w:tc>
        <w:tc>
          <w:tcPr>
            <w:tcW w:type="dxa" w:w="528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18"/>
                <w:szCs w:val="18"/>
              </w:rPr>
              <w:t xml:space="preserve">Component-based UI with hooks and context. HashRouter for navigation.</w:t>
            </w:r>
          </w:p>
        </w:tc>
      </w:tr>
      <w:tr>
        <w:tc>
          <w:tcPr>
            <w:tcW w:type="dxa" w:w="2200"/>
            <w:gridSpan w:val="1"/>
            <w:tcBorders>
              <w:top w:val="single" w:color="D0E4F0" w:sz="4"/>
              <w:left w:val="single" w:color="D0E4F0" w:sz="4"/>
              <w:bottom w:val="single" w:color="D0E4F0" w:sz="4"/>
              <w:right w:val="single" w:color="D0E4F0" w:sz="4"/>
            </w:tcBorders>
            <w:shd w:fill="EEF4F8" w:val="clear"/>
            <w:tcMar>
              <w:top w:type="dxa" w:w="80"/>
              <w:left w:type="dxa" w:w="120"/>
              <w:bottom w:type="dxa" w:w="80"/>
              <w:right w:type="dxa" w:w="120"/>
            </w:tcMar>
            <w:vAlign w:val="top"/>
          </w:tcPr>
          <w:p>
            <w:pPr>
              <w:jc w:val="left"/>
            </w:pPr>
            <w:r>
              <w:rPr>
                <w:rFonts w:ascii="Arial" w:cs="Arial" w:eastAsia="Arial" w:hAnsi="Arial"/>
                <w:b/>
                <w:bCs/>
                <w:color w:val="1E2A3A"/>
                <w:sz w:val="18"/>
                <w:szCs w:val="18"/>
              </w:rPr>
              <w:t xml:space="preserve">Build Tool</w:t>
            </w:r>
          </w:p>
        </w:tc>
        <w:tc>
          <w:tcPr>
            <w:tcW w:type="dxa" w:w="260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left"/>
            </w:pPr>
            <w:r>
              <w:rPr>
                <w:rFonts w:ascii="Arial" w:cs="Arial" w:eastAsia="Arial" w:hAnsi="Arial"/>
                <w:b/>
                <w:bCs/>
                <w:color w:val="1E2A3A"/>
                <w:sz w:val="18"/>
                <w:szCs w:val="18"/>
              </w:rPr>
              <w:t xml:space="preserve">Vite 8</w:t>
            </w:r>
          </w:p>
        </w:tc>
        <w:tc>
          <w:tcPr>
            <w:tcW w:type="dxa" w:w="528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18"/>
                <w:szCs w:val="18"/>
              </w:rPr>
              <w:t xml:space="preserve">Fast HMR, env var injection (VITE_ prefix), tree-shaking.</w:t>
            </w:r>
          </w:p>
        </w:tc>
      </w:tr>
      <w:tr>
        <w:tc>
          <w:tcPr>
            <w:tcW w:type="dxa" w:w="2200"/>
            <w:gridSpan w:val="1"/>
            <w:tcBorders>
              <w:top w:val="single" w:color="D0E4F0" w:sz="4"/>
              <w:left w:val="single" w:color="D0E4F0" w:sz="4"/>
              <w:bottom w:val="single" w:color="D0E4F0" w:sz="4"/>
              <w:right w:val="single" w:color="D0E4F0" w:sz="4"/>
            </w:tcBorders>
            <w:shd w:fill="EEF4F8" w:val="clear"/>
            <w:tcMar>
              <w:top w:type="dxa" w:w="80"/>
              <w:left w:type="dxa" w:w="120"/>
              <w:bottom w:type="dxa" w:w="80"/>
              <w:right w:type="dxa" w:w="120"/>
            </w:tcMar>
            <w:vAlign w:val="top"/>
          </w:tcPr>
          <w:p>
            <w:pPr>
              <w:jc w:val="left"/>
            </w:pPr>
            <w:r>
              <w:rPr>
                <w:rFonts w:ascii="Arial" w:cs="Arial" w:eastAsia="Arial" w:hAnsi="Arial"/>
                <w:b/>
                <w:bCs/>
                <w:color w:val="1E2A3A"/>
                <w:sz w:val="18"/>
                <w:szCs w:val="18"/>
              </w:rPr>
              <w:t xml:space="preserve">Styling</w:t>
            </w:r>
          </w:p>
        </w:tc>
        <w:tc>
          <w:tcPr>
            <w:tcW w:type="dxa" w:w="260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left"/>
            </w:pPr>
            <w:r>
              <w:rPr>
                <w:rFonts w:ascii="Arial" w:cs="Arial" w:eastAsia="Arial" w:hAnsi="Arial"/>
                <w:b/>
                <w:bCs/>
                <w:color w:val="1E2A3A"/>
                <w:sz w:val="18"/>
                <w:szCs w:val="18"/>
              </w:rPr>
              <w:t xml:space="preserve">Tailwind CSS</w:t>
            </w:r>
          </w:p>
        </w:tc>
        <w:tc>
          <w:tcPr>
            <w:tcW w:type="dxa" w:w="528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18"/>
                <w:szCs w:val="18"/>
              </w:rPr>
              <w:t xml:space="preserve">Custom design tokens, responsive mobile-first layout.</w:t>
            </w:r>
          </w:p>
        </w:tc>
      </w:tr>
      <w:tr>
        <w:tc>
          <w:tcPr>
            <w:tcW w:type="dxa" w:w="2200"/>
            <w:gridSpan w:val="1"/>
            <w:tcBorders>
              <w:top w:val="single" w:color="D0E4F0" w:sz="4"/>
              <w:left w:val="single" w:color="D0E4F0" w:sz="4"/>
              <w:bottom w:val="single" w:color="D0E4F0" w:sz="4"/>
              <w:right w:val="single" w:color="D0E4F0" w:sz="4"/>
            </w:tcBorders>
            <w:shd w:fill="EEF4F8" w:val="clear"/>
            <w:tcMar>
              <w:top w:type="dxa" w:w="80"/>
              <w:left w:type="dxa" w:w="120"/>
              <w:bottom w:type="dxa" w:w="80"/>
              <w:right w:type="dxa" w:w="120"/>
            </w:tcMar>
            <w:vAlign w:val="top"/>
          </w:tcPr>
          <w:p>
            <w:pPr>
              <w:jc w:val="left"/>
            </w:pPr>
            <w:r>
              <w:rPr>
                <w:rFonts w:ascii="Arial" w:cs="Arial" w:eastAsia="Arial" w:hAnsi="Arial"/>
                <w:b/>
                <w:bCs/>
                <w:color w:val="1E2A3A"/>
                <w:sz w:val="18"/>
                <w:szCs w:val="18"/>
              </w:rPr>
              <w:t xml:space="preserve">Blockchain</w:t>
            </w:r>
          </w:p>
        </w:tc>
        <w:tc>
          <w:tcPr>
            <w:tcW w:type="dxa" w:w="260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left"/>
            </w:pPr>
            <w:r>
              <w:rPr>
                <w:rFonts w:ascii="Arial" w:cs="Arial" w:eastAsia="Arial" w:hAnsi="Arial"/>
                <w:b/>
                <w:bCs/>
                <w:color w:val="1E2A3A"/>
                <w:sz w:val="18"/>
                <w:szCs w:val="18"/>
              </w:rPr>
              <w:t xml:space="preserve">@stellar/stellar-sdk v16</w:t>
            </w:r>
          </w:p>
        </w:tc>
        <w:tc>
          <w:tcPr>
            <w:tcW w:type="dxa" w:w="528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18"/>
                <w:szCs w:val="18"/>
              </w:rPr>
              <w:t xml:space="preserve">Horizon API, payment transactions, trustline management.</w:t>
            </w:r>
          </w:p>
        </w:tc>
      </w:tr>
      <w:tr>
        <w:tc>
          <w:tcPr>
            <w:tcW w:type="dxa" w:w="2200"/>
            <w:gridSpan w:val="1"/>
            <w:tcBorders>
              <w:top w:val="single" w:color="D0E4F0" w:sz="4"/>
              <w:left w:val="single" w:color="D0E4F0" w:sz="4"/>
              <w:bottom w:val="single" w:color="D0E4F0" w:sz="4"/>
              <w:right w:val="single" w:color="D0E4F0" w:sz="4"/>
            </w:tcBorders>
            <w:shd w:fill="EEF4F8" w:val="clear"/>
            <w:tcMar>
              <w:top w:type="dxa" w:w="80"/>
              <w:left w:type="dxa" w:w="120"/>
              <w:bottom w:type="dxa" w:w="80"/>
              <w:right w:type="dxa" w:w="120"/>
            </w:tcMar>
            <w:vAlign w:val="top"/>
          </w:tcPr>
          <w:p>
            <w:pPr>
              <w:jc w:val="left"/>
            </w:pPr>
            <w:r>
              <w:rPr>
                <w:rFonts w:ascii="Arial" w:cs="Arial" w:eastAsia="Arial" w:hAnsi="Arial"/>
                <w:b/>
                <w:bCs/>
                <w:color w:val="1E2A3A"/>
                <w:sz w:val="18"/>
                <w:szCs w:val="18"/>
              </w:rPr>
              <w:t xml:space="preserve">Backend</w:t>
            </w:r>
          </w:p>
        </w:tc>
        <w:tc>
          <w:tcPr>
            <w:tcW w:type="dxa" w:w="260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left"/>
            </w:pPr>
            <w:r>
              <w:rPr>
                <w:rFonts w:ascii="Arial" w:cs="Arial" w:eastAsia="Arial" w:hAnsi="Arial"/>
                <w:b/>
                <w:bCs/>
                <w:color w:val="1E2A3A"/>
                <w:sz w:val="18"/>
                <w:szCs w:val="18"/>
              </w:rPr>
              <w:t xml:space="preserve">Firebase (Firestore + Auth)</w:t>
            </w:r>
          </w:p>
        </w:tc>
        <w:tc>
          <w:tcPr>
            <w:tcW w:type="dxa" w:w="528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18"/>
                <w:szCs w:val="18"/>
              </w:rPr>
              <w:t xml:space="preserve">Real-time database, email/password auth, composite indexes.</w:t>
            </w:r>
          </w:p>
        </w:tc>
      </w:tr>
      <w:tr>
        <w:tc>
          <w:tcPr>
            <w:tcW w:type="dxa" w:w="2200"/>
            <w:gridSpan w:val="1"/>
            <w:tcBorders>
              <w:top w:val="single" w:color="D0E4F0" w:sz="4"/>
              <w:left w:val="single" w:color="D0E4F0" w:sz="4"/>
              <w:bottom w:val="single" w:color="D0E4F0" w:sz="4"/>
              <w:right w:val="single" w:color="D0E4F0" w:sz="4"/>
            </w:tcBorders>
            <w:shd w:fill="EEF4F8" w:val="clear"/>
            <w:tcMar>
              <w:top w:type="dxa" w:w="80"/>
              <w:left w:type="dxa" w:w="120"/>
              <w:bottom w:type="dxa" w:w="80"/>
              <w:right w:type="dxa" w:w="120"/>
            </w:tcMar>
            <w:vAlign w:val="top"/>
          </w:tcPr>
          <w:p>
            <w:pPr>
              <w:jc w:val="left"/>
            </w:pPr>
            <w:r>
              <w:rPr>
                <w:rFonts w:ascii="Arial" w:cs="Arial" w:eastAsia="Arial" w:hAnsi="Arial"/>
                <w:b/>
                <w:bCs/>
                <w:color w:val="1E2A3A"/>
                <w:sz w:val="18"/>
                <w:szCs w:val="18"/>
              </w:rPr>
              <w:t xml:space="preserve">Encryption</w:t>
            </w:r>
          </w:p>
        </w:tc>
        <w:tc>
          <w:tcPr>
            <w:tcW w:type="dxa" w:w="260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left"/>
            </w:pPr>
            <w:r>
              <w:rPr>
                <w:rFonts w:ascii="Arial" w:cs="Arial" w:eastAsia="Arial" w:hAnsi="Arial"/>
                <w:b/>
                <w:bCs/>
                <w:color w:val="1E2A3A"/>
                <w:sz w:val="18"/>
                <w:szCs w:val="18"/>
              </w:rPr>
              <w:t xml:space="preserve">Web Crypto API (AES-GCM)</w:t>
            </w:r>
          </w:p>
        </w:tc>
        <w:tc>
          <w:tcPr>
            <w:tcW w:type="dxa" w:w="528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18"/>
                <w:szCs w:val="18"/>
              </w:rPr>
              <w:t xml:space="preserve">PBKDF2 key derivation, client-side only, Firebase UID as key.</w:t>
            </w:r>
          </w:p>
        </w:tc>
      </w:tr>
      <w:tr>
        <w:tc>
          <w:tcPr>
            <w:tcW w:type="dxa" w:w="2200"/>
            <w:gridSpan w:val="1"/>
            <w:tcBorders>
              <w:top w:val="single" w:color="D0E4F0" w:sz="4"/>
              <w:left w:val="single" w:color="D0E4F0" w:sz="4"/>
              <w:bottom w:val="single" w:color="D0E4F0" w:sz="4"/>
              <w:right w:val="single" w:color="D0E4F0" w:sz="4"/>
            </w:tcBorders>
            <w:shd w:fill="EEF4F8" w:val="clear"/>
            <w:tcMar>
              <w:top w:type="dxa" w:w="80"/>
              <w:left w:type="dxa" w:w="120"/>
              <w:bottom w:type="dxa" w:w="80"/>
              <w:right w:type="dxa" w:w="120"/>
            </w:tcMar>
            <w:vAlign w:val="top"/>
          </w:tcPr>
          <w:p>
            <w:pPr>
              <w:jc w:val="left"/>
            </w:pPr>
            <w:r>
              <w:rPr>
                <w:rFonts w:ascii="Arial" w:cs="Arial" w:eastAsia="Arial" w:hAnsi="Arial"/>
                <w:b/>
                <w:bCs/>
                <w:color w:val="1E2A3A"/>
                <w:sz w:val="18"/>
                <w:szCs w:val="18"/>
              </w:rPr>
              <w:t xml:space="preserve">Icons</w:t>
            </w:r>
          </w:p>
        </w:tc>
        <w:tc>
          <w:tcPr>
            <w:tcW w:type="dxa" w:w="260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left"/>
            </w:pPr>
            <w:r>
              <w:rPr>
                <w:rFonts w:ascii="Arial" w:cs="Arial" w:eastAsia="Arial" w:hAnsi="Arial"/>
                <w:b/>
                <w:bCs/>
                <w:color w:val="1E2A3A"/>
                <w:sz w:val="18"/>
                <w:szCs w:val="18"/>
              </w:rPr>
              <w:t xml:space="preserve">Lucide React</w:t>
            </w:r>
          </w:p>
        </w:tc>
        <w:tc>
          <w:tcPr>
            <w:tcW w:type="dxa" w:w="528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18"/>
                <w:szCs w:val="18"/>
              </w:rPr>
              <w:t xml:space="preserve">Open-source icon set, tree-shakeable.</w:t>
            </w:r>
          </w:p>
        </w:tc>
      </w:tr>
      <w:tr>
        <w:tc>
          <w:tcPr>
            <w:tcW w:type="dxa" w:w="2200"/>
            <w:gridSpan w:val="1"/>
            <w:tcBorders>
              <w:top w:val="single" w:color="D0E4F0" w:sz="4"/>
              <w:left w:val="single" w:color="D0E4F0" w:sz="4"/>
              <w:bottom w:val="single" w:color="D0E4F0" w:sz="4"/>
              <w:right w:val="single" w:color="D0E4F0" w:sz="4"/>
            </w:tcBorders>
            <w:shd w:fill="EEF4F8" w:val="clear"/>
            <w:tcMar>
              <w:top w:type="dxa" w:w="80"/>
              <w:left w:type="dxa" w:w="120"/>
              <w:bottom w:type="dxa" w:w="80"/>
              <w:right w:type="dxa" w:w="120"/>
            </w:tcMar>
            <w:vAlign w:val="top"/>
          </w:tcPr>
          <w:p>
            <w:pPr>
              <w:jc w:val="left"/>
            </w:pPr>
            <w:r>
              <w:rPr>
                <w:rFonts w:ascii="Arial" w:cs="Arial" w:eastAsia="Arial" w:hAnsi="Arial"/>
                <w:b/>
                <w:bCs/>
                <w:color w:val="1E2A3A"/>
                <w:sz w:val="18"/>
                <w:szCs w:val="18"/>
              </w:rPr>
              <w:t xml:space="preserve">Dev Port</w:t>
            </w:r>
          </w:p>
        </w:tc>
        <w:tc>
          <w:tcPr>
            <w:tcW w:type="dxa" w:w="260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left"/>
            </w:pPr>
            <w:r>
              <w:rPr>
                <w:rFonts w:ascii="Arial" w:cs="Arial" w:eastAsia="Arial" w:hAnsi="Arial"/>
                <w:b/>
                <w:bCs/>
                <w:color w:val="1E2A3A"/>
                <w:sz w:val="18"/>
                <w:szCs w:val="18"/>
              </w:rPr>
              <w:t xml:space="preserve">Vite dev server :5173</w:t>
            </w:r>
          </w:p>
        </w:tc>
        <w:tc>
          <w:tcPr>
            <w:tcW w:type="dxa" w:w="528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18"/>
                <w:szCs w:val="18"/>
              </w:rPr>
              <w:t xml:space="preserve">BrowserRouter; routes: /, /auth, /dashboard, /send, /claim, /insights, /profile, /history</w:t>
            </w:r>
          </w:p>
        </w:tc>
      </w:tr>
    </w:tbl>
    <w:p>
      <w:pPr>
        <w:spacing w:after="160" w:before="0"/>
      </w:pPr>
      <w:r>
        <w:t xml:space="preserve"/>
      </w:r>
    </w:p>
    <w:p>
      <w:pPr>
        <w:pStyle w:val="Heading1"/>
        <w:spacing w:after="160" w:before="320"/>
      </w:pPr>
      <w:r>
        <w:rPr>
          <w:rFonts w:ascii="Arial" w:cs="Arial" w:eastAsia="Arial" w:hAnsi="Arial"/>
          <w:b/>
          <w:bCs/>
          <w:color w:val="1A3A5C"/>
          <w:sz w:val="36"/>
          <w:szCs w:val="36"/>
        </w:rPr>
        <w:t xml:space="preserve">7. Key Technical Features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5040"/>
        <w:gridCol w:w="2640"/>
      </w:tblGrid>
      <w:tr>
        <w:trPr>
          <w:tblHeader/>
        </w:trPr>
        <w:tc>
          <w:tcPr>
            <w:tcW w:type="dxa" w:w="2400"/>
            <w:tcBorders>
              <w:top w:val="single" w:color="D0E4F0" w:sz="4"/>
              <w:left w:val="single" w:color="D0E4F0" w:sz="4"/>
              <w:bottom w:val="single" w:color="D0E4F0" w:sz="4"/>
              <w:right w:val="single" w:color="D0E4F0" w:sz="4"/>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Feature</w:t>
            </w:r>
          </w:p>
        </w:tc>
        <w:tc>
          <w:tcPr>
            <w:tcW w:type="dxa" w:w="5040"/>
            <w:tcBorders>
              <w:top w:val="single" w:color="D0E4F0" w:sz="4"/>
              <w:left w:val="single" w:color="D0E4F0" w:sz="4"/>
              <w:bottom w:val="single" w:color="D0E4F0" w:sz="4"/>
              <w:right w:val="single" w:color="D0E4F0" w:sz="4"/>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Description</w:t>
            </w:r>
          </w:p>
        </w:tc>
        <w:tc>
          <w:tcPr>
            <w:tcW w:type="dxa" w:w="2640"/>
            <w:tcBorders>
              <w:top w:val="single" w:color="D0E4F0" w:sz="4"/>
              <w:left w:val="single" w:color="D0E4F0" w:sz="4"/>
              <w:bottom w:val="single" w:color="D0E4F0" w:sz="4"/>
              <w:right w:val="single" w:color="D0E4F0" w:sz="4"/>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Implementation</w:t>
            </w:r>
          </w:p>
        </w:tc>
      </w:tr>
      <w:tr>
        <w:tc>
          <w:tcPr>
            <w:tcW w:type="dxa" w:w="2400"/>
            <w:gridSpan w:val="1"/>
            <w:tcBorders>
              <w:top w:val="single" w:color="D0E4F0" w:sz="4"/>
              <w:left w:val="single" w:color="D0E4F0" w:sz="4"/>
              <w:bottom w:val="single" w:color="D0E4F0" w:sz="4"/>
              <w:right w:val="single" w:color="D0E4F0" w:sz="4"/>
            </w:tcBorders>
            <w:shd w:fill="EEF4F8" w:val="clear"/>
            <w:tcMar>
              <w:top w:type="dxa" w:w="80"/>
              <w:left w:type="dxa" w:w="120"/>
              <w:bottom w:type="dxa" w:w="80"/>
              <w:right w:type="dxa" w:w="120"/>
            </w:tcMar>
            <w:vAlign w:val="top"/>
          </w:tcPr>
          <w:p>
            <w:pPr>
              <w:jc w:val="left"/>
            </w:pPr>
            <w:r>
              <w:rPr>
                <w:rFonts w:ascii="Arial" w:cs="Arial" w:eastAsia="Arial" w:hAnsi="Arial"/>
                <w:b/>
                <w:bCs/>
                <w:color w:val="1E2A3A"/>
                <w:sz w:val="18"/>
                <w:szCs w:val="18"/>
              </w:rPr>
              <w:t xml:space="preserve">Magic Claim Links</w:t>
            </w:r>
          </w:p>
        </w:tc>
        <w:tc>
          <w:tcPr>
            <w:tcW w:type="dxa" w:w="504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18"/>
                <w:szCs w:val="18"/>
              </w:rPr>
              <w:t xml:space="preserve">Sender creates a claim → generates shareable URL → recipient opens link and claims funds without needing a bank account or app install.</w:t>
            </w:r>
          </w:p>
        </w:tc>
        <w:tc>
          <w:tcPr>
            <w:tcW w:type="dxa" w:w="2640"/>
            <w:gridSpan w:val="1"/>
            <w:tcBorders>
              <w:top w:val="single" w:color="D0E4F0" w:sz="4"/>
              <w:left w:val="single" w:color="D0E4F0" w:sz="4"/>
              <w:bottom w:val="single" w:color="D0E4F0" w:sz="4"/>
              <w:right w:val="single" w:color="D0E4F0" w:sz="4"/>
            </w:tcBorders>
            <w:shd w:fill="F0F8FF" w:val="clear"/>
            <w:tcMar>
              <w:top w:type="dxa" w:w="80"/>
              <w:left w:type="dxa" w:w="120"/>
              <w:bottom w:type="dxa" w:w="80"/>
              <w:right w:type="dxa" w:w="120"/>
            </w:tcMar>
            <w:vAlign w:val="top"/>
          </w:tcPr>
          <w:p>
            <w:pPr>
              <w:jc w:val="left"/>
            </w:pPr>
            <w:r>
              <w:rPr>
                <w:rFonts w:ascii="Arial" w:cs="Arial" w:eastAsia="Arial" w:hAnsi="Arial"/>
                <w:b w:val="false"/>
                <w:bCs w:val="false"/>
                <w:color w:val="1E2A3A"/>
                <w:sz w:val="18"/>
                <w:szCs w:val="18"/>
              </w:rPr>
              <w:t xml:space="preserve">claimId-based routing, 24h expiry, Stellar payment channel.</w:t>
            </w:r>
          </w:p>
        </w:tc>
      </w:tr>
      <w:tr>
        <w:tc>
          <w:tcPr>
            <w:tcW w:type="dxa" w:w="2400"/>
            <w:gridSpan w:val="1"/>
            <w:tcBorders>
              <w:top w:val="single" w:color="D0E4F0" w:sz="4"/>
              <w:left w:val="single" w:color="D0E4F0" w:sz="4"/>
              <w:bottom w:val="single" w:color="D0E4F0" w:sz="4"/>
              <w:right w:val="single" w:color="D0E4F0" w:sz="4"/>
            </w:tcBorders>
            <w:shd w:fill="EEF4F8" w:val="clear"/>
            <w:tcMar>
              <w:top w:type="dxa" w:w="80"/>
              <w:left w:type="dxa" w:w="120"/>
              <w:bottom w:type="dxa" w:w="80"/>
              <w:right w:type="dxa" w:w="120"/>
            </w:tcMar>
            <w:vAlign w:val="top"/>
          </w:tcPr>
          <w:p>
            <w:pPr>
              <w:jc w:val="left"/>
            </w:pPr>
            <w:r>
              <w:rPr>
                <w:rFonts w:ascii="Arial" w:cs="Arial" w:eastAsia="Arial" w:hAnsi="Arial"/>
                <w:b/>
                <w:bCs/>
                <w:color w:val="1E2A3A"/>
                <w:sz w:val="18"/>
                <w:szCs w:val="18"/>
              </w:rPr>
              <w:t xml:space="preserve">Split-Routing</w:t>
            </w:r>
          </w:p>
        </w:tc>
        <w:tc>
          <w:tcPr>
            <w:tcW w:type="dxa" w:w="504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18"/>
                <w:szCs w:val="18"/>
              </w:rPr>
              <w:t xml:space="preserve">Every transfer is auto-split: configurable % to family (default 70%) and % to savings/emergency fund (default 30%).</w:t>
            </w:r>
          </w:p>
        </w:tc>
        <w:tc>
          <w:tcPr>
            <w:tcW w:type="dxa" w:w="2640"/>
            <w:gridSpan w:val="1"/>
            <w:tcBorders>
              <w:top w:val="single" w:color="D0E4F0" w:sz="4"/>
              <w:left w:val="single" w:color="D0E4F0" w:sz="4"/>
              <w:bottom w:val="single" w:color="D0E4F0" w:sz="4"/>
              <w:right w:val="single" w:color="D0E4F0" w:sz="4"/>
            </w:tcBorders>
            <w:shd w:fill="F0F8FF" w:val="clear"/>
            <w:tcMar>
              <w:top w:type="dxa" w:w="80"/>
              <w:left w:type="dxa" w:w="120"/>
              <w:bottom w:type="dxa" w:w="80"/>
              <w:right w:type="dxa" w:w="120"/>
            </w:tcMar>
            <w:vAlign w:val="top"/>
          </w:tcPr>
          <w:p>
            <w:pPr>
              <w:jc w:val="left"/>
            </w:pPr>
            <w:r>
              <w:rPr>
                <w:rFonts w:ascii="Arial" w:cs="Arial" w:eastAsia="Arial" w:hAnsi="Arial"/>
                <w:b w:val="false"/>
                <w:bCs w:val="false"/>
                <w:color w:val="1E2A3A"/>
                <w:sz w:val="18"/>
                <w:szCs w:val="18"/>
              </w:rPr>
              <w:t xml:space="preserve">Stored in claim record, credited to emergencyFundBalanceUSD on claim creation.</w:t>
            </w:r>
          </w:p>
        </w:tc>
      </w:tr>
      <w:tr>
        <w:tc>
          <w:tcPr>
            <w:tcW w:type="dxa" w:w="2400"/>
            <w:gridSpan w:val="1"/>
            <w:tcBorders>
              <w:top w:val="single" w:color="D0E4F0" w:sz="4"/>
              <w:left w:val="single" w:color="D0E4F0" w:sz="4"/>
              <w:bottom w:val="single" w:color="D0E4F0" w:sz="4"/>
              <w:right w:val="single" w:color="D0E4F0" w:sz="4"/>
            </w:tcBorders>
            <w:shd w:fill="EEF4F8" w:val="clear"/>
            <w:tcMar>
              <w:top w:type="dxa" w:w="80"/>
              <w:left w:type="dxa" w:w="120"/>
              <w:bottom w:type="dxa" w:w="80"/>
              <w:right w:type="dxa" w:w="120"/>
            </w:tcMar>
            <w:vAlign w:val="top"/>
          </w:tcPr>
          <w:p>
            <w:pPr>
              <w:jc w:val="left"/>
            </w:pPr>
            <w:r>
              <w:rPr>
                <w:rFonts w:ascii="Arial" w:cs="Arial" w:eastAsia="Arial" w:hAnsi="Arial"/>
                <w:b/>
                <w:bCs/>
                <w:color w:val="1E2A3A"/>
                <w:sz w:val="18"/>
                <w:szCs w:val="18"/>
              </w:rPr>
              <w:t xml:space="preserve">Proof of Income</w:t>
            </w:r>
          </w:p>
        </w:tc>
        <w:tc>
          <w:tcPr>
            <w:tcW w:type="dxa" w:w="504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18"/>
                <w:szCs w:val="18"/>
              </w:rPr>
              <w:t xml:space="preserve">Dashboard aggregates all received transactions and generates a verifiable income summary for bank loan applications.</w:t>
            </w:r>
          </w:p>
        </w:tc>
        <w:tc>
          <w:tcPr>
            <w:tcW w:type="dxa" w:w="2640"/>
            <w:gridSpan w:val="1"/>
            <w:tcBorders>
              <w:top w:val="single" w:color="D0E4F0" w:sz="4"/>
              <w:left w:val="single" w:color="D0E4F0" w:sz="4"/>
              <w:bottom w:val="single" w:color="D0E4F0" w:sz="4"/>
              <w:right w:val="single" w:color="D0E4F0" w:sz="4"/>
            </w:tcBorders>
            <w:shd w:fill="F0F8FF" w:val="clear"/>
            <w:tcMar>
              <w:top w:type="dxa" w:w="80"/>
              <w:left w:type="dxa" w:w="120"/>
              <w:bottom w:type="dxa" w:w="80"/>
              <w:right w:type="dxa" w:w="120"/>
            </w:tcMar>
            <w:vAlign w:val="top"/>
          </w:tcPr>
          <w:p>
            <w:pPr>
              <w:jc w:val="left"/>
            </w:pPr>
            <w:r>
              <w:rPr>
                <w:rFonts w:ascii="Arial" w:cs="Arial" w:eastAsia="Arial" w:hAnsi="Arial"/>
                <w:b w:val="false"/>
                <w:bCs w:val="false"/>
                <w:color w:val="1E2A3A"/>
                <w:sz w:val="18"/>
                <w:szCs w:val="18"/>
              </w:rPr>
              <w:t xml:space="preserve">Pulls from Firestore transaction ledger, displays YTD income + per-transaction breakdown.</w:t>
            </w:r>
          </w:p>
        </w:tc>
      </w:tr>
      <w:tr>
        <w:tc>
          <w:tcPr>
            <w:tcW w:type="dxa" w:w="2400"/>
            <w:gridSpan w:val="1"/>
            <w:tcBorders>
              <w:top w:val="single" w:color="D0E4F0" w:sz="4"/>
              <w:left w:val="single" w:color="D0E4F0" w:sz="4"/>
              <w:bottom w:val="single" w:color="D0E4F0" w:sz="4"/>
              <w:right w:val="single" w:color="D0E4F0" w:sz="4"/>
            </w:tcBorders>
            <w:shd w:fill="EEF4F8" w:val="clear"/>
            <w:tcMar>
              <w:top w:type="dxa" w:w="80"/>
              <w:left w:type="dxa" w:w="120"/>
              <w:bottom w:type="dxa" w:w="80"/>
              <w:right w:type="dxa" w:w="120"/>
            </w:tcMar>
            <w:vAlign w:val="top"/>
          </w:tcPr>
          <w:p>
            <w:pPr>
              <w:jc w:val="left"/>
            </w:pPr>
            <w:r>
              <w:rPr>
                <w:rFonts w:ascii="Arial" w:cs="Arial" w:eastAsia="Arial" w:hAnsi="Arial"/>
                <w:b/>
                <w:bCs/>
                <w:color w:val="1E2A3A"/>
                <w:sz w:val="18"/>
                <w:szCs w:val="18"/>
              </w:rPr>
              <w:t xml:space="preserve">Insights Dashboard</w:t>
            </w:r>
          </w:p>
        </w:tc>
        <w:tc>
          <w:tcPr>
            <w:tcW w:type="dxa" w:w="504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18"/>
                <w:szCs w:val="18"/>
              </w:rPr>
              <w:t xml:space="preserve">Visual analytics: total sent/received, family vs. savings breakdown, monthly trends, year-to-date income.</w:t>
            </w:r>
          </w:p>
        </w:tc>
        <w:tc>
          <w:tcPr>
            <w:tcW w:type="dxa" w:w="2640"/>
            <w:gridSpan w:val="1"/>
            <w:tcBorders>
              <w:top w:val="single" w:color="D0E4F0" w:sz="4"/>
              <w:left w:val="single" w:color="D0E4F0" w:sz="4"/>
              <w:bottom w:val="single" w:color="D0E4F0" w:sz="4"/>
              <w:right w:val="single" w:color="D0E4F0" w:sz="4"/>
            </w:tcBorders>
            <w:shd w:fill="F0F8FF" w:val="clear"/>
            <w:tcMar>
              <w:top w:type="dxa" w:w="80"/>
              <w:left w:type="dxa" w:w="120"/>
              <w:bottom w:type="dxa" w:w="80"/>
              <w:right w:type="dxa" w:w="120"/>
            </w:tcMar>
            <w:vAlign w:val="top"/>
          </w:tcPr>
          <w:p>
            <w:pPr>
              <w:jc w:val="left"/>
            </w:pPr>
            <w:r>
              <w:rPr>
                <w:rFonts w:ascii="Arial" w:cs="Arial" w:eastAsia="Arial" w:hAnsi="Arial"/>
                <w:b w:val="false"/>
                <w:bCs w:val="false"/>
                <w:color w:val="1E2A3A"/>
                <w:sz w:val="18"/>
                <w:szCs w:val="18"/>
              </w:rPr>
              <w:t xml:space="preserve">Categorizes transactions by type (sent/received), computes % distributions.</w:t>
            </w:r>
          </w:p>
        </w:tc>
      </w:tr>
      <w:tr>
        <w:tc>
          <w:tcPr>
            <w:tcW w:type="dxa" w:w="2400"/>
            <w:gridSpan w:val="1"/>
            <w:tcBorders>
              <w:top w:val="single" w:color="D0E4F0" w:sz="4"/>
              <w:left w:val="single" w:color="D0E4F0" w:sz="4"/>
              <w:bottom w:val="single" w:color="D0E4F0" w:sz="4"/>
              <w:right w:val="single" w:color="D0E4F0" w:sz="4"/>
            </w:tcBorders>
            <w:shd w:fill="EEF4F8" w:val="clear"/>
            <w:tcMar>
              <w:top w:type="dxa" w:w="80"/>
              <w:left w:type="dxa" w:w="120"/>
              <w:bottom w:type="dxa" w:w="80"/>
              <w:right w:type="dxa" w:w="120"/>
            </w:tcMar>
            <w:vAlign w:val="top"/>
          </w:tcPr>
          <w:p>
            <w:pPr>
              <w:jc w:val="left"/>
            </w:pPr>
            <w:r>
              <w:rPr>
                <w:rFonts w:ascii="Arial" w:cs="Arial" w:eastAsia="Arial" w:hAnsi="Arial"/>
                <w:b/>
                <w:bCs/>
                <w:color w:val="1E2A3A"/>
                <w:sz w:val="18"/>
                <w:szCs w:val="18"/>
              </w:rPr>
              <w:t xml:space="preserve">Stellar USDC Faucet</w:t>
            </w:r>
          </w:p>
        </w:tc>
        <w:tc>
          <w:tcPr>
            <w:tcW w:type="dxa" w:w="504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18"/>
                <w:szCs w:val="18"/>
              </w:rPr>
              <w:t xml:space="preserve">Treasury account on testnet self-mints USDC and acts as faucet for onboarding new users.</w:t>
            </w:r>
          </w:p>
        </w:tc>
        <w:tc>
          <w:tcPr>
            <w:tcW w:type="dxa" w:w="2640"/>
            <w:gridSpan w:val="1"/>
            <w:tcBorders>
              <w:top w:val="single" w:color="D0E4F0" w:sz="4"/>
              <w:left w:val="single" w:color="D0E4F0" w:sz="4"/>
              <w:bottom w:val="single" w:color="D0E4F0" w:sz="4"/>
              <w:right w:val="single" w:color="D0E4F0" w:sz="4"/>
            </w:tcBorders>
            <w:shd w:fill="F0F8FF" w:val="clear"/>
            <w:tcMar>
              <w:top w:type="dxa" w:w="80"/>
              <w:left w:type="dxa" w:w="120"/>
              <w:bottom w:type="dxa" w:w="80"/>
              <w:right w:type="dxa" w:w="120"/>
            </w:tcMar>
            <w:vAlign w:val="top"/>
          </w:tcPr>
          <w:p>
            <w:pPr>
              <w:jc w:val="left"/>
            </w:pPr>
            <w:r>
              <w:rPr>
                <w:rFonts w:ascii="Arial" w:cs="Arial" w:eastAsia="Arial" w:hAnsi="Arial"/>
                <w:b w:val="false"/>
                <w:bCs w:val="false"/>
                <w:color w:val="1E2A3A"/>
                <w:sz w:val="18"/>
                <w:szCs w:val="18"/>
              </w:rPr>
              <w:t xml:space="preserve">Trustline establishment, self-mint via PaymentOperation, 1,000 USDC initial supply.</w:t>
            </w:r>
          </w:p>
        </w:tc>
      </w:tr>
      <w:tr>
        <w:tc>
          <w:tcPr>
            <w:tcW w:type="dxa" w:w="2400"/>
            <w:gridSpan w:val="1"/>
            <w:tcBorders>
              <w:top w:val="single" w:color="D0E4F0" w:sz="4"/>
              <w:left w:val="single" w:color="D0E4F0" w:sz="4"/>
              <w:bottom w:val="single" w:color="D0E4F0" w:sz="4"/>
              <w:right w:val="single" w:color="D0E4F0" w:sz="4"/>
            </w:tcBorders>
            <w:shd w:fill="EEF4F8" w:val="clear"/>
            <w:tcMar>
              <w:top w:type="dxa" w:w="80"/>
              <w:left w:type="dxa" w:w="120"/>
              <w:bottom w:type="dxa" w:w="80"/>
              <w:right w:type="dxa" w:w="120"/>
            </w:tcMar>
            <w:vAlign w:val="top"/>
          </w:tcPr>
          <w:p>
            <w:pPr>
              <w:jc w:val="left"/>
            </w:pPr>
            <w:r>
              <w:rPr>
                <w:rFonts w:ascii="Arial" w:cs="Arial" w:eastAsia="Arial" w:hAnsi="Arial"/>
                <w:b/>
                <w:bCs/>
                <w:color w:val="1E2A3A"/>
                <w:sz w:val="18"/>
                <w:szCs w:val="18"/>
              </w:rPr>
              <w:t xml:space="preserve">Encrypted Secret Storage</w:t>
            </w:r>
          </w:p>
        </w:tc>
        <w:tc>
          <w:tcPr>
            <w:tcW w:type="dxa" w:w="504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18"/>
                <w:szCs w:val="18"/>
              </w:rPr>
              <w:t xml:space="preserve">Stellar secret keys are encrypted client-side with AES-GCM before any Firestore write. Key = Firebase UID.</w:t>
            </w:r>
          </w:p>
        </w:tc>
        <w:tc>
          <w:tcPr>
            <w:tcW w:type="dxa" w:w="2640"/>
            <w:gridSpan w:val="1"/>
            <w:tcBorders>
              <w:top w:val="single" w:color="D0E4F0" w:sz="4"/>
              <w:left w:val="single" w:color="D0E4F0" w:sz="4"/>
              <w:bottom w:val="single" w:color="D0E4F0" w:sz="4"/>
              <w:right w:val="single" w:color="D0E4F0" w:sz="4"/>
            </w:tcBorders>
            <w:shd w:fill="F0F8FF" w:val="clear"/>
            <w:tcMar>
              <w:top w:type="dxa" w:w="80"/>
              <w:left w:type="dxa" w:w="120"/>
              <w:bottom w:type="dxa" w:w="80"/>
              <w:right w:type="dxa" w:w="120"/>
            </w:tcMar>
            <w:vAlign w:val="top"/>
          </w:tcPr>
          <w:p>
            <w:pPr>
              <w:jc w:val="left"/>
            </w:pPr>
            <w:r>
              <w:rPr>
                <w:rFonts w:ascii="Arial" w:cs="Arial" w:eastAsia="Arial" w:hAnsi="Arial"/>
                <w:b w:val="false"/>
                <w:bCs w:val="false"/>
                <w:color w:val="1E2A3A"/>
                <w:sz w:val="18"/>
                <w:szCs w:val="18"/>
              </w:rPr>
              <w:t xml:space="preserve">PBKDF2 100k iterations, salt=16B, IV=12B, no third-party crypto deps.</w:t>
            </w:r>
          </w:p>
        </w:tc>
      </w:tr>
    </w:tbl>
    <w:p>
      <w:pPr>
        <w:spacing w:after="160" w:before="0"/>
      </w:pPr>
      <w:r>
        <w:t xml:space="preserve"/>
      </w:r>
    </w:p>
    <w:p>
      <w:pPr>
        <w:pStyle w:val="Heading1"/>
        <w:spacing w:after="160" w:before="320"/>
      </w:pPr>
      <w:r>
        <w:rPr>
          <w:rFonts w:ascii="Arial" w:cs="Arial" w:eastAsia="Arial" w:hAnsi="Arial"/>
          <w:b/>
          <w:bCs/>
          <w:color w:val="1A3A5C"/>
          <w:sz w:val="36"/>
          <w:szCs w:val="36"/>
        </w:rPr>
        <w:t xml:space="preserve">8. Security Architecture</w:t>
      </w:r>
    </w:p>
    <w:p>
      <w:pPr>
        <w:pStyle w:val="Heading2"/>
        <w:spacing w:after="120" w:before="240"/>
      </w:pPr>
      <w:r>
        <w:rPr>
          <w:rFonts w:ascii="Arial" w:cs="Arial" w:eastAsia="Arial" w:hAnsi="Arial"/>
          <w:b/>
          <w:bCs/>
          <w:color w:val="0D7377"/>
          <w:sz w:val="26"/>
          <w:szCs w:val="26"/>
        </w:rPr>
        <w:t xml:space="preserve">8.1 Secret Key Protection</w:t>
      </w:r>
    </w:p>
    <w:p>
      <w:pPr>
        <w:spacing w:after="100" w:before="60"/>
        <w:jc w:val="left"/>
      </w:pPr>
      <w:r>
        <w:rPr>
          <w:rFonts w:ascii="Arial" w:cs="Arial" w:eastAsia="Arial" w:hAnsi="Arial"/>
          <w:b w:val="false"/>
          <w:bCs w:val="false"/>
          <w:color w:val="555555"/>
          <w:sz w:val="20"/>
          <w:szCs w:val="20"/>
        </w:rPr>
        <w:t xml:space="preserve">Stellar secrets are never transmitted or stored in plaintext. The encryption pipeline works as follows:</w:t>
      </w:r>
    </w:p>
    <w:p>
      <w:pPr>
        <w:pStyle w:val="ListParagraph"/>
        <w:numPr>
          <w:ilvl w:val="0"/>
          <w:numId w:val="2"/>
        </w:numPr>
        <w:spacing w:after="40" w:before="40"/>
      </w:pPr>
      <w:r>
        <w:rPr>
          <w:rFonts w:ascii="Arial" w:cs="Arial" w:eastAsia="Arial" w:hAnsi="Arial"/>
          <w:color w:val="555555"/>
          <w:sz w:val="20"/>
          <w:szCs w:val="20"/>
        </w:rPr>
        <w:t xml:space="preserve">On sign-up: a new Stellar KeyPair is generated client-side via @stellar/stellar-sdk</w:t>
      </w:r>
    </w:p>
    <w:p>
      <w:pPr>
        <w:pStyle w:val="ListParagraph"/>
        <w:numPr>
          <w:ilvl w:val="0"/>
          <w:numId w:val="2"/>
        </w:numPr>
        <w:spacing w:after="40" w:before="40"/>
      </w:pPr>
      <w:r>
        <w:rPr>
          <w:rFonts w:ascii="Arial" w:cs="Arial" w:eastAsia="Arial" w:hAnsi="Arial"/>
          <w:color w:val="555555"/>
          <w:sz w:val="20"/>
          <w:szCs w:val="20"/>
        </w:rPr>
        <w:t xml:space="preserve">The secret seed is encrypted using AES-GCM (Web Crypto API) with a key derived from the user's Firebase UID via PBKDF2 (100,000 iterations, SHA-256)</w:t>
      </w:r>
    </w:p>
    <w:p>
      <w:pPr>
        <w:pStyle w:val="ListParagraph"/>
        <w:numPr>
          <w:ilvl w:val="0"/>
          <w:numId w:val="2"/>
        </w:numPr>
        <w:spacing w:after="40" w:before="40"/>
      </w:pPr>
      <w:r>
        <w:rPr>
          <w:rFonts w:ascii="Arial" w:cs="Arial" w:eastAsia="Arial" w:hAnsi="Arial"/>
          <w:color w:val="555555"/>
          <w:sz w:val="20"/>
          <w:szCs w:val="20"/>
        </w:rPr>
        <w:t xml:space="preserve">The encrypted blob (base64 string) is stored in Firestore under the user's document — readable only by that user's auth token</w:t>
      </w:r>
    </w:p>
    <w:p>
      <w:pPr>
        <w:pStyle w:val="ListParagraph"/>
        <w:numPr>
          <w:ilvl w:val="0"/>
          <w:numId w:val="2"/>
        </w:numPr>
        <w:spacing w:after="40" w:before="40"/>
      </w:pPr>
      <w:r>
        <w:rPr>
          <w:rFonts w:ascii="Arial" w:cs="Arial" w:eastAsia="Arial" w:hAnsi="Arial"/>
          <w:color w:val="555555"/>
          <w:sz w:val="20"/>
          <w:szCs w:val="20"/>
        </w:rPr>
        <w:t xml:space="preserve">On subsequent logins: the encrypted blob is fetched from Firestore and decrypted in-memory. The plaintext secret never touches localStorage, Firestore in plaintext, or any server</w:t>
      </w:r>
    </w:p>
    <w:p>
      <w:pPr>
        <w:pStyle w:val="ListParagraph"/>
        <w:numPr>
          <w:ilvl w:val="0"/>
          <w:numId w:val="2"/>
        </w:numPr>
        <w:spacing w:after="40" w:before="40"/>
      </w:pPr>
      <w:r>
        <w:rPr>
          <w:rFonts w:ascii="Arial" w:cs="Arial" w:eastAsia="Arial" w:hAnsi="Arial"/>
          <w:color w:val="555555"/>
          <w:sz w:val="20"/>
          <w:szCs w:val="20"/>
        </w:rPr>
        <w:t xml:space="preserve">Result: Even a complete Firestore breach exposes only encrypted blobs. Without the Firebase UID (which requires valid auth credentials), decryption is computationally infeasible</w:t>
      </w:r>
    </w:p>
    <w:p>
      <w:pPr>
        <w:spacing w:after="80" w:before="0"/>
      </w:pPr>
      <w:r>
        <w:t xml:space="preserve"/>
      </w:r>
    </w:p>
    <w:p>
      <w:pPr>
        <w:pStyle w:val="Heading2"/>
        <w:spacing w:after="120" w:before="240"/>
      </w:pPr>
      <w:r>
        <w:rPr>
          <w:rFonts w:ascii="Arial" w:cs="Arial" w:eastAsia="Arial" w:hAnsi="Arial"/>
          <w:b/>
          <w:bCs/>
          <w:color w:val="0D7377"/>
          <w:sz w:val="26"/>
          <w:szCs w:val="26"/>
        </w:rPr>
        <w:t xml:space="preserve">8.2 Firestore Security Rules</w:t>
      </w:r>
    </w:p>
    <w:p>
      <w:pPr>
        <w:pStyle w:val="ListParagraph"/>
        <w:numPr>
          <w:ilvl w:val="0"/>
          <w:numId w:val="2"/>
        </w:numPr>
        <w:spacing w:after="40" w:before="40"/>
      </w:pPr>
      <w:r>
        <w:rPr>
          <w:rFonts w:ascii="Arial" w:cs="Arial" w:eastAsia="Arial" w:hAnsi="Arial"/>
          <w:color w:val="555555"/>
          <w:sz w:val="20"/>
          <w:szCs w:val="20"/>
        </w:rPr>
        <w:t xml:space="preserve">users collection: Only the document matching the authenticated user's UID is readable/writable by that user</w:t>
      </w:r>
    </w:p>
    <w:p>
      <w:pPr>
        <w:pStyle w:val="ListParagraph"/>
        <w:numPr>
          <w:ilvl w:val="0"/>
          <w:numId w:val="2"/>
        </w:numPr>
        <w:spacing w:after="40" w:before="40"/>
      </w:pPr>
      <w:r>
        <w:rPr>
          <w:rFonts w:ascii="Arial" w:cs="Arial" w:eastAsia="Arial" w:hAnsi="Arial"/>
          <w:color w:val="555555"/>
          <w:sz w:val="20"/>
          <w:szCs w:val="20"/>
        </w:rPr>
        <w:t xml:space="preserve">claims collection: Claim documents are readable by all authenticated users; only the sender can update the isClaimed flag</w:t>
      </w:r>
    </w:p>
    <w:p>
      <w:pPr>
        <w:pStyle w:val="ListParagraph"/>
        <w:numPr>
          <w:ilvl w:val="0"/>
          <w:numId w:val="2"/>
        </w:numPr>
        <w:spacing w:after="40" w:before="40"/>
      </w:pPr>
      <w:r>
        <w:rPr>
          <w:rFonts w:ascii="Arial" w:cs="Arial" w:eastAsia="Arial" w:hAnsi="Arial"/>
          <w:color w:val="555555"/>
          <w:sz w:val="20"/>
          <w:szCs w:val="20"/>
        </w:rPr>
        <w:t xml:space="preserve">transactions collection: Only the owning user's transactions are readable</w:t>
      </w:r>
    </w:p>
    <w:p>
      <w:pPr>
        <w:spacing w:after="160" w:before="0"/>
      </w:pPr>
      <w:r>
        <w:t xml:space="preserve"/>
      </w:r>
    </w:p>
    <w:p>
      <w:pPr>
        <w:pStyle w:val="Heading1"/>
        <w:spacing w:after="160" w:before="320"/>
      </w:pPr>
      <w:r>
        <w:rPr>
          <w:rFonts w:ascii="Arial" w:cs="Arial" w:eastAsia="Arial" w:hAnsi="Arial"/>
          <w:b/>
          <w:bCs/>
          <w:color w:val="1A3A5C"/>
          <w:sz w:val="36"/>
          <w:szCs w:val="36"/>
        </w:rPr>
        <w:t xml:space="preserve">9. Deployment &amp; Infrastructure</w:t>
      </w:r>
    </w:p>
    <w:p>
      <w:pPr>
        <w:pStyle w:val="Heading2"/>
        <w:spacing w:after="120" w:before="240"/>
      </w:pPr>
      <w:r>
        <w:rPr>
          <w:rFonts w:ascii="Arial" w:cs="Arial" w:eastAsia="Arial" w:hAnsi="Arial"/>
          <w:b/>
          <w:bCs/>
          <w:color w:val="0D7377"/>
          <w:sz w:val="26"/>
          <w:szCs w:val="26"/>
        </w:rPr>
        <w:t xml:space="preserve">9.1 Project 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D0E4F0" w:sz="4"/>
              <w:left w:val="single" w:color="D0E4F0" w:sz="4"/>
              <w:bottom w:val="single" w:color="D0E4F0" w:sz="4"/>
              <w:right w:val="single" w:color="D0E4F0" w:sz="4"/>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Path</w:t>
            </w:r>
          </w:p>
        </w:tc>
        <w:tc>
          <w:tcPr>
            <w:tcW w:type="dxa" w:w="6880"/>
            <w:tcBorders>
              <w:top w:val="single" w:color="D0E4F0" w:sz="4"/>
              <w:left w:val="single" w:color="D0E4F0" w:sz="4"/>
              <w:bottom w:val="single" w:color="D0E4F0" w:sz="4"/>
              <w:right w:val="single" w:color="D0E4F0" w:sz="4"/>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Purpose</w:t>
            </w:r>
          </w:p>
        </w:tc>
      </w:tr>
      <w:tr>
        <w:tc>
          <w:tcPr>
            <w:tcW w:type="dxa" w:w="3200"/>
            <w:gridSpan w:val="1"/>
            <w:tcBorders>
              <w:top w:val="single" w:color="D0E4F0" w:sz="4"/>
              <w:left w:val="single" w:color="D0E4F0" w:sz="4"/>
              <w:bottom w:val="single" w:color="D0E4F0" w:sz="4"/>
              <w:right w:val="single" w:color="D0E4F0" w:sz="4"/>
            </w:tcBorders>
            <w:shd w:fill="EEF4F8" w:val="clear"/>
            <w:tcMar>
              <w:top w:type="dxa" w:w="80"/>
              <w:left w:type="dxa" w:w="120"/>
              <w:bottom w:type="dxa" w:w="80"/>
              <w:right w:type="dxa" w:w="120"/>
            </w:tcMar>
            <w:vAlign w:val="top"/>
          </w:tcPr>
          <w:p>
            <w:pPr>
              <w:jc w:val="left"/>
            </w:pPr>
            <w:r>
              <w:rPr>
                <w:rFonts w:ascii="Arial" w:cs="Arial" w:eastAsia="Arial" w:hAnsi="Arial"/>
                <w:b/>
                <w:bCs/>
                <w:color w:val="1E2A3A"/>
                <w:sz w:val="18"/>
                <w:szCs w:val="18"/>
              </w:rPr>
              <w:t xml:space="preserve">src/lib/firebase.ts</w:t>
            </w:r>
          </w:p>
        </w:tc>
        <w:tc>
          <w:tcPr>
            <w:tcW w:type="dxa" w:w="688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18"/>
                <w:szCs w:val="18"/>
              </w:rPr>
              <w:t xml:space="preserve">Firebase singleton (lazy init, env var validation)</w:t>
            </w:r>
          </w:p>
        </w:tc>
      </w:tr>
      <w:tr>
        <w:tc>
          <w:tcPr>
            <w:tcW w:type="dxa" w:w="3200"/>
            <w:gridSpan w:val="1"/>
            <w:tcBorders>
              <w:top w:val="single" w:color="D0E4F0" w:sz="4"/>
              <w:left w:val="single" w:color="D0E4F0" w:sz="4"/>
              <w:bottom w:val="single" w:color="D0E4F0" w:sz="4"/>
              <w:right w:val="single" w:color="D0E4F0" w:sz="4"/>
            </w:tcBorders>
            <w:shd w:fill="EEF4F8" w:val="clear"/>
            <w:tcMar>
              <w:top w:type="dxa" w:w="80"/>
              <w:left w:type="dxa" w:w="120"/>
              <w:bottom w:type="dxa" w:w="80"/>
              <w:right w:type="dxa" w:w="120"/>
            </w:tcMar>
            <w:vAlign w:val="top"/>
          </w:tcPr>
          <w:p>
            <w:pPr>
              <w:jc w:val="left"/>
            </w:pPr>
            <w:r>
              <w:rPr>
                <w:rFonts w:ascii="Arial" w:cs="Arial" w:eastAsia="Arial" w:hAnsi="Arial"/>
                <w:b/>
                <w:bCs/>
                <w:color w:val="1E2A3A"/>
                <w:sz w:val="18"/>
                <w:szCs w:val="18"/>
              </w:rPr>
              <w:t xml:space="preserve">src/lib/stellar.ts</w:t>
            </w:r>
          </w:p>
        </w:tc>
        <w:tc>
          <w:tcPr>
            <w:tcW w:type="dxa" w:w="688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18"/>
                <w:szCs w:val="18"/>
              </w:rPr>
              <w:t xml:space="preserve">Stellar SDK server, trustline, account creation helpers</w:t>
            </w:r>
          </w:p>
        </w:tc>
      </w:tr>
      <w:tr>
        <w:tc>
          <w:tcPr>
            <w:tcW w:type="dxa" w:w="3200"/>
            <w:gridSpan w:val="1"/>
            <w:tcBorders>
              <w:top w:val="single" w:color="D0E4F0" w:sz="4"/>
              <w:left w:val="single" w:color="D0E4F0" w:sz="4"/>
              <w:bottom w:val="single" w:color="D0E4F0" w:sz="4"/>
              <w:right w:val="single" w:color="D0E4F0" w:sz="4"/>
            </w:tcBorders>
            <w:shd w:fill="EEF4F8" w:val="clear"/>
            <w:tcMar>
              <w:top w:type="dxa" w:w="80"/>
              <w:left w:type="dxa" w:w="120"/>
              <w:bottom w:type="dxa" w:w="80"/>
              <w:right w:type="dxa" w:w="120"/>
            </w:tcMar>
            <w:vAlign w:val="top"/>
          </w:tcPr>
          <w:p>
            <w:pPr>
              <w:jc w:val="left"/>
            </w:pPr>
            <w:r>
              <w:rPr>
                <w:rFonts w:ascii="Arial" w:cs="Arial" w:eastAsia="Arial" w:hAnsi="Arial"/>
                <w:b/>
                <w:bCs/>
                <w:color w:val="1E2A3A"/>
                <w:sz w:val="18"/>
                <w:szCs w:val="18"/>
              </w:rPr>
              <w:t xml:space="preserve">src/lib/crypto.ts</w:t>
            </w:r>
          </w:p>
        </w:tc>
        <w:tc>
          <w:tcPr>
            <w:tcW w:type="dxa" w:w="688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18"/>
                <w:szCs w:val="18"/>
              </w:rPr>
              <w:t xml:space="preserve">AES-GCM encrypt/decrypt using Web Crypto API + PBKDF2</w:t>
            </w:r>
          </w:p>
        </w:tc>
      </w:tr>
      <w:tr>
        <w:tc>
          <w:tcPr>
            <w:tcW w:type="dxa" w:w="3200"/>
            <w:gridSpan w:val="1"/>
            <w:tcBorders>
              <w:top w:val="single" w:color="D0E4F0" w:sz="4"/>
              <w:left w:val="single" w:color="D0E4F0" w:sz="4"/>
              <w:bottom w:val="single" w:color="D0E4F0" w:sz="4"/>
              <w:right w:val="single" w:color="D0E4F0" w:sz="4"/>
            </w:tcBorders>
            <w:shd w:fill="EEF4F8" w:val="clear"/>
            <w:tcMar>
              <w:top w:type="dxa" w:w="80"/>
              <w:left w:type="dxa" w:w="120"/>
              <w:bottom w:type="dxa" w:w="80"/>
              <w:right w:type="dxa" w:w="120"/>
            </w:tcMar>
            <w:vAlign w:val="top"/>
          </w:tcPr>
          <w:p>
            <w:pPr>
              <w:jc w:val="left"/>
            </w:pPr>
            <w:r>
              <w:rPr>
                <w:rFonts w:ascii="Arial" w:cs="Arial" w:eastAsia="Arial" w:hAnsi="Arial"/>
                <w:b/>
                <w:bCs/>
                <w:color w:val="1E2A3A"/>
                <w:sz w:val="18"/>
                <w:szCs w:val="18"/>
              </w:rPr>
              <w:t xml:space="preserve">src/lib/storage.ts</w:t>
            </w:r>
          </w:p>
        </w:tc>
        <w:tc>
          <w:tcPr>
            <w:tcW w:type="dxa" w:w="688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18"/>
                <w:szCs w:val="18"/>
              </w:rPr>
              <w:t xml:space="preserve">localStorage read/write (offline-first cache)</w:t>
            </w:r>
          </w:p>
        </w:tc>
      </w:tr>
      <w:tr>
        <w:tc>
          <w:tcPr>
            <w:tcW w:type="dxa" w:w="3200"/>
            <w:gridSpan w:val="1"/>
            <w:tcBorders>
              <w:top w:val="single" w:color="D0E4F0" w:sz="4"/>
              <w:left w:val="single" w:color="D0E4F0" w:sz="4"/>
              <w:bottom w:val="single" w:color="D0E4F0" w:sz="4"/>
              <w:right w:val="single" w:color="D0E4F0" w:sz="4"/>
            </w:tcBorders>
            <w:shd w:fill="EEF4F8" w:val="clear"/>
            <w:tcMar>
              <w:top w:type="dxa" w:w="80"/>
              <w:left w:type="dxa" w:w="120"/>
              <w:bottom w:type="dxa" w:w="80"/>
              <w:right w:type="dxa" w:w="120"/>
            </w:tcMar>
            <w:vAlign w:val="top"/>
          </w:tcPr>
          <w:p>
            <w:pPr>
              <w:jc w:val="left"/>
            </w:pPr>
            <w:r>
              <w:rPr>
                <w:rFonts w:ascii="Arial" w:cs="Arial" w:eastAsia="Arial" w:hAnsi="Arial"/>
                <w:b/>
                <w:bCs/>
                <w:color w:val="1E2A3A"/>
                <w:sz w:val="18"/>
                <w:szCs w:val="18"/>
              </w:rPr>
              <w:t xml:space="preserve">src/lib/services/*.ts</w:t>
            </w:r>
          </w:p>
        </w:tc>
        <w:tc>
          <w:tcPr>
            <w:tcW w:type="dxa" w:w="688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18"/>
                <w:szCs w:val="18"/>
              </w:rPr>
              <w:t xml:space="preserve">Business logic: auth, user, claim, transaction services</w:t>
            </w:r>
          </w:p>
        </w:tc>
      </w:tr>
      <w:tr>
        <w:tc>
          <w:tcPr>
            <w:tcW w:type="dxa" w:w="3200"/>
            <w:gridSpan w:val="1"/>
            <w:tcBorders>
              <w:top w:val="single" w:color="D0E4F0" w:sz="4"/>
              <w:left w:val="single" w:color="D0E4F0" w:sz="4"/>
              <w:bottom w:val="single" w:color="D0E4F0" w:sz="4"/>
              <w:right w:val="single" w:color="D0E4F0" w:sz="4"/>
            </w:tcBorders>
            <w:shd w:fill="EEF4F8" w:val="clear"/>
            <w:tcMar>
              <w:top w:type="dxa" w:w="80"/>
              <w:left w:type="dxa" w:w="120"/>
              <w:bottom w:type="dxa" w:w="80"/>
              <w:right w:type="dxa" w:w="120"/>
            </w:tcMar>
            <w:vAlign w:val="top"/>
          </w:tcPr>
          <w:p>
            <w:pPr>
              <w:jc w:val="left"/>
            </w:pPr>
            <w:r>
              <w:rPr>
                <w:rFonts w:ascii="Arial" w:cs="Arial" w:eastAsia="Arial" w:hAnsi="Arial"/>
                <w:b/>
                <w:bCs/>
                <w:color w:val="1E2A3A"/>
                <w:sz w:val="18"/>
                <w:szCs w:val="18"/>
              </w:rPr>
              <w:t xml:space="preserve">src/contexts/AppContext.tsx</w:t>
            </w:r>
          </w:p>
        </w:tc>
        <w:tc>
          <w:tcPr>
            <w:tcW w:type="dxa" w:w="688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18"/>
                <w:szCs w:val="18"/>
              </w:rPr>
              <w:t xml:space="preserve">Central state: auth, wallet secret, claims, transactions</w:t>
            </w:r>
          </w:p>
        </w:tc>
      </w:tr>
      <w:tr>
        <w:tc>
          <w:tcPr>
            <w:tcW w:type="dxa" w:w="3200"/>
            <w:gridSpan w:val="1"/>
            <w:tcBorders>
              <w:top w:val="single" w:color="D0E4F0" w:sz="4"/>
              <w:left w:val="single" w:color="D0E4F0" w:sz="4"/>
              <w:bottom w:val="single" w:color="D0E4F0" w:sz="4"/>
              <w:right w:val="single" w:color="D0E4F0" w:sz="4"/>
            </w:tcBorders>
            <w:shd w:fill="EEF4F8" w:val="clear"/>
            <w:tcMar>
              <w:top w:type="dxa" w:w="80"/>
              <w:left w:type="dxa" w:w="120"/>
              <w:bottom w:type="dxa" w:w="80"/>
              <w:right w:type="dxa" w:w="120"/>
            </w:tcMar>
            <w:vAlign w:val="top"/>
          </w:tcPr>
          <w:p>
            <w:pPr>
              <w:jc w:val="left"/>
            </w:pPr>
            <w:r>
              <w:rPr>
                <w:rFonts w:ascii="Arial" w:cs="Arial" w:eastAsia="Arial" w:hAnsi="Arial"/>
                <w:b/>
                <w:bCs/>
                <w:color w:val="1E2A3A"/>
                <w:sz w:val="18"/>
                <w:szCs w:val="18"/>
              </w:rPr>
              <w:t xml:space="preserve">src/hooks/useAuth.ts</w:t>
            </w:r>
          </w:p>
        </w:tc>
        <w:tc>
          <w:tcPr>
            <w:tcW w:type="dxa" w:w="688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18"/>
                <w:szCs w:val="18"/>
              </w:rPr>
              <w:t xml:space="preserve">Firebase onAuthStateChanged listener wrapper</w:t>
            </w:r>
          </w:p>
        </w:tc>
      </w:tr>
      <w:tr>
        <w:tc>
          <w:tcPr>
            <w:tcW w:type="dxa" w:w="3200"/>
            <w:gridSpan w:val="1"/>
            <w:tcBorders>
              <w:top w:val="single" w:color="D0E4F0" w:sz="4"/>
              <w:left w:val="single" w:color="D0E4F0" w:sz="4"/>
              <w:bottom w:val="single" w:color="D0E4F0" w:sz="4"/>
              <w:right w:val="single" w:color="D0E4F0" w:sz="4"/>
            </w:tcBorders>
            <w:shd w:fill="EEF4F8" w:val="clear"/>
            <w:tcMar>
              <w:top w:type="dxa" w:w="80"/>
              <w:left w:type="dxa" w:w="120"/>
              <w:bottom w:type="dxa" w:w="80"/>
              <w:right w:type="dxa" w:w="120"/>
            </w:tcMar>
            <w:vAlign w:val="top"/>
          </w:tcPr>
          <w:p>
            <w:pPr>
              <w:jc w:val="left"/>
            </w:pPr>
            <w:r>
              <w:rPr>
                <w:rFonts w:ascii="Arial" w:cs="Arial" w:eastAsia="Arial" w:hAnsi="Arial"/>
                <w:b/>
                <w:bCs/>
                <w:color w:val="1E2A3A"/>
                <w:sz w:val="18"/>
                <w:szCs w:val="18"/>
              </w:rPr>
              <w:t xml:space="preserve">src/pages/*.tsx</w:t>
            </w:r>
          </w:p>
        </w:tc>
        <w:tc>
          <w:tcPr>
            <w:tcW w:type="dxa" w:w="688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18"/>
                <w:szCs w:val="18"/>
              </w:rPr>
              <w:t xml:space="preserve">Route pages: Landing, Auth, Dashboard, Send, Claim, Insights, Profile, History</w:t>
            </w:r>
          </w:p>
        </w:tc>
      </w:tr>
      <w:tr>
        <w:tc>
          <w:tcPr>
            <w:tcW w:type="dxa" w:w="3200"/>
            <w:gridSpan w:val="1"/>
            <w:tcBorders>
              <w:top w:val="single" w:color="D0E4F0" w:sz="4"/>
              <w:left w:val="single" w:color="D0E4F0" w:sz="4"/>
              <w:bottom w:val="single" w:color="D0E4F0" w:sz="4"/>
              <w:right w:val="single" w:color="D0E4F0" w:sz="4"/>
            </w:tcBorders>
            <w:shd w:fill="EEF4F8" w:val="clear"/>
            <w:tcMar>
              <w:top w:type="dxa" w:w="80"/>
              <w:left w:type="dxa" w:w="120"/>
              <w:bottom w:type="dxa" w:w="80"/>
              <w:right w:type="dxa" w:w="120"/>
            </w:tcMar>
            <w:vAlign w:val="top"/>
          </w:tcPr>
          <w:p>
            <w:pPr>
              <w:jc w:val="left"/>
            </w:pPr>
            <w:r>
              <w:rPr>
                <w:rFonts w:ascii="Arial" w:cs="Arial" w:eastAsia="Arial" w:hAnsi="Arial"/>
                <w:b/>
                <w:bCs/>
                <w:color w:val="1E2A3A"/>
                <w:sz w:val="18"/>
                <w:szCs w:val="18"/>
              </w:rPr>
              <w:t xml:space="preserve">scripts/setup-treasury.ts</w:t>
            </w:r>
          </w:p>
        </w:tc>
        <w:tc>
          <w:tcPr>
            <w:tcW w:type="dxa" w:w="688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18"/>
                <w:szCs w:val="18"/>
              </w:rPr>
              <w:t xml:space="preserve">Treasury bootstrap: Friendbot fund, USDC trustline, self-mint</w:t>
            </w:r>
          </w:p>
        </w:tc>
      </w:tr>
      <w:tr>
        <w:tc>
          <w:tcPr>
            <w:tcW w:type="dxa" w:w="3200"/>
            <w:gridSpan w:val="1"/>
            <w:tcBorders>
              <w:top w:val="single" w:color="D0E4F0" w:sz="4"/>
              <w:left w:val="single" w:color="D0E4F0" w:sz="4"/>
              <w:bottom w:val="single" w:color="D0E4F0" w:sz="4"/>
              <w:right w:val="single" w:color="D0E4F0" w:sz="4"/>
            </w:tcBorders>
            <w:shd w:fill="EEF4F8" w:val="clear"/>
            <w:tcMar>
              <w:top w:type="dxa" w:w="80"/>
              <w:left w:type="dxa" w:w="120"/>
              <w:bottom w:type="dxa" w:w="80"/>
              <w:right w:type="dxa" w:w="120"/>
            </w:tcMar>
            <w:vAlign w:val="top"/>
          </w:tcPr>
          <w:p>
            <w:pPr>
              <w:jc w:val="left"/>
            </w:pPr>
            <w:r>
              <w:rPr>
                <w:rFonts w:ascii="Arial" w:cs="Arial" w:eastAsia="Arial" w:hAnsi="Arial"/>
                <w:b/>
                <w:bCs/>
                <w:color w:val="1E2A3A"/>
                <w:sz w:val="18"/>
                <w:szCs w:val="18"/>
              </w:rPr>
              <w:t xml:space="preserve">.env.local</w:t>
            </w:r>
          </w:p>
        </w:tc>
        <w:tc>
          <w:tcPr>
            <w:tcW w:type="dxa" w:w="688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18"/>
                <w:szCs w:val="18"/>
              </w:rPr>
              <w:t xml:space="preserve">VITE_FIREBASE_*, VITE_STELLAR_*, VITE_MOCK_MODE (never committed)</w:t>
            </w:r>
          </w:p>
        </w:tc>
      </w:tr>
    </w:tbl>
    <w:p>
      <w:pPr>
        <w:spacing w:after="160" w:before="0"/>
      </w:pPr>
      <w:r>
        <w:t xml:space="preserve"/>
      </w:r>
    </w:p>
    <w:p>
      <w:pPr>
        <w:pStyle w:val="Heading1"/>
        <w:spacing w:after="160" w:before="320"/>
      </w:pPr>
      <w:r>
        <w:rPr>
          <w:rFonts w:ascii="Arial" w:cs="Arial" w:eastAsia="Arial" w:hAnsi="Arial"/>
          <w:b/>
          <w:bCs/>
          <w:color w:val="1A3A5C"/>
          <w:sz w:val="36"/>
          <w:szCs w:val="36"/>
        </w:rPr>
        <w:t xml:space="preserve">10. What Makes StellarNest Different</w:t>
      </w:r>
    </w:p>
    <w:p>
      <w:pPr>
        <w:spacing w:after="100" w:before="60"/>
        <w:jc w:val="left"/>
      </w:pPr>
      <w:r>
        <w:rPr>
          <w:rFonts w:ascii="Arial" w:cs="Arial" w:eastAsia="Arial" w:hAnsi="Arial"/>
          <w:b w:val="false"/>
          <w:bCs w:val="false"/>
          <w:color w:val="555555"/>
          <w:sz w:val="20"/>
          <w:szCs w:val="20"/>
        </w:rPr>
        <w:t xml:space="preserve">StellarNest is not simply "crypto for remittance." The combination of its feature stack, target demographic, and technical approach creates a differentiated offering:</w:t>
      </w:r>
    </w:p>
    <w:p>
      <w:pPr>
        <w:spacing w:after="12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E4F0" w:sz="4"/>
              <w:left w:val="single" w:color="D0E4F0" w:sz="4"/>
              <w:bottom w:val="single" w:color="D0E4F0" w:sz="4"/>
              <w:right w:val="single" w:color="D0E4F0" w:sz="4"/>
            </w:tcBorders>
            <w:tcMar>
              <w:top w:type="dxa" w:w="160"/>
              <w:left w:type="dxa" w:w="200"/>
              <w:bottom w:type="dxa" w:w="160"/>
              <w:right w:type="dxa" w:w="200"/>
            </w:tcMar>
          </w:tcPr>
          <w:p>
            <w:pPr>
              <w:spacing w:after="80" w:before="0"/>
            </w:pPr>
            <w:r>
              <w:rPr>
                <w:rFonts w:ascii="Arial" w:cs="Arial" w:eastAsia="Arial" w:hAnsi="Arial"/>
                <w:b/>
                <w:bCs/>
                <w:color w:val="0D7377"/>
                <w:sz w:val="22"/>
                <w:szCs w:val="22"/>
              </w:rPr>
              <w:t xml:space="preserve">1.  </w:t>
            </w:r>
            <w:r>
              <w:rPr>
                <w:rFonts w:ascii="Arial" w:cs="Arial" w:eastAsia="Arial" w:hAnsi="Arial"/>
                <w:b/>
                <w:bCs/>
                <w:color w:val="1A3A5C"/>
                <w:sz w:val="22"/>
                <w:szCs w:val="22"/>
              </w:rPr>
              <w:t xml:space="preserve">Purpose-Built for APAC</w:t>
            </w:r>
          </w:p>
          <w:p>
            <w:pPr>
              <w:spacing w:after="0" w:before="0"/>
            </w:pPr>
            <w:r>
              <w:rPr>
                <w:rFonts w:ascii="Arial" w:cs="Arial" w:eastAsia="Arial" w:hAnsi="Arial"/>
                <w:color w:val="555555"/>
                <w:sz w:val="20"/>
                <w:szCs w:val="20"/>
              </w:rPr>
              <w:t xml:space="preserve">Unlike Western-centric incumbents, StellarNest is designed around the specific workflows of Indonesian gig workers, freelancers, and migrant laborers — people who send money home regularly, split income between family and savings, and need verifiable income records for formal banking.</w:t>
            </w:r>
          </w:p>
        </w:tc>
      </w:tr>
      <w:tr>
        <w:tc>
          <w:tcPr>
            <w:tcW w:type="dxa" w:w="10080"/>
            <w:tcBorders>
              <w:top w:val="single" w:color="D0E4F0" w:sz="4"/>
              <w:left w:val="single" w:color="D0E4F0" w:sz="4"/>
              <w:bottom w:val="single" w:color="D0E4F0" w:sz="4"/>
              <w:right w:val="single" w:color="D0E4F0" w:sz="4"/>
            </w:tcBorders>
            <w:tcMar>
              <w:top w:type="dxa" w:w="160"/>
              <w:left w:type="dxa" w:w="200"/>
              <w:bottom w:type="dxa" w:w="160"/>
              <w:right w:type="dxa" w:w="200"/>
            </w:tcMar>
          </w:tcPr>
          <w:p>
            <w:pPr>
              <w:spacing w:after="80" w:before="0"/>
            </w:pPr>
            <w:r>
              <w:rPr>
                <w:rFonts w:ascii="Arial" w:cs="Arial" w:eastAsia="Arial" w:hAnsi="Arial"/>
                <w:b/>
                <w:bCs/>
                <w:color w:val="0D7377"/>
                <w:sz w:val="22"/>
                <w:szCs w:val="22"/>
              </w:rPr>
              <w:t xml:space="preserve">2.  </w:t>
            </w:r>
            <w:r>
              <w:rPr>
                <w:rFonts w:ascii="Arial" w:cs="Arial" w:eastAsia="Arial" w:hAnsi="Arial"/>
                <w:b/>
                <w:bCs/>
                <w:color w:val="1A3A5C"/>
                <w:sz w:val="22"/>
                <w:szCs w:val="22"/>
              </w:rPr>
              <w:t xml:space="preserve">No Bank Account Required to Receive</w:t>
            </w:r>
          </w:p>
          <w:p>
            <w:pPr>
              <w:spacing w:after="0" w:before="0"/>
            </w:pPr>
            <w:r>
              <w:rPr>
                <w:rFonts w:ascii="Arial" w:cs="Arial" w:eastAsia="Arial" w:hAnsi="Arial"/>
                <w:color w:val="555555"/>
                <w:sz w:val="20"/>
                <w:szCs w:val="20"/>
              </w:rPr>
              <w:t xml:space="preserve">Traditional remittance requires a bank account. StellarNest's Magic Claim Links let recipients with just a phone number and an internet connection claim funds directly. This dramatically lowers the barrier to entry for rural Indonesia.</w:t>
            </w:r>
          </w:p>
        </w:tc>
      </w:tr>
      <w:tr>
        <w:tc>
          <w:tcPr>
            <w:tcW w:type="dxa" w:w="10080"/>
            <w:tcBorders>
              <w:top w:val="single" w:color="D0E4F0" w:sz="4"/>
              <w:left w:val="single" w:color="D0E4F0" w:sz="4"/>
              <w:bottom w:val="single" w:color="D0E4F0" w:sz="4"/>
              <w:right w:val="single" w:color="D0E4F0" w:sz="4"/>
            </w:tcBorders>
            <w:tcMar>
              <w:top w:type="dxa" w:w="160"/>
              <w:left w:type="dxa" w:w="200"/>
              <w:bottom w:type="dxa" w:w="160"/>
              <w:right w:type="dxa" w:w="200"/>
            </w:tcMar>
          </w:tcPr>
          <w:p>
            <w:pPr>
              <w:spacing w:after="80" w:before="0"/>
            </w:pPr>
            <w:r>
              <w:rPr>
                <w:rFonts w:ascii="Arial" w:cs="Arial" w:eastAsia="Arial" w:hAnsi="Arial"/>
                <w:b/>
                <w:bCs/>
                <w:color w:val="0D7377"/>
                <w:sz w:val="22"/>
                <w:szCs w:val="22"/>
              </w:rPr>
              <w:t xml:space="preserve">3.  </w:t>
            </w:r>
            <w:r>
              <w:rPr>
                <w:rFonts w:ascii="Arial" w:cs="Arial" w:eastAsia="Arial" w:hAnsi="Arial"/>
                <w:b/>
                <w:bCs/>
                <w:color w:val="1A3A5C"/>
                <w:sz w:val="22"/>
                <w:szCs w:val="22"/>
              </w:rPr>
              <w:t xml:space="preserve">Automated Split-Routing</w:t>
            </w:r>
          </w:p>
          <w:p>
            <w:pPr>
              <w:spacing w:after="0" w:before="0"/>
            </w:pPr>
            <w:r>
              <w:rPr>
                <w:rFonts w:ascii="Arial" w:cs="Arial" w:eastAsia="Arial" w:hAnsi="Arial"/>
                <w:color w:val="555555"/>
                <w:sz w:val="20"/>
                <w:szCs w:val="20"/>
              </w:rPr>
              <w:t xml:space="preserve">No other remittance app automates the 70/30 family-to-savings split at the protocol level. StellarNest encodes this logic into every payment, building financial discipline into every transaction automatically.</w:t>
            </w:r>
          </w:p>
        </w:tc>
      </w:tr>
      <w:tr>
        <w:tc>
          <w:tcPr>
            <w:tcW w:type="dxa" w:w="10080"/>
            <w:tcBorders>
              <w:top w:val="single" w:color="D0E4F0" w:sz="4"/>
              <w:left w:val="single" w:color="D0E4F0" w:sz="4"/>
              <w:bottom w:val="single" w:color="D0E4F0" w:sz="4"/>
              <w:right w:val="single" w:color="D0E4F0" w:sz="4"/>
            </w:tcBorders>
            <w:tcMar>
              <w:top w:type="dxa" w:w="160"/>
              <w:left w:type="dxa" w:w="200"/>
              <w:bottom w:type="dxa" w:w="160"/>
              <w:right w:type="dxa" w:w="200"/>
            </w:tcMar>
          </w:tcPr>
          <w:p>
            <w:pPr>
              <w:spacing w:after="80" w:before="0"/>
            </w:pPr>
            <w:r>
              <w:rPr>
                <w:rFonts w:ascii="Arial" w:cs="Arial" w:eastAsia="Arial" w:hAnsi="Arial"/>
                <w:b/>
                <w:bCs/>
                <w:color w:val="0D7377"/>
                <w:sz w:val="22"/>
                <w:szCs w:val="22"/>
              </w:rPr>
              <w:t xml:space="preserve">4.  </w:t>
            </w:r>
            <w:r>
              <w:rPr>
                <w:rFonts w:ascii="Arial" w:cs="Arial" w:eastAsia="Arial" w:hAnsi="Arial"/>
                <w:b/>
                <w:bCs/>
                <w:color w:val="1A3A5C"/>
                <w:sz w:val="22"/>
                <w:szCs w:val="22"/>
              </w:rPr>
              <w:t xml:space="preserve">On-Chain Transparency &amp; Speed</w:t>
            </w:r>
          </w:p>
          <w:p>
            <w:pPr>
              <w:spacing w:after="0" w:before="0"/>
            </w:pPr>
            <w:r>
              <w:rPr>
                <w:rFonts w:ascii="Arial" w:cs="Arial" w:eastAsia="Arial" w:hAnsi="Arial"/>
                <w:color w:val="555555"/>
                <w:sz w:val="20"/>
                <w:szCs w:val="20"/>
              </w:rPr>
              <w:t xml:space="preserve">Settlements happen in under 5 seconds on the Stellar testnet with near-zero fees. Every transaction is publicly verifiable on-chain — unlike SWIFT-based systems where tracing a payment requires bank investigator intervention.</w:t>
            </w:r>
          </w:p>
        </w:tc>
      </w:tr>
      <w:tr>
        <w:tc>
          <w:tcPr>
            <w:tcW w:type="dxa" w:w="10080"/>
            <w:tcBorders>
              <w:top w:val="single" w:color="D0E4F0" w:sz="4"/>
              <w:left w:val="single" w:color="D0E4F0" w:sz="4"/>
              <w:bottom w:val="single" w:color="D0E4F0" w:sz="4"/>
              <w:right w:val="single" w:color="D0E4F0" w:sz="4"/>
            </w:tcBorders>
            <w:tcMar>
              <w:top w:type="dxa" w:w="160"/>
              <w:left w:type="dxa" w:w="200"/>
              <w:bottom w:type="dxa" w:w="160"/>
              <w:right w:type="dxa" w:w="200"/>
            </w:tcMar>
          </w:tcPr>
          <w:p>
            <w:pPr>
              <w:spacing w:after="80" w:before="0"/>
            </w:pPr>
            <w:r>
              <w:rPr>
                <w:rFonts w:ascii="Arial" w:cs="Arial" w:eastAsia="Arial" w:hAnsi="Arial"/>
                <w:b/>
                <w:bCs/>
                <w:color w:val="0D7377"/>
                <w:sz w:val="22"/>
                <w:szCs w:val="22"/>
              </w:rPr>
              <w:t xml:space="preserve">5.  </w:t>
            </w:r>
            <w:r>
              <w:rPr>
                <w:rFonts w:ascii="Arial" w:cs="Arial" w:eastAsia="Arial" w:hAnsi="Arial"/>
                <w:b/>
                <w:bCs/>
                <w:color w:val="1A3A5C"/>
                <w:sz w:val="22"/>
                <w:szCs w:val="22"/>
              </w:rPr>
              <w:t xml:space="preserve">Client-Side Encryption First</w:t>
            </w:r>
          </w:p>
          <w:p>
            <w:pPr>
              <w:spacing w:after="0" w:before="0"/>
            </w:pPr>
            <w:r>
              <w:rPr>
                <w:rFonts w:ascii="Arial" w:cs="Arial" w:eastAsia="Arial" w:hAnsi="Arial"/>
                <w:color w:val="555555"/>
                <w:sz w:val="20"/>
                <w:szCs w:val="20"/>
              </w:rPr>
              <w:t xml:space="preserve">Stellar secrets never leave the user's device unencrypted. Even in the worst-case scenario (Firestore breach), the encrypted blobs are cryptographically protected by the user's Firebase UID — no third-party HSM or KMS required.</w:t>
            </w:r>
          </w:p>
        </w:tc>
      </w:tr>
      <w:tr>
        <w:tc>
          <w:tcPr>
            <w:tcW w:type="dxa" w:w="10080"/>
            <w:tcBorders>
              <w:top w:val="single" w:color="D0E4F0" w:sz="4"/>
              <w:left w:val="single" w:color="D0E4F0" w:sz="4"/>
              <w:bottom w:val="single" w:color="D0E4F0" w:sz="4"/>
              <w:right w:val="single" w:color="D0E4F0" w:sz="4"/>
            </w:tcBorders>
            <w:tcMar>
              <w:top w:type="dxa" w:w="160"/>
              <w:left w:type="dxa" w:w="200"/>
              <w:bottom w:type="dxa" w:w="160"/>
              <w:right w:type="dxa" w:w="200"/>
            </w:tcMar>
          </w:tcPr>
          <w:p>
            <w:pPr>
              <w:spacing w:after="80" w:before="0"/>
            </w:pPr>
            <w:r>
              <w:rPr>
                <w:rFonts w:ascii="Arial" w:cs="Arial" w:eastAsia="Arial" w:hAnsi="Arial"/>
                <w:b/>
                <w:bCs/>
                <w:color w:val="0D7377"/>
                <w:sz w:val="22"/>
                <w:szCs w:val="22"/>
              </w:rPr>
              <w:t xml:space="preserve">6.  </w:t>
            </w:r>
            <w:r>
              <w:rPr>
                <w:rFonts w:ascii="Arial" w:cs="Arial" w:eastAsia="Arial" w:hAnsi="Arial"/>
                <w:b/>
                <w:bCs/>
                <w:color w:val="1A3A5C"/>
                <w:sz w:val="22"/>
                <w:szCs w:val="22"/>
              </w:rPr>
              <w:t xml:space="preserve">Built-In Proof of Income</w:t>
            </w:r>
          </w:p>
          <w:p>
            <w:pPr>
              <w:spacing w:after="0" w:before="0"/>
            </w:pPr>
            <w:r>
              <w:rPr>
                <w:rFonts w:ascii="Arial" w:cs="Arial" w:eastAsia="Arial" w:hAnsi="Arial"/>
                <w:color w:val="555555"/>
                <w:sz w:val="20"/>
                <w:szCs w:val="20"/>
              </w:rPr>
              <w:t xml:space="preserve">For Indonesian workers seeking bank loans, car loans, or apartment rentals, proof of income is a major friction point. StellarNest's Insights dashboard generates a verifiable, timestamped income record directly from on-chain + Firestore data.</w:t>
            </w:r>
          </w:p>
        </w:tc>
      </w:tr>
    </w:tbl>
    <w:p>
      <w:pPr>
        <w:spacing w:after="160" w:before="0"/>
      </w:pPr>
      <w:r>
        <w:t xml:space="preserve"/>
      </w:r>
    </w:p>
    <w:p>
      <w:pPr>
        <w:pStyle w:val="Heading1"/>
        <w:spacing w:after="160" w:before="320"/>
      </w:pPr>
      <w:r>
        <w:rPr>
          <w:rFonts w:ascii="Arial" w:cs="Arial" w:eastAsia="Arial" w:hAnsi="Arial"/>
          <w:b/>
          <w:bCs/>
          <w:color w:val="1A3A5C"/>
          <w:sz w:val="36"/>
          <w:szCs w:val="36"/>
        </w:rPr>
        <w:t xml:space="preserve">11. Roadmap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5280"/>
      </w:tblGrid>
      <w:tr>
        <w:trPr>
          <w:tblHeader/>
        </w:trPr>
        <w:tc>
          <w:tcPr>
            <w:tcW w:type="dxa" w:w="1800"/>
            <w:tcBorders>
              <w:top w:val="single" w:color="D0E4F0" w:sz="4"/>
              <w:left w:val="single" w:color="D0E4F0" w:sz="4"/>
              <w:bottom w:val="single" w:color="D0E4F0" w:sz="4"/>
              <w:right w:val="single" w:color="D0E4F0" w:sz="4"/>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Phase</w:t>
            </w:r>
          </w:p>
        </w:tc>
        <w:tc>
          <w:tcPr>
            <w:tcW w:type="dxa" w:w="3000"/>
            <w:tcBorders>
              <w:top w:val="single" w:color="D0E4F0" w:sz="4"/>
              <w:left w:val="single" w:color="D0E4F0" w:sz="4"/>
              <w:bottom w:val="single" w:color="D0E4F0" w:sz="4"/>
              <w:right w:val="single" w:color="D0E4F0" w:sz="4"/>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Timeline</w:t>
            </w:r>
          </w:p>
        </w:tc>
        <w:tc>
          <w:tcPr>
            <w:tcW w:type="dxa" w:w="5280"/>
            <w:tcBorders>
              <w:top w:val="single" w:color="D0E4F0" w:sz="4"/>
              <w:left w:val="single" w:color="D0E4F0" w:sz="4"/>
              <w:bottom w:val="single" w:color="D0E4F0" w:sz="4"/>
              <w:right w:val="single" w:color="D0E4F0" w:sz="4"/>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Deliverables</w:t>
            </w:r>
          </w:p>
        </w:tc>
      </w:tr>
      <w:tr>
        <w:tc>
          <w:tcPr>
            <w:tcW w:type="dxa" w:w="1800"/>
            <w:gridSpan w:val="1"/>
            <w:tcBorders>
              <w:top w:val="single" w:color="D0E4F0" w:sz="4"/>
              <w:left w:val="single" w:color="D0E4F0" w:sz="4"/>
              <w:bottom w:val="single" w:color="D0E4F0" w:sz="4"/>
              <w:right w:val="single" w:color="D0E4F0" w:sz="4"/>
            </w:tcBorders>
            <w:shd w:fill="EAF4FB" w:val="clear"/>
            <w:tcMar>
              <w:top w:type="dxa" w:w="80"/>
              <w:left w:type="dxa" w:w="120"/>
              <w:bottom w:type="dxa" w:w="80"/>
              <w:right w:type="dxa" w:w="120"/>
            </w:tcMar>
            <w:vAlign w:val="top"/>
          </w:tcPr>
          <w:p>
            <w:pPr>
              <w:jc w:val="left"/>
            </w:pPr>
            <w:r>
              <w:rPr>
                <w:rFonts w:ascii="Arial" w:cs="Arial" w:eastAsia="Arial" w:hAnsi="Arial"/>
                <w:b/>
                <w:bCs/>
                <w:color w:val="1E2A3A"/>
                <w:sz w:val="18"/>
                <w:szCs w:val="18"/>
              </w:rPr>
              <w:t xml:space="preserve">MVP (Current)</w:t>
            </w:r>
          </w:p>
        </w:tc>
        <w:tc>
          <w:tcPr>
            <w:tcW w:type="dxa" w:w="3000"/>
            <w:gridSpan w:val="1"/>
            <w:tcBorders>
              <w:top w:val="single" w:color="D0E4F0" w:sz="4"/>
              <w:left w:val="single" w:color="D0E4F0" w:sz="4"/>
              <w:bottom w:val="single" w:color="D0E4F0" w:sz="4"/>
              <w:right w:val="single" w:color="D0E4F0" w:sz="4"/>
            </w:tcBorders>
            <w:shd w:fill="EAF4FB" w:val="clear"/>
            <w:tcMar>
              <w:top w:type="dxa" w:w="80"/>
              <w:left w:type="dxa" w:w="120"/>
              <w:bottom w:type="dxa" w:w="80"/>
              <w:right w:type="dxa" w:w="120"/>
            </w:tcMar>
            <w:vAlign w:val="top"/>
          </w:tcPr>
          <w:p>
            <w:pPr>
              <w:jc w:val="left"/>
            </w:pPr>
            <w:r>
              <w:rPr>
                <w:rFonts w:ascii="Arial" w:cs="Arial" w:eastAsia="Arial" w:hAnsi="Arial"/>
                <w:b w:val="false"/>
                <w:bCs w:val="false"/>
                <w:color w:val="1E2A3A"/>
                <w:sz w:val="18"/>
                <w:szCs w:val="18"/>
              </w:rPr>
              <w:t xml:space="preserve">Hackathon (Jul 2026)</w:t>
            </w:r>
          </w:p>
        </w:tc>
        <w:tc>
          <w:tcPr>
            <w:tcW w:type="dxa" w:w="528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18"/>
                <w:szCs w:val="18"/>
              </w:rPr>
              <w:t xml:space="preserve">Magic Claim Links, Split-Routing, Insights, Firebase Auth, AES-GCM encryption, testnet USDC faucet</w:t>
            </w:r>
          </w:p>
        </w:tc>
      </w:tr>
      <w:tr>
        <w:tc>
          <w:tcPr>
            <w:tcW w:type="dxa" w:w="180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left"/>
            </w:pPr>
            <w:r>
              <w:rPr>
                <w:rFonts w:ascii="Arial" w:cs="Arial" w:eastAsia="Arial" w:hAnsi="Arial"/>
                <w:b/>
                <w:bCs/>
                <w:color w:val="1E2A3A"/>
                <w:sz w:val="18"/>
                <w:szCs w:val="18"/>
              </w:rPr>
              <w:t xml:space="preserve">Beta Launch</w:t>
            </w:r>
          </w:p>
        </w:tc>
        <w:tc>
          <w:tcPr>
            <w:tcW w:type="dxa" w:w="300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18"/>
                <w:szCs w:val="18"/>
              </w:rPr>
              <w:t xml:space="preserve">Aug 2026</w:t>
            </w:r>
          </w:p>
        </w:tc>
        <w:tc>
          <w:tcPr>
            <w:tcW w:type="dxa" w:w="528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18"/>
                <w:szCs w:val="18"/>
              </w:rPr>
              <w:t xml:space="preserve">Real USDC on Stellar public network, IDR off-ramp via partner bank/VASP, WhatsApp bot for claim notifications</w:t>
            </w:r>
          </w:p>
        </w:tc>
      </w:tr>
      <w:tr>
        <w:tc>
          <w:tcPr>
            <w:tcW w:type="dxa" w:w="180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left"/>
            </w:pPr>
            <w:r>
              <w:rPr>
                <w:rFonts w:ascii="Arial" w:cs="Arial" w:eastAsia="Arial" w:hAnsi="Arial"/>
                <w:b/>
                <w:bCs/>
                <w:color w:val="1E2A3A"/>
                <w:sz w:val="18"/>
                <w:szCs w:val="18"/>
              </w:rPr>
              <w:t xml:space="preserve">V1.0</w:t>
            </w:r>
          </w:p>
        </w:tc>
        <w:tc>
          <w:tcPr>
            <w:tcW w:type="dxa" w:w="300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18"/>
                <w:szCs w:val="18"/>
              </w:rPr>
              <w:t xml:space="preserve">Q4 2026</w:t>
            </w:r>
          </w:p>
        </w:tc>
        <w:tc>
          <w:tcPr>
            <w:tcW w:type="dxa" w:w="528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18"/>
                <w:szCs w:val="18"/>
              </w:rPr>
              <w:t xml:space="preserve">iOS/Android native apps, recurring payment scheduling, group splits (split with multiple recipients), prepaid card integration</w:t>
            </w:r>
          </w:p>
        </w:tc>
      </w:tr>
      <w:tr>
        <w:tc>
          <w:tcPr>
            <w:tcW w:type="dxa" w:w="180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left"/>
            </w:pPr>
            <w:r>
              <w:rPr>
                <w:rFonts w:ascii="Arial" w:cs="Arial" w:eastAsia="Arial" w:hAnsi="Arial"/>
                <w:b/>
                <w:bCs/>
                <w:color w:val="1E2A3A"/>
                <w:sz w:val="18"/>
                <w:szCs w:val="18"/>
              </w:rPr>
              <w:t xml:space="preserve">Scale</w:t>
            </w:r>
          </w:p>
        </w:tc>
        <w:tc>
          <w:tcPr>
            <w:tcW w:type="dxa" w:w="300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18"/>
                <w:szCs w:val="18"/>
              </w:rPr>
              <w:t xml:space="preserve">2027</w:t>
            </w:r>
          </w:p>
        </w:tc>
        <w:tc>
          <w:tcPr>
            <w:tcW w:type="dxa" w:w="5280"/>
            <w:gridSpan w:val="1"/>
            <w:tcBorders>
              <w:top w:val="single" w:color="D0E4F0" w:sz="4"/>
              <w:left w:val="single" w:color="D0E4F0" w:sz="4"/>
              <w:bottom w:val="single" w:color="D0E4F0" w:sz="4"/>
              <w:right w:val="single" w:color="D0E4F0"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E2A3A"/>
                <w:sz w:val="18"/>
                <w:szCs w:val="18"/>
              </w:rPr>
              <w:t xml:space="preserve">B2B HR platform for recruitment agencies, micro-loans against on-chain income history, NFT savings bonds</w:t>
            </w:r>
          </w:p>
        </w:tc>
      </w:tr>
    </w:tbl>
    <w:p>
      <w:pPr>
        <w:spacing w:after="160" w:before="0"/>
      </w:pPr>
      <w:r>
        <w:t xml:space="preserve"/>
      </w:r>
    </w:p>
    <w:p>
      <w:pPr>
        <w:pStyle w:val="Heading1"/>
        <w:spacing w:after="160" w:before="320"/>
      </w:pPr>
      <w:r>
        <w:rPr>
          <w:rFonts w:ascii="Arial" w:cs="Arial" w:eastAsia="Arial" w:hAnsi="Arial"/>
          <w:b/>
          <w:bCs/>
          <w:color w:val="1A3A5C"/>
          <w:sz w:val="36"/>
          <w:szCs w:val="36"/>
        </w:rPr>
        <w:t xml:space="preserve">12. Conclusion</w:t>
      </w:r>
    </w:p>
    <w:p>
      <w:pPr>
        <w:spacing w:after="100" w:before="60"/>
        <w:jc w:val="left"/>
      </w:pPr>
      <w:r>
        <w:rPr>
          <w:rFonts w:ascii="Arial" w:cs="Arial" w:eastAsia="Arial" w:hAnsi="Arial"/>
          <w:b w:val="false"/>
          <w:bCs w:val="false"/>
          <w:color w:val="555555"/>
          <w:sz w:val="20"/>
          <w:szCs w:val="20"/>
        </w:rPr>
        <w:t xml:space="preserve">StellarNest demonstrates that blockchain can solve real problems for real people — not just traders and speculators. By building on Stellar's fast, low-cost network and wrapping it in an interface designed for Indonesian gig workers, StellarNest removes the three biggest friction points in remittance: cost, complexity, and access.</w:t>
      </w:r>
    </w:p>
    <w:p>
      <w:pPr>
        <w:spacing w:after="80" w:before="0"/>
      </w:pPr>
      <w:r>
        <w:t xml:space="preserve"/>
      </w:r>
    </w:p>
    <w:p>
      <w:pPr>
        <w:spacing w:after="100" w:before="60"/>
        <w:jc w:val="left"/>
      </w:pPr>
      <w:r>
        <w:rPr>
          <w:rFonts w:ascii="Arial" w:cs="Arial" w:eastAsia="Arial" w:hAnsi="Arial"/>
          <w:b w:val="false"/>
          <w:bCs w:val="false"/>
          <w:color w:val="555555"/>
          <w:sz w:val="20"/>
          <w:szCs w:val="20"/>
        </w:rPr>
        <w:t xml:space="preserve">The Magic Claim Link is a genuinely novel primitive — no incumbent offers URL-based, no-account-required cross-border payments. Combined with automatic split-routing and built-in proof of income, StellarNest is the most complete financial tool for APAC migrant workers available today.</w:t>
      </w:r>
    </w:p>
    <w:p>
      <w:pPr>
        <w:spacing w:after="80" w:before="0"/>
      </w:pPr>
      <w:r>
        <w:t xml:space="preserve"/>
      </w:r>
    </w:p>
    <w:p>
      <w:pPr>
        <w:spacing w:after="100" w:before="60"/>
        <w:jc w:val="left"/>
      </w:pPr>
      <w:r>
        <w:rPr>
          <w:rFonts w:ascii="Arial" w:cs="Arial" w:eastAsia="Arial" w:hAnsi="Arial"/>
          <w:b w:val="false"/>
          <w:bCs w:val="false"/>
          <w:color w:val="0D7377"/>
          <w:sz w:val="20"/>
          <w:szCs w:val="20"/>
        </w:rPr>
        <w:t xml:space="preserve">We invite the judges to try the live demo at the links below and experience the full flow: sign up, generate a Magic Claim Link, and see the split-routing and Insights dashboard in action.</w:t>
      </w:r>
    </w:p>
    <w:p>
      <w:pPr>
        <w:spacing w:after="32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A5C" w:val="clear"/>
            <w:tcMar>
              <w:top w:type="dxa" w:w="300"/>
              <w:left w:type="dxa" w:w="400"/>
              <w:bottom w:type="dxa" w:w="300"/>
              <w:right w:type="dxa" w:w="400"/>
            </w:tcMar>
          </w:tcPr>
          <w:p>
            <w:pPr>
              <w:spacing w:after="80" w:before="0"/>
              <w:jc w:val="center"/>
            </w:pPr>
            <w:r>
              <w:rPr>
                <w:rFonts w:ascii="Arial" w:cs="Arial" w:eastAsia="Arial" w:hAnsi="Arial"/>
                <w:b/>
                <w:bCs/>
                <w:color w:val="FFFFFF"/>
                <w:sz w:val="28"/>
                <w:szCs w:val="28"/>
              </w:rPr>
              <w:t xml:space="preserve">Ready to deploy. Ready to serve.</w:t>
            </w:r>
          </w:p>
          <w:p>
            <w:pPr>
              <w:spacing w:after="80" w:before="0"/>
              <w:jc w:val="center"/>
            </w:pPr>
            <w:r>
              <w:rPr>
                <w:rFonts w:ascii="Arial" w:cs="Arial" w:eastAsia="Arial" w:hAnsi="Arial"/>
                <w:color w:val="C9A84C"/>
                <w:sz w:val="22"/>
                <w:szCs w:val="22"/>
              </w:rPr>
              <w:t xml:space="preserve">StellarNest — Borderless Payments for Every Worker</w:t>
            </w:r>
          </w:p>
          <w:p>
            <w:pPr>
              <w:spacing w:after="0" w:before="0"/>
              <w:jc w:val="center"/>
            </w:pPr>
            <w:r>
              <w:rPr>
                <w:rFonts w:ascii="Arial" w:cs="Arial" w:eastAsia="Arial" w:hAnsi="Arial"/>
                <w:i/>
                <w:iCs/>
                <w:color w:val="D0E4F0"/>
                <w:sz w:val="18"/>
                <w:szCs w:val="18"/>
              </w:rPr>
              <w:t xml:space="preserve">stellarnest-hackathon.web.app  |  github.com/seppam/stellarnest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E4F0" w:sz="4"/>
      </w:pBdr>
      <w:spacing w:after="0" w:before="120"/>
      <w:jc w:val="center"/>
    </w:pPr>
    <w:r>
      <w:rPr>
        <w:rFonts w:ascii="Arial" w:cs="Arial" w:eastAsia="Arial" w:hAnsi="Arial"/>
        <w:color w:val="999999"/>
        <w:sz w:val="16"/>
        <w:szCs w:val="16"/>
      </w:rPr>
      <w:t xml:space="preserve">APAC Stellar Hackathon 2026  |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E4F0" w:sz="4"/>
      </w:pBdr>
      <w:spacing w:after="120" w:before="0"/>
      <w:jc w:val="right"/>
    </w:pPr>
    <w:r>
      <w:rPr>
        <w:rFonts w:ascii="Arial" w:cs="Arial" w:eastAsia="Arial" w:hAnsi="Arial"/>
        <w:i/>
        <w:iCs/>
        <w:color w:val="999999"/>
        <w:sz w:val="16"/>
        <w:szCs w:val="16"/>
      </w:rPr>
      <w:t xml:space="preserve">StellarNest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A5C"/>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0D7377"/>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E2A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2026-07-02T12:30:23.824Z</dcterms:created>
  <dcterms:modified xsi:type="dcterms:W3CDTF">2026-07-02T12:30:23.825Z</dcterms:modified>
</cp:coreProperties>
</file>

<file path=docProps/custom.xml><?xml version="1.0" encoding="utf-8"?>
<Properties xmlns="http://schemas.openxmlformats.org/officeDocument/2006/custom-properties" xmlns:vt="http://schemas.openxmlformats.org/officeDocument/2006/docPropsVTypes"/>
</file>