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A82"/>
          <w:sz w:val="18"/>
        </w:rPr>
        <w:t>INTELIGENCIA ARTIFICIAL APLICADA A LA GESTIÓN DE REMUNERACIONES</w:t>
      </w:r>
    </w:p>
    <w:p>
      <w:r>
        <w:rPr>
          <w:b/>
          <w:color w:val="173F4E"/>
          <w:sz w:val="32"/>
        </w:rPr>
        <w:t>Evaluación del Módulo 2 · Parte 2: Caso práctico</w:t>
      </w:r>
    </w:p>
    <w:p>
      <w:r>
        <w:rPr>
          <w:b/>
          <w:color w:val="0F7A82"/>
          <w:sz w:val="26"/>
        </w:rPr>
        <w:t>«Revisión asistida del cierre de octubre»</w:t>
      </w:r>
    </w:p>
    <w:tbl>
      <w:tblPr>
        <w:tblStyle w:val="TableGrid"/>
        <w:tblW w:type="auto" w:w="0"/>
        <w:tblLayout w:type="fixed"/>
        <w:tblLook w:firstColumn="1" w:firstRow="1" w:lastColumn="0" w:lastRow="0" w:noHBand="0" w:noVBand="1" w:val="04A0"/>
      </w:tblPr>
      <w:tblGrid>
        <w:gridCol w:w="6236"/>
        <w:gridCol w:w="3402"/>
      </w:tblGrid>
      <w:tr>
        <w:tc>
          <w:tcPr>
            <w:tcW w:type="dxa" w:w="6236"/>
            <w:shd w:val="clear" w:color="auto" w:fill="173F4E"/>
          </w:tcPr>
          <w:p>
            <w:r/>
            <w:r>
              <w:rPr>
                <w:b/>
                <w:color w:val="FFFFFF"/>
                <w:sz w:val="19"/>
              </w:rPr>
              <w:t>Participante</w:t>
            </w:r>
          </w:p>
        </w:tc>
        <w:tc>
          <w:tcPr>
            <w:tcW w:type="dxa" w:w="3402"/>
            <w:shd w:val="clear" w:color="auto" w:fill="173F4E"/>
          </w:tcPr>
          <w:p>
            <w:r/>
            <w:r>
              <w:rPr>
                <w:b/>
                <w:color w:val="FFFFFF"/>
                <w:sz w:val="19"/>
              </w:rPr>
              <w:t>Fecha de entrega</w:t>
            </w:r>
          </w:p>
        </w:tc>
      </w:tr>
      <w:tr>
        <w:trPr>
          <w:trHeight w:val="567" w:hRule="atLeast"/>
        </w:trPr>
        <w:tc>
          <w:tcPr>
            <w:tcW w:type="dxa" w:w="6236"/>
          </w:tcPr>
          <w:p>
            <w:r/>
            <w:r>
              <w:rPr>
                <w:sz w:val="19"/>
              </w:rPr>
              <w:t xml:space="preserve"> </w:t>
            </w:r>
          </w:p>
        </w:tc>
        <w:tc>
          <w:tcPr>
            <w:tcW w:type="dxa" w:w="3402"/>
          </w:tcPr>
          <w:p>
            <w:r/>
            <w:r>
              <w:rPr>
                <w:sz w:val="19"/>
              </w:rPr>
              <w:t xml:space="preserve"> </w:t>
            </w:r>
          </w:p>
        </w:tc>
      </w:tr>
    </w:tbl>
    <w:p>
      <w:pPr>
        <w:spacing w:after="40"/>
      </w:pPr>
    </w:p>
    <w:tbl>
      <w:tblPr>
        <w:tblStyle w:val="TableGrid"/>
        <w:tblW w:type="auto" w:w="0"/>
        <w:tblLook w:firstColumn="1" w:firstRow="1" w:lastColumn="0" w:lastRow="0" w:noHBand="0" w:noVBand="1" w:val="04A0"/>
      </w:tblPr>
      <w:tblGrid>
        <w:gridCol w:w="9972"/>
      </w:tblGrid>
      <w:tr>
        <w:tc>
          <w:tcPr>
            <w:tcW w:type="dxa" w:w="9972"/>
            <w:shd w:val="clear" w:color="auto" w:fill="EAF7F6"/>
          </w:tcPr>
          <w:p>
            <w:r/>
            <w:r>
              <w:rPr>
                <w:b/>
              </w:rPr>
              <w:t xml:space="preserve">Aprendizaje esperado AE2: </w:t>
            </w:r>
            <w:r>
              <w:t>Describir procedimientos de revisión de remuneraciones con inteligencia artificial en el cálculo mensual, de acuerdo a protocolos de validación de resultados.</w:t>
            </w:r>
          </w:p>
        </w:tc>
      </w:tr>
    </w:tbl>
    <w:p/>
    <w:p>
      <w:pPr>
        <w:spacing w:before="200" w:after="80"/>
      </w:pPr>
      <w:r>
        <w:rPr>
          <w:b/>
          <w:color w:val="173F4E"/>
          <w:sz w:val="26"/>
        </w:rPr>
        <w:t>Instrucciones</w:t>
      </w:r>
    </w:p>
    <w:p>
      <w:pPr>
        <w:pStyle w:val="ListBullet"/>
        <w:spacing w:after="40"/>
      </w:pPr>
      <w:r>
        <w:t>Tiempo estimado: 60 minutos. Es una evaluación individual y con nota: corresponde al 60 % de la evaluación del módulo (6 % de la nota final del curso).</w:t>
      </w:r>
    </w:p>
    <w:p>
      <w:pPr>
        <w:pStyle w:val="ListBullet"/>
        <w:spacing w:after="40"/>
      </w:pPr>
      <w:r>
        <w:t>Lee el caso completo antes de responder. Todos los datos son ficticios: no incorpores datos reales de personas ni de tu empresa.</w:t>
      </w:r>
    </w:p>
    <w:p>
      <w:pPr>
        <w:pStyle w:val="ListBullet"/>
        <w:spacing w:after="40"/>
      </w:pPr>
      <w:r>
        <w:t>Completa las secciones directamente en este documento. Las filas sombreadas son ejemplos resueltos: úsalas como guía del nivel de detalle esperado.</w:t>
      </w:r>
    </w:p>
    <w:p>
      <w:pPr>
        <w:pStyle w:val="ListBullet"/>
        <w:spacing w:after="40"/>
      </w:pPr>
      <w:r>
        <w:t>Guarda el archivo como «M2_Caso_practico_Nombre_Apellido» (Word o PDF) y súbelo en la tarea de Moodle. Tienes un envío; si necesitas corregirlo, escribe a la tutora por mensajería antes de la calificación.</w:t>
      </w:r>
    </w:p>
    <w:p>
      <w:pPr>
        <w:pStyle w:val="ListBullet"/>
        <w:spacing w:after="40"/>
      </w:pPr>
      <w:r>
        <w:t>La tutora corrige con la rúbrica que está al final de este documento (100 puntos; apruebas con 60 puntos, nota 4,0) y te entrega retroalimentación escrita por criterio en un plazo máximo de 48 horas hábiles.</w:t>
      </w:r>
    </w:p>
    <w:p>
      <w:pPr>
        <w:spacing w:before="200" w:after="80"/>
      </w:pPr>
      <w:r>
        <w:rPr>
          <w:b/>
          <w:color w:val="173F4E"/>
          <w:sz w:val="26"/>
        </w:rPr>
        <w:t>El caso</w:t>
      </w:r>
    </w:p>
    <w:p>
      <w:pPr>
        <w:spacing w:after="80"/>
      </w:pPr>
      <w:r>
        <w:rPr>
          <w:i w:val="0"/>
        </w:rPr>
        <w:t>Es 26 de octubre y Camila, analista de remuneraciones de AndesCorp, debe cerrar la nómina el día 28. Para ganar tiempo usó el asistente de IA corporativo, autorizado por TI, con una planilla seudonimizada de los trabajadores con novedades del mes. Rodrigo, jefe de Compensaciones, le pide que describa cómo revisará los resultados antes de aprobar el cierre.</w:t>
      </w:r>
    </w:p>
    <w:p>
      <w:pPr>
        <w:spacing w:after="80"/>
      </w:pPr>
      <w:r>
        <w:rPr>
          <w:i w:val="0"/>
        </w:rPr>
        <w:t>Datos de la planilla revisada (montos en pesos, datos ficticios):</w:t>
      </w:r>
    </w:p>
    <w:tbl>
      <w:tblPr>
        <w:tblStyle w:val="TableGrid"/>
        <w:tblW w:type="auto" w:w="0"/>
        <w:tblLayout w:type="fixed"/>
        <w:tblLook w:firstColumn="1" w:firstRow="1" w:lastColumn="0" w:lastRow="0" w:noHBand="0" w:noVBand="1" w:val="04A0"/>
      </w:tblPr>
      <w:tblGrid>
        <w:gridCol w:w="964"/>
        <w:gridCol w:w="1077"/>
        <w:gridCol w:w="964"/>
        <w:gridCol w:w="1304"/>
        <w:gridCol w:w="1134"/>
        <w:gridCol w:w="1191"/>
        <w:gridCol w:w="907"/>
        <w:gridCol w:w="1134"/>
      </w:tblGrid>
      <w:tr>
        <w:tc>
          <w:tcPr>
            <w:tcW w:type="dxa" w:w="964"/>
            <w:shd w:val="clear" w:color="auto" w:fill="173F4E"/>
          </w:tcPr>
          <w:p>
            <w:r/>
            <w:r>
              <w:rPr>
                <w:b/>
                <w:color w:val="FFFFFF"/>
                <w:sz w:val="17"/>
              </w:rPr>
              <w:t>Código</w:t>
            </w:r>
          </w:p>
        </w:tc>
        <w:tc>
          <w:tcPr>
            <w:tcW w:type="dxa" w:w="1077"/>
            <w:shd w:val="clear" w:color="auto" w:fill="173F4E"/>
          </w:tcPr>
          <w:p>
            <w:r/>
            <w:r>
              <w:rPr>
                <w:b/>
                <w:color w:val="FFFFFF"/>
                <w:sz w:val="17"/>
              </w:rPr>
              <w:t>Área</w:t>
            </w:r>
          </w:p>
        </w:tc>
        <w:tc>
          <w:tcPr>
            <w:tcW w:type="dxa" w:w="964"/>
            <w:shd w:val="clear" w:color="auto" w:fill="173F4E"/>
          </w:tcPr>
          <w:p>
            <w:r/>
            <w:r>
              <w:rPr>
                <w:b/>
                <w:color w:val="FFFFFF"/>
                <w:sz w:val="17"/>
              </w:rPr>
              <w:t>Horas extra pagadas</w:t>
            </w:r>
          </w:p>
        </w:tc>
        <w:tc>
          <w:tcPr>
            <w:tcW w:type="dxa" w:w="1304"/>
            <w:shd w:val="clear" w:color="auto" w:fill="173F4E"/>
          </w:tcPr>
          <w:p>
            <w:r/>
            <w:r>
              <w:rPr>
                <w:b/>
                <w:color w:val="FFFFFF"/>
                <w:sz w:val="17"/>
              </w:rPr>
              <w:t>Horas extra aprobadas (asistencia)</w:t>
            </w:r>
          </w:p>
        </w:tc>
        <w:tc>
          <w:tcPr>
            <w:tcW w:type="dxa" w:w="1134"/>
            <w:shd w:val="clear" w:color="auto" w:fill="173F4E"/>
          </w:tcPr>
          <w:p>
            <w:r/>
            <w:r>
              <w:rPr>
                <w:b/>
                <w:color w:val="FFFFFF"/>
                <w:sz w:val="17"/>
              </w:rPr>
              <w:t>Bono producción pagado</w:t>
            </w:r>
          </w:p>
        </w:tc>
        <w:tc>
          <w:tcPr>
            <w:tcW w:type="dxa" w:w="1191"/>
            <w:shd w:val="clear" w:color="auto" w:fill="173F4E"/>
          </w:tcPr>
          <w:p>
            <w:r/>
            <w:r>
              <w:rPr>
                <w:b/>
                <w:color w:val="FFFFFF"/>
                <w:sz w:val="17"/>
              </w:rPr>
              <w:t>Bono aprobado por jefatura</w:t>
            </w:r>
          </w:p>
        </w:tc>
        <w:tc>
          <w:tcPr>
            <w:tcW w:type="dxa" w:w="907"/>
            <w:shd w:val="clear" w:color="auto" w:fill="173F4E"/>
          </w:tcPr>
          <w:p>
            <w:r/>
            <w:r>
              <w:rPr>
                <w:b/>
                <w:color w:val="FFFFFF"/>
                <w:sz w:val="17"/>
              </w:rPr>
              <w:t>Días de licencia</w:t>
            </w:r>
          </w:p>
        </w:tc>
        <w:tc>
          <w:tcPr>
            <w:tcW w:type="dxa" w:w="1134"/>
            <w:shd w:val="clear" w:color="auto" w:fill="173F4E"/>
          </w:tcPr>
          <w:p>
            <w:r/>
            <w:r>
              <w:rPr>
                <w:b/>
                <w:color w:val="FFFFFF"/>
                <w:sz w:val="17"/>
              </w:rPr>
              <w:t>Líquido a pagar</w:t>
            </w:r>
          </w:p>
        </w:tc>
      </w:tr>
      <w:tr>
        <w:tc>
          <w:tcPr>
            <w:tcW w:type="dxa" w:w="964"/>
          </w:tcPr>
          <w:p>
            <w:r/>
            <w:r>
              <w:rPr>
                <w:sz w:val="17"/>
              </w:rPr>
              <w:t>EMP-204</w:t>
            </w:r>
          </w:p>
        </w:tc>
        <w:tc>
          <w:tcPr>
            <w:tcW w:type="dxa" w:w="1077"/>
          </w:tcPr>
          <w:p>
            <w:r/>
            <w:r>
              <w:rPr>
                <w:sz w:val="17"/>
              </w:rPr>
              <w:t>Planta</w:t>
            </w:r>
          </w:p>
        </w:tc>
        <w:tc>
          <w:tcPr>
            <w:tcW w:type="dxa" w:w="964"/>
          </w:tcPr>
          <w:p>
            <w:r/>
            <w:r>
              <w:rPr>
                <w:sz w:val="17"/>
              </w:rPr>
              <w:t>18</w:t>
            </w:r>
          </w:p>
        </w:tc>
        <w:tc>
          <w:tcPr>
            <w:tcW w:type="dxa" w:w="1304"/>
          </w:tcPr>
          <w:p>
            <w:r/>
            <w:r>
              <w:rPr>
                <w:sz w:val="17"/>
              </w:rPr>
              <w:t>12</w:t>
            </w:r>
          </w:p>
        </w:tc>
        <w:tc>
          <w:tcPr>
            <w:tcW w:type="dxa" w:w="1134"/>
          </w:tcPr>
          <w:p>
            <w:r/>
            <w:r>
              <w:rPr>
                <w:sz w:val="17"/>
              </w:rPr>
              <w:t>0</w:t>
            </w:r>
          </w:p>
        </w:tc>
        <w:tc>
          <w:tcPr>
            <w:tcW w:type="dxa" w:w="1191"/>
          </w:tcPr>
          <w:p>
            <w:r/>
            <w:r>
              <w:rPr>
                <w:sz w:val="17"/>
              </w:rPr>
              <w:t>0</w:t>
            </w:r>
          </w:p>
        </w:tc>
        <w:tc>
          <w:tcPr>
            <w:tcW w:type="dxa" w:w="907"/>
          </w:tcPr>
          <w:p>
            <w:r/>
            <w:r>
              <w:rPr>
                <w:sz w:val="17"/>
              </w:rPr>
              <w:t>0</w:t>
            </w:r>
          </w:p>
        </w:tc>
        <w:tc>
          <w:tcPr>
            <w:tcW w:type="dxa" w:w="1134"/>
          </w:tcPr>
          <w:p>
            <w:r/>
            <w:r>
              <w:rPr>
                <w:sz w:val="17"/>
              </w:rPr>
              <w:t>812.400</w:t>
            </w:r>
          </w:p>
        </w:tc>
      </w:tr>
      <w:tr>
        <w:tc>
          <w:tcPr>
            <w:tcW w:type="dxa" w:w="964"/>
          </w:tcPr>
          <w:p>
            <w:r/>
            <w:r>
              <w:rPr>
                <w:sz w:val="17"/>
              </w:rPr>
              <w:t>EMP-215</w:t>
            </w:r>
          </w:p>
        </w:tc>
        <w:tc>
          <w:tcPr>
            <w:tcW w:type="dxa" w:w="1077"/>
          </w:tcPr>
          <w:p>
            <w:r/>
            <w:r>
              <w:rPr>
                <w:sz w:val="17"/>
              </w:rPr>
              <w:t>Ventas</w:t>
            </w:r>
          </w:p>
        </w:tc>
        <w:tc>
          <w:tcPr>
            <w:tcW w:type="dxa" w:w="964"/>
          </w:tcPr>
          <w:p>
            <w:r/>
            <w:r>
              <w:rPr>
                <w:sz w:val="17"/>
              </w:rPr>
              <w:t>0</w:t>
            </w:r>
          </w:p>
        </w:tc>
        <w:tc>
          <w:tcPr>
            <w:tcW w:type="dxa" w:w="1304"/>
          </w:tcPr>
          <w:p>
            <w:r/>
            <w:r>
              <w:rPr>
                <w:sz w:val="17"/>
              </w:rPr>
              <w:t>0</w:t>
            </w:r>
          </w:p>
        </w:tc>
        <w:tc>
          <w:tcPr>
            <w:tcW w:type="dxa" w:w="1134"/>
          </w:tcPr>
          <w:p>
            <w:r/>
            <w:r>
              <w:rPr>
                <w:sz w:val="17"/>
              </w:rPr>
              <w:t>85.000</w:t>
            </w:r>
          </w:p>
        </w:tc>
        <w:tc>
          <w:tcPr>
            <w:tcW w:type="dxa" w:w="1191"/>
          </w:tcPr>
          <w:p>
            <w:r/>
            <w:r>
              <w:rPr>
                <w:sz w:val="17"/>
              </w:rPr>
              <w:t>58.000</w:t>
            </w:r>
          </w:p>
        </w:tc>
        <w:tc>
          <w:tcPr>
            <w:tcW w:type="dxa" w:w="907"/>
          </w:tcPr>
          <w:p>
            <w:r/>
            <w:r>
              <w:rPr>
                <w:sz w:val="17"/>
              </w:rPr>
              <w:t>0</w:t>
            </w:r>
          </w:p>
        </w:tc>
        <w:tc>
          <w:tcPr>
            <w:tcW w:type="dxa" w:w="1134"/>
          </w:tcPr>
          <w:p>
            <w:r/>
            <w:r>
              <w:rPr>
                <w:sz w:val="17"/>
              </w:rPr>
              <w:t>934.700</w:t>
            </w:r>
          </w:p>
        </w:tc>
      </w:tr>
      <w:tr>
        <w:tc>
          <w:tcPr>
            <w:tcW w:type="dxa" w:w="964"/>
          </w:tcPr>
          <w:p>
            <w:r/>
            <w:r>
              <w:rPr>
                <w:sz w:val="17"/>
              </w:rPr>
              <w:t>EMP-221</w:t>
            </w:r>
          </w:p>
        </w:tc>
        <w:tc>
          <w:tcPr>
            <w:tcW w:type="dxa" w:w="1077"/>
          </w:tcPr>
          <w:p>
            <w:r/>
            <w:r>
              <w:rPr>
                <w:sz w:val="17"/>
              </w:rPr>
              <w:t>Operaciones</w:t>
            </w:r>
          </w:p>
        </w:tc>
        <w:tc>
          <w:tcPr>
            <w:tcW w:type="dxa" w:w="964"/>
          </w:tcPr>
          <w:p>
            <w:r/>
            <w:r>
              <w:rPr>
                <w:sz w:val="17"/>
              </w:rPr>
              <w:t>4</w:t>
            </w:r>
          </w:p>
        </w:tc>
        <w:tc>
          <w:tcPr>
            <w:tcW w:type="dxa" w:w="1304"/>
          </w:tcPr>
          <w:p>
            <w:r/>
            <w:r>
              <w:rPr>
                <w:sz w:val="17"/>
              </w:rPr>
              <w:t>4</w:t>
            </w:r>
          </w:p>
        </w:tc>
        <w:tc>
          <w:tcPr>
            <w:tcW w:type="dxa" w:w="1134"/>
          </w:tcPr>
          <w:p>
            <w:r/>
            <w:r>
              <w:rPr>
                <w:sz w:val="17"/>
              </w:rPr>
              <w:t>40.000</w:t>
            </w:r>
          </w:p>
        </w:tc>
        <w:tc>
          <w:tcPr>
            <w:tcW w:type="dxa" w:w="1191"/>
          </w:tcPr>
          <w:p>
            <w:r/>
            <w:r>
              <w:rPr>
                <w:sz w:val="17"/>
              </w:rPr>
              <w:t>40.000</w:t>
            </w:r>
          </w:p>
        </w:tc>
        <w:tc>
          <w:tcPr>
            <w:tcW w:type="dxa" w:w="907"/>
          </w:tcPr>
          <w:p>
            <w:r/>
            <w:r>
              <w:rPr>
                <w:sz w:val="17"/>
              </w:rPr>
              <w:t>0</w:t>
            </w:r>
          </w:p>
        </w:tc>
        <w:tc>
          <w:tcPr>
            <w:tcW w:type="dxa" w:w="1134"/>
          </w:tcPr>
          <w:p>
            <w:r/>
            <w:r>
              <w:rPr>
                <w:sz w:val="17"/>
              </w:rPr>
              <w:t>1.105.300</w:t>
            </w:r>
          </w:p>
        </w:tc>
      </w:tr>
      <w:tr>
        <w:tc>
          <w:tcPr>
            <w:tcW w:type="dxa" w:w="964"/>
          </w:tcPr>
          <w:p>
            <w:r/>
            <w:r>
              <w:rPr>
                <w:sz w:val="17"/>
              </w:rPr>
              <w:t>EMP-230</w:t>
            </w:r>
          </w:p>
        </w:tc>
        <w:tc>
          <w:tcPr>
            <w:tcW w:type="dxa" w:w="1077"/>
          </w:tcPr>
          <w:p>
            <w:r/>
            <w:r>
              <w:rPr>
                <w:sz w:val="17"/>
              </w:rPr>
              <w:t>Bodega</w:t>
            </w:r>
          </w:p>
        </w:tc>
        <w:tc>
          <w:tcPr>
            <w:tcW w:type="dxa" w:w="964"/>
          </w:tcPr>
          <w:p>
            <w:r/>
            <w:r>
              <w:rPr>
                <w:sz w:val="17"/>
              </w:rPr>
              <w:t>40</w:t>
            </w:r>
          </w:p>
        </w:tc>
        <w:tc>
          <w:tcPr>
            <w:tcW w:type="dxa" w:w="1304"/>
          </w:tcPr>
          <w:p>
            <w:r/>
            <w:r>
              <w:rPr>
                <w:sz w:val="17"/>
              </w:rPr>
              <w:t>40</w:t>
            </w:r>
          </w:p>
        </w:tc>
        <w:tc>
          <w:tcPr>
            <w:tcW w:type="dxa" w:w="1134"/>
          </w:tcPr>
          <w:p>
            <w:r/>
            <w:r>
              <w:rPr>
                <w:sz w:val="17"/>
              </w:rPr>
              <w:t>0</w:t>
            </w:r>
          </w:p>
        </w:tc>
        <w:tc>
          <w:tcPr>
            <w:tcW w:type="dxa" w:w="1191"/>
          </w:tcPr>
          <w:p>
            <w:r/>
            <w:r>
              <w:rPr>
                <w:sz w:val="17"/>
              </w:rPr>
              <w:t>0</w:t>
            </w:r>
          </w:p>
        </w:tc>
        <w:tc>
          <w:tcPr>
            <w:tcW w:type="dxa" w:w="907"/>
          </w:tcPr>
          <w:p>
            <w:r/>
            <w:r>
              <w:rPr>
                <w:sz w:val="17"/>
              </w:rPr>
              <w:t>0</w:t>
            </w:r>
          </w:p>
        </w:tc>
        <w:tc>
          <w:tcPr>
            <w:tcW w:type="dxa" w:w="1134"/>
          </w:tcPr>
          <w:p>
            <w:r/>
            <w:r>
              <w:rPr>
                <w:sz w:val="17"/>
              </w:rPr>
              <w:t>1.020.900</w:t>
            </w:r>
          </w:p>
        </w:tc>
      </w:tr>
      <w:tr>
        <w:tc>
          <w:tcPr>
            <w:tcW w:type="dxa" w:w="964"/>
          </w:tcPr>
          <w:p>
            <w:r/>
            <w:r>
              <w:rPr>
                <w:sz w:val="17"/>
              </w:rPr>
              <w:t>EMP-238</w:t>
            </w:r>
          </w:p>
        </w:tc>
        <w:tc>
          <w:tcPr>
            <w:tcW w:type="dxa" w:w="1077"/>
          </w:tcPr>
          <w:p>
            <w:r/>
            <w:r>
              <w:rPr>
                <w:sz w:val="17"/>
              </w:rPr>
              <w:t>Planta</w:t>
            </w:r>
          </w:p>
        </w:tc>
        <w:tc>
          <w:tcPr>
            <w:tcW w:type="dxa" w:w="964"/>
          </w:tcPr>
          <w:p>
            <w:r/>
            <w:r>
              <w:rPr>
                <w:sz w:val="17"/>
              </w:rPr>
              <w:t>0</w:t>
            </w:r>
          </w:p>
        </w:tc>
        <w:tc>
          <w:tcPr>
            <w:tcW w:type="dxa" w:w="1304"/>
          </w:tcPr>
          <w:p>
            <w:r/>
            <w:r>
              <w:rPr>
                <w:sz w:val="17"/>
              </w:rPr>
              <w:t>0</w:t>
            </w:r>
          </w:p>
        </w:tc>
        <w:tc>
          <w:tcPr>
            <w:tcW w:type="dxa" w:w="1134"/>
          </w:tcPr>
          <w:p>
            <w:r/>
            <w:r>
              <w:rPr>
                <w:sz w:val="17"/>
              </w:rPr>
              <w:t>0</w:t>
            </w:r>
          </w:p>
        </w:tc>
        <w:tc>
          <w:tcPr>
            <w:tcW w:type="dxa" w:w="1191"/>
          </w:tcPr>
          <w:p>
            <w:r/>
            <w:r>
              <w:rPr>
                <w:sz w:val="17"/>
              </w:rPr>
              <w:t>0</w:t>
            </w:r>
          </w:p>
        </w:tc>
        <w:tc>
          <w:tcPr>
            <w:tcW w:type="dxa" w:w="907"/>
          </w:tcPr>
          <w:p>
            <w:r/>
            <w:r>
              <w:rPr>
                <w:sz w:val="17"/>
              </w:rPr>
              <w:t>30</w:t>
            </w:r>
          </w:p>
        </w:tc>
        <w:tc>
          <w:tcPr>
            <w:tcW w:type="dxa" w:w="1134"/>
          </w:tcPr>
          <w:p>
            <w:r/>
            <w:r>
              <w:rPr>
                <w:sz w:val="17"/>
              </w:rPr>
              <w:t>0</w:t>
            </w:r>
          </w:p>
        </w:tc>
      </w:tr>
    </w:tbl>
    <w:p>
      <w:pPr>
        <w:spacing w:after="40"/>
      </w:pPr>
    </w:p>
    <w:p>
      <w:pPr>
        <w:spacing w:after="80"/>
      </w:pPr>
      <w:r>
        <w:rPr>
          <w:i w:val="0"/>
        </w:rPr>
        <w:t>Antecedentes adicionales: la asistencia de EMP-230 registra 40 horas extra por el inventario anual, autorizadas por correo de la jefatura de Bodega. EMP-238 tuvo licencia médica los 30 días del mes según el registro de licencias. El parámetro de tope imponible del sistema lo cargó Remuneraciones en septiembre y nadie lo ha contrastado con la fuente oficial del período.</w:t>
      </w:r>
    </w:p>
    <w:p>
      <w:pPr>
        <w:spacing w:after="80"/>
      </w:pPr>
      <w:r>
        <w:rPr>
          <w:i w:val="0"/>
        </w:rPr>
        <w:t>Alertas que entregó la IA:</w:t>
      </w:r>
    </w:p>
    <w:tbl>
      <w:tblPr>
        <w:tblStyle w:val="TableGrid"/>
        <w:tblW w:type="auto" w:w="0"/>
        <w:tblLayout w:type="fixed"/>
        <w:tblLook w:firstColumn="1" w:firstRow="1" w:lastColumn="0" w:lastRow="0" w:noHBand="0" w:noVBand="1" w:val="04A0"/>
      </w:tblPr>
      <w:tblGrid>
        <w:gridCol w:w="680"/>
        <w:gridCol w:w="8957"/>
      </w:tblGrid>
      <w:tr>
        <w:tc>
          <w:tcPr>
            <w:tcW w:type="dxa" w:w="680"/>
            <w:shd w:val="clear" w:color="auto" w:fill="173F4E"/>
          </w:tcPr>
          <w:p>
            <w:r/>
            <w:r>
              <w:rPr>
                <w:b/>
                <w:color w:val="FFFFFF"/>
                <w:sz w:val="19"/>
              </w:rPr>
              <w:t>N°</w:t>
            </w:r>
          </w:p>
        </w:tc>
        <w:tc>
          <w:tcPr>
            <w:tcW w:type="dxa" w:w="8957"/>
            <w:shd w:val="clear" w:color="auto" w:fill="173F4E"/>
          </w:tcPr>
          <w:p>
            <w:r/>
            <w:r>
              <w:rPr>
                <w:b/>
                <w:color w:val="FFFFFF"/>
                <w:sz w:val="19"/>
              </w:rPr>
              <w:t>Alerta de la IA</w:t>
            </w:r>
          </w:p>
        </w:tc>
      </w:tr>
      <w:tr>
        <w:tc>
          <w:tcPr>
            <w:tcW w:type="dxa" w:w="680"/>
          </w:tcPr>
          <w:p>
            <w:r/>
            <w:r>
              <w:rPr>
                <w:sz w:val="19"/>
              </w:rPr>
              <w:t>A1</w:t>
            </w:r>
          </w:p>
        </w:tc>
        <w:tc>
          <w:tcPr>
            <w:tcW w:type="dxa" w:w="8957"/>
          </w:tcPr>
          <w:p>
            <w:r/>
            <w:r>
              <w:rPr>
                <w:sz w:val="19"/>
              </w:rPr>
              <w:t>EMP-204: se pagaron 18 horas extra, pero el registro de asistencia aprobado tiene 12.</w:t>
            </w:r>
          </w:p>
        </w:tc>
      </w:tr>
      <w:tr>
        <w:tc>
          <w:tcPr>
            <w:tcW w:type="dxa" w:w="680"/>
          </w:tcPr>
          <w:p>
            <w:r/>
            <w:r>
              <w:rPr>
                <w:sz w:val="19"/>
              </w:rPr>
              <w:t>A2</w:t>
            </w:r>
          </w:p>
        </w:tc>
        <w:tc>
          <w:tcPr>
            <w:tcW w:type="dxa" w:w="8957"/>
          </w:tcPr>
          <w:p>
            <w:r/>
            <w:r>
              <w:rPr>
                <w:sz w:val="19"/>
              </w:rPr>
              <w:t>EMP-215: el bono de producción pagado ($85.000) es distinto del aprobado por la jefatura ($58.000).</w:t>
            </w:r>
          </w:p>
        </w:tc>
      </w:tr>
      <w:tr>
        <w:tc>
          <w:tcPr>
            <w:tcW w:type="dxa" w:w="680"/>
          </w:tcPr>
          <w:p>
            <w:r/>
            <w:r>
              <w:rPr>
                <w:sz w:val="19"/>
              </w:rPr>
              <w:t>A3</w:t>
            </w:r>
          </w:p>
        </w:tc>
        <w:tc>
          <w:tcPr>
            <w:tcW w:type="dxa" w:w="8957"/>
          </w:tcPr>
          <w:p>
            <w:r/>
            <w:r>
              <w:rPr>
                <w:sz w:val="19"/>
              </w:rPr>
              <w:t>EMP-221: «el tope imponible que usa el sistema podría estar desactualizado».</w:t>
            </w:r>
          </w:p>
        </w:tc>
      </w:tr>
      <w:tr>
        <w:tc>
          <w:tcPr>
            <w:tcW w:type="dxa" w:w="680"/>
          </w:tcPr>
          <w:p>
            <w:r/>
            <w:r>
              <w:rPr>
                <w:sz w:val="19"/>
              </w:rPr>
              <w:t>A4</w:t>
            </w:r>
          </w:p>
        </w:tc>
        <w:tc>
          <w:tcPr>
            <w:tcW w:type="dxa" w:w="8957"/>
          </w:tcPr>
          <w:p>
            <w:r/>
            <w:r>
              <w:rPr>
                <w:sz w:val="19"/>
              </w:rPr>
              <w:t>EMP-230: 40 horas extra en el mes, muy sobre su promedio de 6 horas.</w:t>
            </w:r>
          </w:p>
        </w:tc>
      </w:tr>
      <w:tr>
        <w:tc>
          <w:tcPr>
            <w:tcW w:type="dxa" w:w="680"/>
          </w:tcPr>
          <w:p>
            <w:r/>
            <w:r>
              <w:rPr>
                <w:sz w:val="19"/>
              </w:rPr>
              <w:t>A5</w:t>
            </w:r>
          </w:p>
        </w:tc>
        <w:tc>
          <w:tcPr>
            <w:tcW w:type="dxa" w:w="8957"/>
          </w:tcPr>
          <w:p>
            <w:r/>
            <w:r>
              <w:rPr>
                <w:sz w:val="19"/>
              </w:rPr>
              <w:t>EMP-238: líquido a pagar igual a $0.</w:t>
            </w:r>
          </w:p>
        </w:tc>
      </w:tr>
    </w:tbl>
    <w:p>
      <w:pPr>
        <w:spacing w:after="40"/>
      </w:pPr>
    </w:p>
    <w:p>
      <w:pPr>
        <w:spacing w:before="200" w:after="80"/>
      </w:pPr>
      <w:r>
        <w:rPr>
          <w:b/>
          <w:color w:val="173F4E"/>
          <w:sz w:val="26"/>
        </w:rPr>
        <w:t>Sección 1 · Información que necesita la IA para revisar (criterio 1)</w:t>
      </w:r>
    </w:p>
    <w:p>
      <w:pPr>
        <w:spacing w:after="80"/>
      </w:pPr>
      <w:r>
        <w:rPr>
          <w:i w:val="0"/>
        </w:rPr>
        <w:t>Indica si cada dato o regla se entrega al asistente de IA y por qué. Recuerda los criterios de minimización y de información necesaria para la revisión.</w:t>
      </w:r>
    </w:p>
    <w:tbl>
      <w:tblPr>
        <w:tblStyle w:val="TableGrid"/>
        <w:tblW w:type="auto" w:w="0"/>
        <w:tblLayout w:type="fixed"/>
        <w:tblLook w:firstColumn="1" w:firstRow="1" w:lastColumn="0" w:lastRow="0" w:noHBand="0" w:noVBand="1" w:val="04A0"/>
      </w:tblPr>
      <w:tblGrid>
        <w:gridCol w:w="2835"/>
        <w:gridCol w:w="1984"/>
        <w:gridCol w:w="4819"/>
      </w:tblGrid>
      <w:tr>
        <w:tc>
          <w:tcPr>
            <w:tcW w:type="dxa" w:w="2835"/>
            <w:shd w:val="clear" w:color="auto" w:fill="173F4E"/>
          </w:tcPr>
          <w:p>
            <w:r/>
            <w:r>
              <w:rPr>
                <w:b/>
                <w:color w:val="FFFFFF"/>
                <w:sz w:val="19"/>
              </w:rPr>
              <w:t>Dato o regla</w:t>
            </w:r>
          </w:p>
        </w:tc>
        <w:tc>
          <w:tcPr>
            <w:tcW w:type="dxa" w:w="1984"/>
            <w:shd w:val="clear" w:color="auto" w:fill="173F4E"/>
          </w:tcPr>
          <w:p>
            <w:r/>
            <w:r>
              <w:rPr>
                <w:b/>
                <w:color w:val="FFFFFF"/>
                <w:sz w:val="19"/>
              </w:rPr>
              <w:t>¿Se entrega a la IA? (Sí / No)</w:t>
            </w:r>
          </w:p>
        </w:tc>
        <w:tc>
          <w:tcPr>
            <w:tcW w:type="dxa" w:w="4819"/>
            <w:shd w:val="clear" w:color="auto" w:fill="173F4E"/>
          </w:tcPr>
          <w:p>
            <w:r/>
            <w:r>
              <w:rPr>
                <w:b/>
                <w:color w:val="FFFFFF"/>
                <w:sz w:val="19"/>
              </w:rPr>
              <w:t>Justificación</w:t>
            </w:r>
          </w:p>
        </w:tc>
      </w:tr>
      <w:tr>
        <w:tc>
          <w:tcPr>
            <w:tcW w:type="dxa" w:w="2835"/>
            <w:shd w:val="clear" w:color="auto" w:fill="E3F2F1"/>
          </w:tcPr>
          <w:p>
            <w:r/>
            <w:r>
              <w:rPr>
                <w:i/>
                <w:sz w:val="19"/>
              </w:rPr>
              <w:t>Código EMP</w:t>
            </w:r>
          </w:p>
        </w:tc>
        <w:tc>
          <w:tcPr>
            <w:tcW w:type="dxa" w:w="1984"/>
            <w:shd w:val="clear" w:color="auto" w:fill="E3F2F1"/>
          </w:tcPr>
          <w:p>
            <w:r/>
            <w:r>
              <w:rPr>
                <w:i/>
                <w:sz w:val="19"/>
              </w:rPr>
              <w:t>Sí</w:t>
            </w:r>
          </w:p>
        </w:tc>
        <w:tc>
          <w:tcPr>
            <w:tcW w:type="dxa" w:w="4819"/>
            <w:shd w:val="clear" w:color="auto" w:fill="E3F2F1"/>
          </w:tcPr>
          <w:p>
            <w:r/>
            <w:r>
              <w:rPr>
                <w:i/>
                <w:sz w:val="19"/>
              </w:rPr>
              <w:t>Reemplaza al nombre y al RUT: permite revisar sin identificar a la persona.</w:t>
            </w:r>
          </w:p>
        </w:tc>
      </w:tr>
      <w:tr>
        <w:trPr>
          <w:trHeight w:val="567" w:hRule="atLeast"/>
        </w:trPr>
        <w:tc>
          <w:tcPr>
            <w:tcW w:type="dxa" w:w="2835"/>
          </w:tcPr>
          <w:p>
            <w:r/>
            <w:r>
              <w:rPr>
                <w:sz w:val="19"/>
              </w:rPr>
              <w:t>Nombre completo</w:t>
            </w:r>
          </w:p>
        </w:tc>
        <w:tc>
          <w:tcPr>
            <w:tcW w:type="dxa" w:w="1984"/>
          </w:tcPr>
          <w:p>
            <w:r/>
            <w:r>
              <w:rPr>
                <w:sz w:val="19"/>
              </w:rPr>
            </w:r>
          </w:p>
        </w:tc>
        <w:tc>
          <w:tcPr>
            <w:tcW w:type="dxa" w:w="4819"/>
          </w:tcPr>
          <w:p>
            <w:r/>
            <w:r>
              <w:rPr>
                <w:sz w:val="19"/>
              </w:rPr>
            </w:r>
          </w:p>
        </w:tc>
      </w:tr>
      <w:tr>
        <w:trPr>
          <w:trHeight w:val="567" w:hRule="atLeast"/>
        </w:trPr>
        <w:tc>
          <w:tcPr>
            <w:tcW w:type="dxa" w:w="2835"/>
          </w:tcPr>
          <w:p>
            <w:r/>
            <w:r>
              <w:rPr>
                <w:sz w:val="19"/>
              </w:rPr>
              <w:t>RUT</w:t>
            </w:r>
          </w:p>
        </w:tc>
        <w:tc>
          <w:tcPr>
            <w:tcW w:type="dxa" w:w="1984"/>
          </w:tcPr>
          <w:p>
            <w:r/>
            <w:r>
              <w:rPr>
                <w:sz w:val="19"/>
              </w:rPr>
            </w:r>
          </w:p>
        </w:tc>
        <w:tc>
          <w:tcPr>
            <w:tcW w:type="dxa" w:w="4819"/>
          </w:tcPr>
          <w:p>
            <w:r/>
            <w:r>
              <w:rPr>
                <w:sz w:val="19"/>
              </w:rPr>
            </w:r>
          </w:p>
        </w:tc>
      </w:tr>
      <w:tr>
        <w:trPr>
          <w:trHeight w:val="567" w:hRule="atLeast"/>
        </w:trPr>
        <w:tc>
          <w:tcPr>
            <w:tcW w:type="dxa" w:w="2835"/>
          </w:tcPr>
          <w:p>
            <w:r/>
            <w:r>
              <w:rPr>
                <w:sz w:val="19"/>
              </w:rPr>
              <w:t>Horas extra pagadas y aprobadas</w:t>
            </w:r>
          </w:p>
        </w:tc>
        <w:tc>
          <w:tcPr>
            <w:tcW w:type="dxa" w:w="1984"/>
          </w:tcPr>
          <w:p>
            <w:r/>
            <w:r>
              <w:rPr>
                <w:sz w:val="19"/>
              </w:rPr>
            </w:r>
          </w:p>
        </w:tc>
        <w:tc>
          <w:tcPr>
            <w:tcW w:type="dxa" w:w="4819"/>
          </w:tcPr>
          <w:p>
            <w:r/>
            <w:r>
              <w:rPr>
                <w:sz w:val="19"/>
              </w:rPr>
            </w:r>
          </w:p>
        </w:tc>
      </w:tr>
      <w:tr>
        <w:trPr>
          <w:trHeight w:val="567" w:hRule="atLeast"/>
        </w:trPr>
        <w:tc>
          <w:tcPr>
            <w:tcW w:type="dxa" w:w="2835"/>
          </w:tcPr>
          <w:p>
            <w:r/>
            <w:r>
              <w:rPr>
                <w:sz w:val="19"/>
              </w:rPr>
              <w:t>Monto del bono aprobado por la jefatura</w:t>
            </w:r>
          </w:p>
        </w:tc>
        <w:tc>
          <w:tcPr>
            <w:tcW w:type="dxa" w:w="1984"/>
          </w:tcPr>
          <w:p>
            <w:r/>
            <w:r>
              <w:rPr>
                <w:sz w:val="19"/>
              </w:rPr>
            </w:r>
          </w:p>
        </w:tc>
        <w:tc>
          <w:tcPr>
            <w:tcW w:type="dxa" w:w="4819"/>
          </w:tcPr>
          <w:p>
            <w:r/>
            <w:r>
              <w:rPr>
                <w:sz w:val="19"/>
              </w:rPr>
            </w:r>
          </w:p>
        </w:tc>
      </w:tr>
      <w:tr>
        <w:trPr>
          <w:trHeight w:val="567" w:hRule="atLeast"/>
        </w:trPr>
        <w:tc>
          <w:tcPr>
            <w:tcW w:type="dxa" w:w="2835"/>
          </w:tcPr>
          <w:p>
            <w:r/>
            <w:r>
              <w:rPr>
                <w:sz w:val="19"/>
              </w:rPr>
              <w:t>Diagnóstico de la licencia médica</w:t>
            </w:r>
          </w:p>
        </w:tc>
        <w:tc>
          <w:tcPr>
            <w:tcW w:type="dxa" w:w="1984"/>
          </w:tcPr>
          <w:p>
            <w:r/>
            <w:r>
              <w:rPr>
                <w:sz w:val="19"/>
              </w:rPr>
            </w:r>
          </w:p>
        </w:tc>
        <w:tc>
          <w:tcPr>
            <w:tcW w:type="dxa" w:w="4819"/>
          </w:tcPr>
          <w:p>
            <w:r/>
            <w:r>
              <w:rPr>
                <w:sz w:val="19"/>
              </w:rPr>
            </w:r>
          </w:p>
        </w:tc>
      </w:tr>
      <w:tr>
        <w:trPr>
          <w:trHeight w:val="567" w:hRule="atLeast"/>
        </w:trPr>
        <w:tc>
          <w:tcPr>
            <w:tcW w:type="dxa" w:w="2835"/>
          </w:tcPr>
          <w:p>
            <w:r/>
            <w:r>
              <w:rPr>
                <w:sz w:val="19"/>
              </w:rPr>
              <w:t>Regla interna de pago de horas extra</w:t>
            </w:r>
          </w:p>
        </w:tc>
        <w:tc>
          <w:tcPr>
            <w:tcW w:type="dxa" w:w="1984"/>
          </w:tcPr>
          <w:p>
            <w:r/>
            <w:r>
              <w:rPr>
                <w:sz w:val="19"/>
              </w:rPr>
            </w:r>
          </w:p>
        </w:tc>
        <w:tc>
          <w:tcPr>
            <w:tcW w:type="dxa" w:w="4819"/>
          </w:tcPr>
          <w:p>
            <w:r/>
            <w:r>
              <w:rPr>
                <w:sz w:val="19"/>
              </w:rPr>
            </w:r>
          </w:p>
        </w:tc>
      </w:tr>
      <w:tr>
        <w:trPr>
          <w:trHeight w:val="567" w:hRule="atLeast"/>
        </w:trPr>
        <w:tc>
          <w:tcPr>
            <w:tcW w:type="dxa" w:w="2835"/>
          </w:tcPr>
          <w:p>
            <w:r/>
            <w:r>
              <w:rPr>
                <w:sz w:val="19"/>
              </w:rPr>
              <w:t>Cuenta bancaria</w:t>
            </w:r>
          </w:p>
        </w:tc>
        <w:tc>
          <w:tcPr>
            <w:tcW w:type="dxa" w:w="1984"/>
          </w:tcPr>
          <w:p>
            <w:r/>
            <w:r>
              <w:rPr>
                <w:sz w:val="19"/>
              </w:rPr>
            </w:r>
          </w:p>
        </w:tc>
        <w:tc>
          <w:tcPr>
            <w:tcW w:type="dxa" w:w="4819"/>
          </w:tcPr>
          <w:p>
            <w:r/>
            <w:r>
              <w:rPr>
                <w:sz w:val="19"/>
              </w:rPr>
            </w:r>
          </w:p>
        </w:tc>
      </w:tr>
    </w:tbl>
    <w:p>
      <w:pPr>
        <w:spacing w:after="40"/>
      </w:pPr>
    </w:p>
    <w:p>
      <w:pPr>
        <w:spacing w:before="200" w:after="80"/>
      </w:pPr>
      <w:r>
        <w:rPr>
          <w:b/>
          <w:color w:val="173F4E"/>
          <w:sz w:val="26"/>
        </w:rPr>
        <w:t>Sección 2 · Decisión sobre cada alerta (criterio 2)</w:t>
      </w:r>
    </w:p>
    <w:p>
      <w:pPr>
        <w:spacing w:after="80"/>
      </w:pPr>
      <w:r>
        <w:rPr>
          <w:i w:val="0"/>
        </w:rPr>
        <w:t>Para cada alerta describe la evidencia que revisas, tu decisión (Corregir, Investigar o Descartar) y la justificación según el protocolo de validación.</w:t>
      </w:r>
    </w:p>
    <w:tbl>
      <w:tblPr>
        <w:tblStyle w:val="TableGrid"/>
        <w:tblW w:type="auto" w:w="0"/>
        <w:tblLayout w:type="fixed"/>
        <w:tblLook w:firstColumn="1" w:firstRow="1" w:lastColumn="0" w:lastRow="0" w:noHBand="0" w:noVBand="1" w:val="04A0"/>
      </w:tblPr>
      <w:tblGrid>
        <w:gridCol w:w="1928"/>
        <w:gridCol w:w="2608"/>
        <w:gridCol w:w="1304"/>
        <w:gridCol w:w="3798"/>
      </w:tblGrid>
      <w:tr>
        <w:tc>
          <w:tcPr>
            <w:tcW w:type="dxa" w:w="1928"/>
            <w:shd w:val="clear" w:color="auto" w:fill="173F4E"/>
          </w:tcPr>
          <w:p>
            <w:r/>
            <w:r>
              <w:rPr>
                <w:b/>
                <w:color w:val="FFFFFF"/>
                <w:sz w:val="19"/>
              </w:rPr>
              <w:t>Alerta</w:t>
            </w:r>
          </w:p>
        </w:tc>
        <w:tc>
          <w:tcPr>
            <w:tcW w:type="dxa" w:w="2608"/>
            <w:shd w:val="clear" w:color="auto" w:fill="173F4E"/>
          </w:tcPr>
          <w:p>
            <w:r/>
            <w:r>
              <w:rPr>
                <w:b/>
                <w:color w:val="FFFFFF"/>
                <w:sz w:val="19"/>
              </w:rPr>
              <w:t>Evidencia que reviso</w:t>
            </w:r>
          </w:p>
        </w:tc>
        <w:tc>
          <w:tcPr>
            <w:tcW w:type="dxa" w:w="1304"/>
            <w:shd w:val="clear" w:color="auto" w:fill="173F4E"/>
          </w:tcPr>
          <w:p>
            <w:r/>
            <w:r>
              <w:rPr>
                <w:b/>
                <w:color w:val="FFFFFF"/>
                <w:sz w:val="19"/>
              </w:rPr>
              <w:t>Decisión</w:t>
            </w:r>
          </w:p>
        </w:tc>
        <w:tc>
          <w:tcPr>
            <w:tcW w:type="dxa" w:w="3798"/>
            <w:shd w:val="clear" w:color="auto" w:fill="173F4E"/>
          </w:tcPr>
          <w:p>
            <w:r/>
            <w:r>
              <w:rPr>
                <w:b/>
                <w:color w:val="FFFFFF"/>
                <w:sz w:val="19"/>
              </w:rPr>
              <w:t>Justificación</w:t>
            </w:r>
          </w:p>
        </w:tc>
      </w:tr>
      <w:tr>
        <w:tc>
          <w:tcPr>
            <w:tcW w:type="dxa" w:w="1928"/>
            <w:shd w:val="clear" w:color="auto" w:fill="E3F2F1"/>
          </w:tcPr>
          <w:p>
            <w:r/>
            <w:r>
              <w:rPr>
                <w:i/>
                <w:sz w:val="19"/>
              </w:rPr>
              <w:t>Ejemplo: EMP-199, colación pagada dos veces</w:t>
            </w:r>
          </w:p>
        </w:tc>
        <w:tc>
          <w:tcPr>
            <w:tcW w:type="dxa" w:w="2608"/>
            <w:shd w:val="clear" w:color="auto" w:fill="E3F2F1"/>
          </w:tcPr>
          <w:p>
            <w:r/>
            <w:r>
              <w:rPr>
                <w:i/>
                <w:sz w:val="19"/>
              </w:rPr>
              <w:t>Registro de novedades y liquidación del mes</w:t>
            </w:r>
          </w:p>
        </w:tc>
        <w:tc>
          <w:tcPr>
            <w:tcW w:type="dxa" w:w="1304"/>
            <w:shd w:val="clear" w:color="auto" w:fill="E3F2F1"/>
          </w:tcPr>
          <w:p>
            <w:r/>
            <w:r>
              <w:rPr>
                <w:i/>
                <w:sz w:val="19"/>
              </w:rPr>
              <w:t>Corregir</w:t>
            </w:r>
          </w:p>
        </w:tc>
        <w:tc>
          <w:tcPr>
            <w:tcW w:type="dxa" w:w="3798"/>
            <w:shd w:val="clear" w:color="auto" w:fill="E3F2F1"/>
          </w:tcPr>
          <w:p>
            <w:r/>
            <w:r>
              <w:rPr>
                <w:i/>
                <w:sz w:val="19"/>
              </w:rPr>
              <w:t>Hay dos registros del mismo concepto y solo uno aprobado: se corrige en el sistema antes de pagar.</w:t>
            </w:r>
          </w:p>
        </w:tc>
      </w:tr>
      <w:tr>
        <w:trPr>
          <w:trHeight w:val="567" w:hRule="atLeast"/>
        </w:trPr>
        <w:tc>
          <w:tcPr>
            <w:tcW w:type="dxa" w:w="1928"/>
          </w:tcPr>
          <w:p>
            <w:r/>
            <w:r>
              <w:rPr>
                <w:sz w:val="19"/>
              </w:rPr>
              <w:t>A1</w:t>
            </w:r>
          </w:p>
        </w:tc>
        <w:tc>
          <w:tcPr>
            <w:tcW w:type="dxa" w:w="2608"/>
          </w:tcPr>
          <w:p>
            <w:r/>
            <w:r>
              <w:rPr>
                <w:sz w:val="19"/>
              </w:rPr>
            </w:r>
          </w:p>
        </w:tc>
        <w:tc>
          <w:tcPr>
            <w:tcW w:type="dxa" w:w="1304"/>
          </w:tcPr>
          <w:p>
            <w:r/>
            <w:r>
              <w:rPr>
                <w:sz w:val="19"/>
              </w:rPr>
            </w:r>
          </w:p>
        </w:tc>
        <w:tc>
          <w:tcPr>
            <w:tcW w:type="dxa" w:w="3798"/>
          </w:tcPr>
          <w:p>
            <w:r/>
            <w:r>
              <w:rPr>
                <w:sz w:val="19"/>
              </w:rPr>
            </w:r>
          </w:p>
        </w:tc>
      </w:tr>
      <w:tr>
        <w:trPr>
          <w:trHeight w:val="567" w:hRule="atLeast"/>
        </w:trPr>
        <w:tc>
          <w:tcPr>
            <w:tcW w:type="dxa" w:w="1928"/>
          </w:tcPr>
          <w:p>
            <w:r/>
            <w:r>
              <w:rPr>
                <w:sz w:val="19"/>
              </w:rPr>
              <w:t>A2</w:t>
            </w:r>
          </w:p>
        </w:tc>
        <w:tc>
          <w:tcPr>
            <w:tcW w:type="dxa" w:w="2608"/>
          </w:tcPr>
          <w:p>
            <w:r/>
            <w:r>
              <w:rPr>
                <w:sz w:val="19"/>
              </w:rPr>
            </w:r>
          </w:p>
        </w:tc>
        <w:tc>
          <w:tcPr>
            <w:tcW w:type="dxa" w:w="1304"/>
          </w:tcPr>
          <w:p>
            <w:r/>
            <w:r>
              <w:rPr>
                <w:sz w:val="19"/>
              </w:rPr>
            </w:r>
          </w:p>
        </w:tc>
        <w:tc>
          <w:tcPr>
            <w:tcW w:type="dxa" w:w="3798"/>
          </w:tcPr>
          <w:p>
            <w:r/>
            <w:r>
              <w:rPr>
                <w:sz w:val="19"/>
              </w:rPr>
            </w:r>
          </w:p>
        </w:tc>
      </w:tr>
      <w:tr>
        <w:trPr>
          <w:trHeight w:val="567" w:hRule="atLeast"/>
        </w:trPr>
        <w:tc>
          <w:tcPr>
            <w:tcW w:type="dxa" w:w="1928"/>
          </w:tcPr>
          <w:p>
            <w:r/>
            <w:r>
              <w:rPr>
                <w:sz w:val="19"/>
              </w:rPr>
              <w:t>A3</w:t>
            </w:r>
          </w:p>
        </w:tc>
        <w:tc>
          <w:tcPr>
            <w:tcW w:type="dxa" w:w="2608"/>
          </w:tcPr>
          <w:p>
            <w:r/>
            <w:r>
              <w:rPr>
                <w:sz w:val="19"/>
              </w:rPr>
            </w:r>
          </w:p>
        </w:tc>
        <w:tc>
          <w:tcPr>
            <w:tcW w:type="dxa" w:w="1304"/>
          </w:tcPr>
          <w:p>
            <w:r/>
            <w:r>
              <w:rPr>
                <w:sz w:val="19"/>
              </w:rPr>
            </w:r>
          </w:p>
        </w:tc>
        <w:tc>
          <w:tcPr>
            <w:tcW w:type="dxa" w:w="3798"/>
          </w:tcPr>
          <w:p>
            <w:r/>
            <w:r>
              <w:rPr>
                <w:sz w:val="19"/>
              </w:rPr>
            </w:r>
          </w:p>
        </w:tc>
      </w:tr>
      <w:tr>
        <w:trPr>
          <w:trHeight w:val="567" w:hRule="atLeast"/>
        </w:trPr>
        <w:tc>
          <w:tcPr>
            <w:tcW w:type="dxa" w:w="1928"/>
          </w:tcPr>
          <w:p>
            <w:r/>
            <w:r>
              <w:rPr>
                <w:sz w:val="19"/>
              </w:rPr>
              <w:t>A4</w:t>
            </w:r>
          </w:p>
        </w:tc>
        <w:tc>
          <w:tcPr>
            <w:tcW w:type="dxa" w:w="2608"/>
          </w:tcPr>
          <w:p>
            <w:r/>
            <w:r>
              <w:rPr>
                <w:sz w:val="19"/>
              </w:rPr>
            </w:r>
          </w:p>
        </w:tc>
        <w:tc>
          <w:tcPr>
            <w:tcW w:type="dxa" w:w="1304"/>
          </w:tcPr>
          <w:p>
            <w:r/>
            <w:r>
              <w:rPr>
                <w:sz w:val="19"/>
              </w:rPr>
            </w:r>
          </w:p>
        </w:tc>
        <w:tc>
          <w:tcPr>
            <w:tcW w:type="dxa" w:w="3798"/>
          </w:tcPr>
          <w:p>
            <w:r/>
            <w:r>
              <w:rPr>
                <w:sz w:val="19"/>
              </w:rPr>
            </w:r>
          </w:p>
        </w:tc>
      </w:tr>
      <w:tr>
        <w:trPr>
          <w:trHeight w:val="567" w:hRule="atLeast"/>
        </w:trPr>
        <w:tc>
          <w:tcPr>
            <w:tcW w:type="dxa" w:w="1928"/>
          </w:tcPr>
          <w:p>
            <w:r/>
            <w:r>
              <w:rPr>
                <w:sz w:val="19"/>
              </w:rPr>
              <w:t>A5</w:t>
            </w:r>
          </w:p>
        </w:tc>
        <w:tc>
          <w:tcPr>
            <w:tcW w:type="dxa" w:w="2608"/>
          </w:tcPr>
          <w:p>
            <w:r/>
            <w:r>
              <w:rPr>
                <w:sz w:val="19"/>
              </w:rPr>
            </w:r>
          </w:p>
        </w:tc>
        <w:tc>
          <w:tcPr>
            <w:tcW w:type="dxa" w:w="1304"/>
          </w:tcPr>
          <w:p>
            <w:r/>
            <w:r>
              <w:rPr>
                <w:sz w:val="19"/>
              </w:rPr>
            </w:r>
          </w:p>
        </w:tc>
        <w:tc>
          <w:tcPr>
            <w:tcW w:type="dxa" w:w="3798"/>
          </w:tcPr>
          <w:p>
            <w:r/>
            <w:r>
              <w:rPr>
                <w:sz w:val="19"/>
              </w:rPr>
            </w:r>
          </w:p>
        </w:tc>
      </w:tr>
    </w:tbl>
    <w:p>
      <w:pPr>
        <w:spacing w:after="40"/>
      </w:pPr>
    </w:p>
    <w:p>
      <w:pPr>
        <w:spacing w:before="200" w:after="80"/>
      </w:pPr>
      <w:r>
        <w:rPr>
          <w:b/>
          <w:color w:val="173F4E"/>
          <w:sz w:val="26"/>
        </w:rPr>
        <w:t>Sección 3 · Controles en Excel (criterio 3)</w:t>
      </w:r>
    </w:p>
    <w:p>
      <w:pPr>
        <w:spacing w:after="80"/>
      </w:pPr>
      <w:r>
        <w:rPr>
          <w:i w:val="0"/>
        </w:rPr>
        <w:t>Describe dos fórmulas de control en Excel (con punto y coma como separador) que habrían detectado las alertas A1 y A2, y un caso de prueba para cada una.</w:t>
      </w:r>
    </w:p>
    <w:tbl>
      <w:tblPr>
        <w:tblStyle w:val="TableGrid"/>
        <w:tblW w:type="auto" w:w="0"/>
        <w:tblLayout w:type="fixed"/>
        <w:tblLook w:firstColumn="1" w:firstRow="1" w:lastColumn="0" w:lastRow="0" w:noHBand="0" w:noVBand="1" w:val="04A0"/>
      </w:tblPr>
      <w:tblGrid>
        <w:gridCol w:w="2551"/>
        <w:gridCol w:w="3118"/>
        <w:gridCol w:w="3969"/>
      </w:tblGrid>
      <w:tr>
        <w:tc>
          <w:tcPr>
            <w:tcW w:type="dxa" w:w="2551"/>
            <w:shd w:val="clear" w:color="auto" w:fill="173F4E"/>
          </w:tcPr>
          <w:p>
            <w:r/>
            <w:r>
              <w:rPr>
                <w:b/>
                <w:color w:val="FFFFFF"/>
                <w:sz w:val="19"/>
              </w:rPr>
              <w:t>Control</w:t>
            </w:r>
          </w:p>
        </w:tc>
        <w:tc>
          <w:tcPr>
            <w:tcW w:type="dxa" w:w="3118"/>
            <w:shd w:val="clear" w:color="auto" w:fill="173F4E"/>
          </w:tcPr>
          <w:p>
            <w:r/>
            <w:r>
              <w:rPr>
                <w:b/>
                <w:color w:val="FFFFFF"/>
                <w:sz w:val="19"/>
              </w:rPr>
              <w:t>Fórmula (fila 2)</w:t>
            </w:r>
          </w:p>
        </w:tc>
        <w:tc>
          <w:tcPr>
            <w:tcW w:type="dxa" w:w="3969"/>
            <w:shd w:val="clear" w:color="auto" w:fill="173F4E"/>
          </w:tcPr>
          <w:p>
            <w:r/>
            <w:r>
              <w:rPr>
                <w:b/>
                <w:color w:val="FFFFFF"/>
                <w:sz w:val="19"/>
              </w:rPr>
              <w:t>Caso de prueba y resultado esperado</w:t>
            </w:r>
          </w:p>
        </w:tc>
      </w:tr>
      <w:tr>
        <w:tc>
          <w:tcPr>
            <w:tcW w:type="dxa" w:w="2551"/>
            <w:shd w:val="clear" w:color="auto" w:fill="E3F2F1"/>
          </w:tcPr>
          <w:p>
            <w:r/>
            <w:r>
              <w:rPr>
                <w:i/>
                <w:sz w:val="19"/>
              </w:rPr>
              <w:t>Ejemplo: líquido negativo</w:t>
            </w:r>
          </w:p>
        </w:tc>
        <w:tc>
          <w:tcPr>
            <w:tcW w:type="dxa" w:w="3118"/>
            <w:shd w:val="clear" w:color="auto" w:fill="E3F2F1"/>
          </w:tcPr>
          <w:p>
            <w:r/>
            <w:r>
              <w:rPr>
                <w:i/>
                <w:sz w:val="19"/>
              </w:rPr>
              <w:t>=SI(H2&lt;0;"REVISAR";"OK")</w:t>
            </w:r>
          </w:p>
        </w:tc>
        <w:tc>
          <w:tcPr>
            <w:tcW w:type="dxa" w:w="3969"/>
            <w:shd w:val="clear" w:color="auto" w:fill="E3F2F1"/>
          </w:tcPr>
          <w:p>
            <w:r/>
            <w:r>
              <w:rPr>
                <w:i/>
                <w:sz w:val="19"/>
              </w:rPr>
              <w:t>Si H2 = -5.000, debe mostrar «REVISAR».</w:t>
            </w:r>
          </w:p>
        </w:tc>
      </w:tr>
      <w:tr>
        <w:trPr>
          <w:trHeight w:val="567" w:hRule="atLeast"/>
        </w:trPr>
        <w:tc>
          <w:tcPr>
            <w:tcW w:type="dxa" w:w="2551"/>
          </w:tcPr>
          <w:p>
            <w:r/>
            <w:r>
              <w:rPr>
                <w:sz w:val="19"/>
              </w:rPr>
              <w:t>Horas extra pagadas vs. aprobadas (A1)</w:t>
            </w:r>
          </w:p>
        </w:tc>
        <w:tc>
          <w:tcPr>
            <w:tcW w:type="dxa" w:w="3118"/>
          </w:tcPr>
          <w:p>
            <w:r/>
            <w:r>
              <w:rPr>
                <w:sz w:val="19"/>
              </w:rPr>
            </w:r>
          </w:p>
        </w:tc>
        <w:tc>
          <w:tcPr>
            <w:tcW w:type="dxa" w:w="3969"/>
          </w:tcPr>
          <w:p>
            <w:r/>
            <w:r>
              <w:rPr>
                <w:sz w:val="19"/>
              </w:rPr>
            </w:r>
          </w:p>
        </w:tc>
      </w:tr>
      <w:tr>
        <w:trPr>
          <w:trHeight w:val="567" w:hRule="atLeast"/>
        </w:trPr>
        <w:tc>
          <w:tcPr>
            <w:tcW w:type="dxa" w:w="2551"/>
          </w:tcPr>
          <w:p>
            <w:r/>
            <w:r>
              <w:rPr>
                <w:sz w:val="19"/>
              </w:rPr>
              <w:t>Bono pagado vs. aprobado (A2)</w:t>
            </w:r>
          </w:p>
        </w:tc>
        <w:tc>
          <w:tcPr>
            <w:tcW w:type="dxa" w:w="3118"/>
          </w:tcPr>
          <w:p>
            <w:r/>
            <w:r>
              <w:rPr>
                <w:sz w:val="19"/>
              </w:rPr>
            </w:r>
          </w:p>
        </w:tc>
        <w:tc>
          <w:tcPr>
            <w:tcW w:type="dxa" w:w="3969"/>
          </w:tcPr>
          <w:p>
            <w:r/>
            <w:r>
              <w:rPr>
                <w:sz w:val="19"/>
              </w:rPr>
            </w:r>
          </w:p>
        </w:tc>
      </w:tr>
    </w:tbl>
    <w:p>
      <w:pPr>
        <w:spacing w:after="40"/>
      </w:pPr>
    </w:p>
    <w:p>
      <w:pPr>
        <w:spacing w:before="200" w:after="80"/>
      </w:pPr>
      <w:r>
        <w:rPr>
          <w:b/>
          <w:color w:val="173F4E"/>
          <w:sz w:val="26"/>
        </w:rPr>
        <w:t>Sección 4 · Protocolo de validación y control humano (criterio 4)</w:t>
      </w:r>
    </w:p>
    <w:p>
      <w:pPr>
        <w:spacing w:after="80"/>
      </w:pPr>
      <w:r>
        <w:rPr>
          <w:i w:val="0"/>
        </w:rPr>
        <w:t>Describe, en cuatro pasos ordenados, cómo validarás la alerta A3 antes de decidir, y quién aprueba el cierre. Máximo 200 palabras.</w:t>
      </w:r>
    </w:p>
    <w:tbl>
      <w:tblPr>
        <w:tblStyle w:val="TableGrid"/>
        <w:tblW w:type="auto" w:w="0"/>
        <w:tblLook w:firstColumn="1" w:firstRow="1" w:lastColumn="0" w:lastRow="0" w:noHBand="0" w:noVBand="1" w:val="04A0"/>
      </w:tblPr>
      <w:tblGrid>
        <w:gridCol w:w="9972"/>
      </w:tblGrid>
      <w:tr>
        <w:tc>
          <w:tcPr>
            <w:tcW w:type="dxa" w:w="9972"/>
          </w:tcPr>
          <w:p>
            <w:r/>
            <w:r>
              <w:rPr>
                <w:i/>
                <w:color w:val="5F7180"/>
                <w:sz w:val="18"/>
              </w:rPr>
              <w:t>Paso 1… Paso 2… Paso 3… Paso 4…</w:t>
            </w:r>
          </w:p>
          <w:p/>
          <w:p/>
          <w:p/>
          <w:p/>
          <w:p/>
          <w:p/>
          <w:p/>
          <w:p/>
        </w:tc>
      </w:tr>
    </w:tbl>
    <w:p>
      <w:pPr>
        <w:spacing w:after="40"/>
      </w:pPr>
    </w:p>
    <w:p>
      <w:pPr>
        <w:spacing w:before="200" w:after="80"/>
      </w:pPr>
      <w:r>
        <w:rPr>
          <w:b/>
          <w:color w:val="173F4E"/>
          <w:sz w:val="26"/>
        </w:rPr>
        <w:t>Rúbrica de evaluación (100 puntos)</w:t>
      </w:r>
    </w:p>
    <w:p>
      <w:pPr>
        <w:spacing w:after="80"/>
      </w:pPr>
      <w:r>
        <w:rPr>
          <w:i w:val="0"/>
          <w:sz w:val="19"/>
        </w:rPr>
        <w:t>Cada criterio evidencia el aprendizaje esperado AE2. Apruebas con 60 puntos (nota 4,0, escala de 1,0 a 7,0 con 60 % de exigencia).</w:t>
      </w:r>
    </w:p>
    <w:tbl>
      <w:tblPr>
        <w:tblStyle w:val="TableGrid"/>
        <w:tblW w:type="auto" w:w="0"/>
        <w:tblLayout w:type="fixed"/>
        <w:tblLook w:firstColumn="1" w:firstRow="1" w:lastColumn="0" w:lastRow="0" w:noHBand="0" w:noVBand="1" w:val="04A0"/>
      </w:tblPr>
      <w:tblGrid>
        <w:gridCol w:w="2041"/>
        <w:gridCol w:w="2551"/>
        <w:gridCol w:w="2551"/>
        <w:gridCol w:w="2494"/>
      </w:tblGrid>
      <w:tr>
        <w:tc>
          <w:tcPr>
            <w:tcW w:type="dxa" w:w="2041"/>
            <w:shd w:val="clear" w:color="auto" w:fill="173F4E"/>
          </w:tcPr>
          <w:p>
            <w:r/>
            <w:r>
              <w:rPr>
                <w:b/>
                <w:color w:val="FFFFFF"/>
                <w:sz w:val="17"/>
              </w:rPr>
              <w:t>Criterio</w:t>
            </w:r>
          </w:p>
        </w:tc>
        <w:tc>
          <w:tcPr>
            <w:tcW w:type="dxa" w:w="2551"/>
            <w:shd w:val="clear" w:color="auto" w:fill="173F4E"/>
          </w:tcPr>
          <w:p>
            <w:r/>
            <w:r>
              <w:rPr>
                <w:b/>
                <w:color w:val="FFFFFF"/>
                <w:sz w:val="17"/>
              </w:rPr>
              <w:t>Logrado</w:t>
            </w:r>
          </w:p>
        </w:tc>
        <w:tc>
          <w:tcPr>
            <w:tcW w:type="dxa" w:w="2551"/>
            <w:shd w:val="clear" w:color="auto" w:fill="173F4E"/>
          </w:tcPr>
          <w:p>
            <w:r/>
            <w:r>
              <w:rPr>
                <w:b/>
                <w:color w:val="FFFFFF"/>
                <w:sz w:val="17"/>
              </w:rPr>
              <w:t>Parcialmente logrado</w:t>
            </w:r>
          </w:p>
        </w:tc>
        <w:tc>
          <w:tcPr>
            <w:tcW w:type="dxa" w:w="2494"/>
            <w:shd w:val="clear" w:color="auto" w:fill="173F4E"/>
          </w:tcPr>
          <w:p>
            <w:r/>
            <w:r>
              <w:rPr>
                <w:b/>
                <w:color w:val="FFFFFF"/>
                <w:sz w:val="17"/>
              </w:rPr>
              <w:t>No logrado</w:t>
            </w:r>
          </w:p>
        </w:tc>
      </w:tr>
      <w:tr>
        <w:tc>
          <w:tcPr>
            <w:tcW w:type="dxa" w:w="2041"/>
          </w:tcPr>
          <w:p>
            <w:r/>
            <w:r>
              <w:rPr>
                <w:sz w:val="17"/>
              </w:rPr>
              <w:t>1. Información para la revisión (20 puntos)</w:t>
            </w:r>
          </w:p>
        </w:tc>
        <w:tc>
          <w:tcPr>
            <w:tcW w:type="dxa" w:w="2551"/>
          </w:tcPr>
          <w:p>
            <w:r/>
            <w:r>
              <w:rPr>
                <w:sz w:val="17"/>
              </w:rPr>
              <w:t>Logrado (20 puntos)</w:t>
              <w:br/>
              <w:t>Clasifica correctamente los 8 datos y justifica cada uno con el criterio de minimización y de información necesaria.</w:t>
            </w:r>
          </w:p>
        </w:tc>
        <w:tc>
          <w:tcPr>
            <w:tcW w:type="dxa" w:w="2551"/>
          </w:tcPr>
          <w:p>
            <w:r/>
            <w:r>
              <w:rPr>
                <w:sz w:val="17"/>
              </w:rPr>
              <w:t>Parcialmente logrado (10 puntos)</w:t>
              <w:br/>
              <w:t>Clasifica bien 5 a 7 datos o las justificaciones son incompletas.</w:t>
            </w:r>
          </w:p>
        </w:tc>
        <w:tc>
          <w:tcPr>
            <w:tcW w:type="dxa" w:w="2494"/>
          </w:tcPr>
          <w:p>
            <w:r/>
            <w:r>
              <w:rPr>
                <w:sz w:val="17"/>
              </w:rPr>
              <w:t>No logrado (0 puntos)</w:t>
              <w:br/>
              <w:t>Clasifica bien menos de 5 datos o no justifica.</w:t>
            </w:r>
          </w:p>
        </w:tc>
      </w:tr>
      <w:tr>
        <w:tc>
          <w:tcPr>
            <w:tcW w:type="dxa" w:w="2041"/>
          </w:tcPr>
          <w:p>
            <w:r/>
            <w:r>
              <w:rPr>
                <w:sz w:val="17"/>
              </w:rPr>
              <w:t>2. Decisión sobre las alertas (35 puntos)</w:t>
            </w:r>
          </w:p>
        </w:tc>
        <w:tc>
          <w:tcPr>
            <w:tcW w:type="dxa" w:w="2551"/>
          </w:tcPr>
          <w:p>
            <w:r/>
            <w:r>
              <w:rPr>
                <w:sz w:val="17"/>
              </w:rPr>
              <w:t>Logrado (35 puntos)</w:t>
              <w:br/>
              <w:t>Las 5 decisiones son correctas (A1 y A2 corregir; A3 investigar; A4 y A5 descartar con respaldo) y cada una nombra la evidencia revisada.</w:t>
            </w:r>
          </w:p>
        </w:tc>
        <w:tc>
          <w:tcPr>
            <w:tcW w:type="dxa" w:w="2551"/>
          </w:tcPr>
          <w:p>
            <w:r/>
            <w:r>
              <w:rPr>
                <w:sz w:val="17"/>
              </w:rPr>
              <w:t>Parcialmente logrado (18 puntos)</w:t>
              <w:br/>
              <w:t>Acierta 3 o 4 decisiones, o no nombra la evidencia en alguna.</w:t>
            </w:r>
          </w:p>
        </w:tc>
        <w:tc>
          <w:tcPr>
            <w:tcW w:type="dxa" w:w="2494"/>
          </w:tcPr>
          <w:p>
            <w:r/>
            <w:r>
              <w:rPr>
                <w:sz w:val="17"/>
              </w:rPr>
              <w:t>No logrado (0 puntos)</w:t>
              <w:br/>
              <w:t>Acierta 2 decisiones o menos.</w:t>
            </w:r>
          </w:p>
        </w:tc>
      </w:tr>
      <w:tr>
        <w:tc>
          <w:tcPr>
            <w:tcW w:type="dxa" w:w="2041"/>
          </w:tcPr>
          <w:p>
            <w:r/>
            <w:r>
              <w:rPr>
                <w:sz w:val="17"/>
              </w:rPr>
              <w:t>3. Controles en Excel (20 puntos)</w:t>
            </w:r>
          </w:p>
        </w:tc>
        <w:tc>
          <w:tcPr>
            <w:tcW w:type="dxa" w:w="2551"/>
          </w:tcPr>
          <w:p>
            <w:r/>
            <w:r>
              <w:rPr>
                <w:sz w:val="17"/>
              </w:rPr>
              <w:t>Logrado (20 puntos)</w:t>
              <w:br/>
              <w:t>Las dos fórmulas comparan las columnas correctas, funcionan y tienen un caso de prueba coherente.</w:t>
            </w:r>
          </w:p>
        </w:tc>
        <w:tc>
          <w:tcPr>
            <w:tcW w:type="dxa" w:w="2551"/>
          </w:tcPr>
          <w:p>
            <w:r/>
            <w:r>
              <w:rPr>
                <w:sz w:val="17"/>
              </w:rPr>
              <w:t>Parcialmente logrado (10 puntos)</w:t>
              <w:br/>
              <w:t>Una fórmula correcta, o faltan los casos de prueba.</w:t>
            </w:r>
          </w:p>
        </w:tc>
        <w:tc>
          <w:tcPr>
            <w:tcW w:type="dxa" w:w="2494"/>
          </w:tcPr>
          <w:p>
            <w:r/>
            <w:r>
              <w:rPr>
                <w:sz w:val="17"/>
              </w:rPr>
              <w:t>No logrado (0 puntos)</w:t>
              <w:br/>
              <w:t>Ninguna fórmula correcta.</w:t>
            </w:r>
          </w:p>
        </w:tc>
      </w:tr>
      <w:tr>
        <w:tc>
          <w:tcPr>
            <w:tcW w:type="dxa" w:w="2041"/>
          </w:tcPr>
          <w:p>
            <w:r/>
            <w:r>
              <w:rPr>
                <w:sz w:val="17"/>
              </w:rPr>
              <w:t>4. Protocolo de validación (25 puntos)</w:t>
            </w:r>
          </w:p>
        </w:tc>
        <w:tc>
          <w:tcPr>
            <w:tcW w:type="dxa" w:w="2551"/>
          </w:tcPr>
          <w:p>
            <w:r/>
            <w:r>
              <w:rPr>
                <w:sz w:val="17"/>
              </w:rPr>
              <w:t>Logrado (25 puntos)</w:t>
              <w:br/>
              <w:t>Describe 4 pasos en orden: contrasta con la fuente oficial vigente, revisa el parámetro en el sistema, documenta la evidencia y un segundo revisor (Rodrigo) aprueba antes de cerrar.</w:t>
            </w:r>
          </w:p>
        </w:tc>
        <w:tc>
          <w:tcPr>
            <w:tcW w:type="dxa" w:w="2551"/>
          </w:tcPr>
          <w:p>
            <w:r/>
            <w:r>
              <w:rPr>
                <w:sz w:val="17"/>
              </w:rPr>
              <w:t>Parcialmente logrado (12 puntos)</w:t>
              <w:br/>
              <w:t>Describe el protocolo con omisiones (sin fuente oficial o sin segundo revisor).</w:t>
            </w:r>
          </w:p>
        </w:tc>
        <w:tc>
          <w:tcPr>
            <w:tcW w:type="dxa" w:w="2494"/>
          </w:tcPr>
          <w:p>
            <w:r/>
            <w:r>
              <w:rPr>
                <w:sz w:val="17"/>
              </w:rPr>
              <w:t>No logrado (0 puntos)</w:t>
              <w:br/>
              <w:t>No describe un protocolo o acepta la afirmación de la IA sin verificar.</w:t>
            </w:r>
          </w:p>
        </w:tc>
      </w:tr>
    </w:tbl>
    <w:p>
      <w:pPr>
        <w:spacing w:after="40"/>
      </w:pPr>
    </w:p>
    <w:p>
      <w:pPr>
        <w:spacing w:after="80"/>
      </w:pPr>
      <w:r>
        <w:rPr>
          <w:i w:val="0"/>
          <w:sz w:val="19"/>
        </w:rPr>
        <w:t>Puntaje total: ____ / 100     Nota: ____     Retroalimentación de la tutora:</w:t>
      </w:r>
    </w:p>
    <w:tbl>
      <w:tblPr>
        <w:tblStyle w:val="TableGrid"/>
        <w:tblW w:type="auto" w:w="0"/>
        <w:tblLook w:firstColumn="1" w:firstRow="1" w:lastColumn="0" w:lastRow="0" w:noHBand="0" w:noVBand="1" w:val="04A0"/>
      </w:tblPr>
      <w:tblGrid>
        <w:gridCol w:w="9972"/>
      </w:tblGrid>
      <w:tr>
        <w:tc>
          <w:tcPr>
            <w:tcW w:type="dxa" w:w="9972"/>
          </w:tcPr>
          <w:p>
            <w:r/>
            <w:r>
              <w:rPr>
                <w:i/>
                <w:color w:val="5F7180"/>
                <w:sz w:val="18"/>
              </w:rPr>
              <w:t>Espacio para la retroalimentación por criterio</w:t>
            </w:r>
          </w:p>
          <w:p/>
          <w:p/>
          <w:p/>
          <w:p/>
        </w:tc>
      </w:tr>
    </w:tbl>
    <w:p>
      <w:pPr>
        <w:spacing w:after="4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