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Becoming an AI Engineer</w:t>
      </w:r>
    </w:p>
    <w:p>
      <w:pPr>
        <w:pStyle w:val="Subtitle"/>
      </w:pPr>
      <w:r>
        <w:t>The Path from Software Engineer to AI Engineer</w:t>
      </w:r>
    </w:p>
    <w:p>
      <w:r>
        <w:rPr>
          <w:b/>
        </w:rPr>
        <w:t>Research foundation and editorial blueprint</w:t>
      </w:r>
    </w:p>
    <w:p>
      <w:r>
        <w:t>September 5, 2026</w:t>
      </w:r>
    </w:p>
    <w:p>
      <w:r>
        <w:t>A practical textbook for experienced software engineers who are new to machine learning. The book develops the ability to design, measure, constrain, and operate systems built around foundation models.</w:t>
      </w:r>
    </w:p>
    <w:p>
      <w:r>
        <w:t>The blueprint specifies 30 chapters in eight parts, with an estimated 500 pages of main text. A fictional support application provides the recurring project, supported by focused side labs and an evidence-based capstone.</w:t>
      </w:r>
    </w:p>
    <w:p>
      <w:pPr>
        <w:pStyle w:val="Heading2"/>
      </w:pPr>
      <w:r>
        <w:t>Review guide</w:t>
      </w:r>
    </w:p>
    <w:p>
      <w:pPr>
        <w:pStyle w:val="ListBullet"/>
      </w:pPr>
      <w:r>
        <w:t>Research foundation explains the evidence and boundaries behind the curriculum.</w:t>
      </w:r>
    </w:p>
    <w:p>
      <w:pPr>
        <w:pStyle w:val="ListBullet"/>
      </w:pPr>
      <w:r>
        <w:t>Detailed chapter outline provides topics, prerequisites, workshops, failure exercises, and completion evidence.</w:t>
      </w:r>
    </w:p>
    <w:p>
      <w:pPr>
        <w:pStyle w:val="ListBullet"/>
      </w:pPr>
      <w:r>
        <w:t>Project and assessment design defines the recurring application, milestones, educational targets, and companion material.</w:t>
      </w:r>
    </w:p>
    <w:p>
      <w:pPr>
        <w:pStyle w:val="ListBullet"/>
      </w:pPr>
      <w:r>
        <w:t>Source notes preserve attribution, publication context, and limits of the cited evidence.</w:t>
      </w:r>
    </w:p>
    <w:p>
      <w:pPr>
        <w:pStyle w:val="Heading1"/>
        <w:pageBreakBefore/>
      </w:pPr>
      <w:r>
        <w:t>Research foundation</w:t>
      </w:r>
    </w:p>
    <w:p>
      <w:r>
        <w:rPr>
          <w:b w:val="0"/>
        </w:rPr>
        <w:t>The book teaches experienced software engineers to take responsibility for systems whose behavior depends on foundation models. Its intended reader can already program, test, debug, work with APIs and databases, and deploy ordinary applications. The learning path adds model understanding, data and experimental judgment, context construction, controlled action, and operational responsibility.</w:t>
      </w:r>
    </w:p>
    <w:p>
      <w:r>
        <w:rPr>
          <w:b w:val="0"/>
        </w:rPr>
        <w:t>The professional outcome is concrete: given a real problem, the reader can choose an appropriate approach, define success, build and improve the system, constrain its authority, and operate it with evidence of acceptable behavior. This is an educational standard chosen for the book. It is not a universal credential or a promise of employment.</w:t>
      </w:r>
    </w:p>
    <w:p>
      <w:r>
        <w:rPr>
          <w:b w:val="0"/>
        </w:rPr>
        <w:t>Research was consulted on September 5, 2026. Publication and update dates remain separate from access dates. The chapter sequence, fictional application, page allocations, workshops, and assessment targets are editorial recommendations derived from the evidence, rather than experimentally validated instructional prescriptions.</w:t>
      </w:r>
    </w:p>
    <w:p>
      <w:pPr>
        <w:pStyle w:val="Heading2"/>
      </w:pPr>
      <w:r>
        <w:t>The discipline and its boundaries</w:t>
      </w:r>
    </w:p>
    <w:p>
      <w:r>
        <w:rPr>
          <w:b w:val="0"/>
        </w:rPr>
        <w:t xml:space="preserve">The Software Engineering Institute describes AI engineering as a broad combination of systems engineering, software engineering, computer science, and human-centered design, organized around human-centered, scalable, and robust and secure AI. The book adopts that concern for complete systems while focusing its practical work on applications built around foundation models. </w:t>
      </w:r>
      <w:hyperlink r:id="rId10">
        <w:r>
          <w:rPr>
            <w:color w:val="245A81"/>
          </w:rPr>
          <w:t>CMU SEI AI Engineering</w:t>
        </w:r>
      </w:hyperlink>
      <w:r>
        <w:rPr>
          <w:b w:val="0"/>
        </w:rPr>
        <w:t>.</w:t>
      </w:r>
    </w:p>
    <w:p>
      <w:r>
        <w:rPr>
          <w:b w:val="0"/>
        </w:rPr>
        <w:t xml:space="preserve">Shawn Wang's 2023 essay describes the emergence of a foundation-model application specialty and acknowledges that boundaries between model and application work are permeable. It is useful evidence of professional framing, not a basis for current salary or employment forecasts. The book therefore treats role titles as overlapping responsibilities and avoids implying that classical ML work falls outside the broader discipline. </w:t>
      </w:r>
      <w:hyperlink r:id="rId11">
        <w:r>
          <w:rPr>
            <w:color w:val="245A81"/>
          </w:rPr>
          <w:t>The Rise of the AI Engineer</w:t>
        </w:r>
      </w:hyperlink>
      <w:r>
        <w:rPr>
          <w:b w:val="0"/>
        </w:rPr>
        <w:t>.</w:t>
      </w:r>
    </w:p>
    <w:p>
      <w:r>
        <w:rPr>
          <w:b w:val="0"/>
        </w:rPr>
        <w:t xml:space="preserve">Berkeley's compound-systems perspective explains why the model alone is an insufficient unit of design: retrieval, tools, code, and repeated model calls interact to produce behavior. The instructional consequence is to teach component measurement and system-level judgment together. Direct access to this article timed out during research; substantial publisher-indexed text supplied its definition and design discussion. </w:t>
      </w:r>
      <w:hyperlink r:id="rId12">
        <w:r>
          <w:rPr>
            <w:color w:val="245A81"/>
          </w:rPr>
          <w:t>The Shift from Models to Compound AI Systems</w:t>
        </w:r>
      </w:hyperlink>
      <w:r>
        <w:rPr>
          <w:b w:val="0"/>
        </w:rPr>
        <w:t>.</w:t>
      </w:r>
    </w:p>
    <w:p>
      <w:r>
        <w:rPr>
          <w:b w:val="0"/>
        </w:rPr>
        <w:t xml:space="preserve">Chip Huyen's author-maintained description of AI Engineering establishes a closely related reference work covering foundation-model applications. It explicitly states that it is not a tutorial book. The proposed textbook's distinguishing contribution is the transition curriculum: progressive implementation, failure diagnosis, and observable competency milestones. This positioning is an editorial choice, not a claim that no other practical books exist. </w:t>
      </w:r>
      <w:hyperlink r:id="rId13">
        <w:r>
          <w:rPr>
            <w:color w:val="245A81"/>
          </w:rPr>
          <w:t>AI Engineering book and resources</w:t>
        </w:r>
      </w:hyperlink>
      <w:r>
        <w:rPr>
          <w:b w:val="0"/>
        </w:rPr>
        <w:t>.</w:t>
      </w:r>
    </w:p>
    <w:p>
      <w:pPr>
        <w:pStyle w:val="Heading2"/>
      </w:pPr>
      <w:r>
        <w:t>Accessible entry with substantive foundations</w:t>
      </w:r>
    </w:p>
    <w:p>
      <w:r>
        <w:rPr>
          <w:b w:val="0"/>
        </w:rPr>
        <w:t xml:space="preserve">Google's introductory ML curriculum does not require previous ML knowledge. It expects programming and basic quantitative literacy and labels calculus optional for advanced topics. Stanford's Spring 2026 language-model construction course expects deeper mathematics, ML, and systems experience. These are different educational scopes, not conflicting accounts of a single prerequisite standard. </w:t>
      </w:r>
      <w:hyperlink r:id="rId14">
        <w:r>
          <w:rPr>
            <w:color w:val="245A81"/>
          </w:rPr>
          <w:t>Google ML Crash Course prerequisites</w:t>
        </w:r>
      </w:hyperlink>
      <w:r>
        <w:rPr>
          <w:b w:val="0"/>
        </w:rPr>
        <w:t xml:space="preserve">, </w:t>
      </w:r>
      <w:hyperlink r:id="rId15">
        <w:r>
          <w:rPr>
            <w:color w:val="245A81"/>
          </w:rPr>
          <w:t>Stanford CS336</w:t>
        </w:r>
      </w:hyperlink>
      <w:r>
        <w:rPr>
          <w:b w:val="0"/>
        </w:rPr>
        <w:t>.</w:t>
      </w:r>
    </w:p>
    <w:p>
      <w:r>
        <w:rPr>
          <w:b w:val="0"/>
        </w:rPr>
        <w:t>The book consequently introduces a working feature early, then teaches the mathematics and ML concepts needed to investigate it. Probability, sampling, leakage, generalization, loss, embeddings, and model behavior are required core material. Full transformer construction, advanced optimization, and distributed training remain deeper pathways. The precise division is an editorial synthesis.</w:t>
      </w:r>
    </w:p>
    <w:p>
      <w:r>
        <w:rPr>
          <w:b w:val="0"/>
        </w:rPr>
        <w:t xml:space="preserve">Full Stack Deep Learning's 2023 bootcamp combines applications, model foundations, prompting, augmented models, user experience, and operations. Its scope supports teaching the full lifecycle, while its age makes it unsuitable for selecting today's preferred tooling. Google's problem-framing guidance supplies the distinction between product outcomes, model tasks, and business metrics that anchors the opening project. </w:t>
      </w:r>
      <w:hyperlink r:id="rId16">
        <w:r>
          <w:rPr>
            <w:color w:val="245A81"/>
          </w:rPr>
          <w:t>LLM Bootcamp</w:t>
        </w:r>
      </w:hyperlink>
      <w:r>
        <w:rPr>
          <w:b w:val="0"/>
        </w:rPr>
        <w:t xml:space="preserve">, </w:t>
      </w:r>
      <w:hyperlink r:id="rId17">
        <w:r>
          <w:rPr>
            <w:color w:val="245A81"/>
          </w:rPr>
          <w:t>Framing an ML problem</w:t>
        </w:r>
      </w:hyperlink>
      <w:r>
        <w:rPr>
          <w:b w:val="0"/>
        </w:rPr>
        <w:t>.</w:t>
      </w:r>
    </w:p>
    <w:p>
      <w:pPr>
        <w:pStyle w:val="Heading2"/>
      </w:pPr>
      <w:r>
        <w:t>Evaluation and verification as recurring practices</w:t>
      </w:r>
    </w:p>
    <w:p>
      <w:r>
        <w:rPr>
          <w:b w:val="0"/>
        </w:rPr>
        <w:t xml:space="preserve">Anthropic's 2026 engineering guidance distinguishes a task, a trial, a grader, a transcript, and the resulting environment state. This supports teaching evaluation from the first feature and later verifying whether agent actions actually occurred. The book's agent exercises distinguish what the system says from what the ticket database records. </w:t>
      </w:r>
      <w:hyperlink r:id="rId18">
        <w:r>
          <w:rPr>
            <w:color w:val="245A81"/>
          </w:rPr>
          <w:t>Demystifying evals for AI agents</w:t>
        </w:r>
      </w:hyperlink>
      <w:r>
        <w:rPr>
          <w:b w:val="0"/>
        </w:rPr>
        <w:t>.</w:t>
      </w:r>
    </w:p>
    <w:p>
      <w:r>
        <w:rPr>
          <w:b w:val="0"/>
        </w:rPr>
        <w:t xml:space="preserve">Zheng and colleagues investigated model judges as approximations to human preference and documented position, verbosity, self-enhancement, and reasoning limitations. The book uses these findings to motivate judge calibration and disagreement analysis. Agreement with preferences is not equivalent to factual correctness or reliability on a new task. </w:t>
      </w:r>
      <w:hyperlink r:id="rId19">
        <w:r>
          <w:rPr>
            <w:color w:val="245A81"/>
          </w:rPr>
          <w:t>Judging LLM-as-a-Judge</w:t>
        </w:r>
      </w:hyperlink>
      <w:r>
        <w:rPr>
          <w:b w:val="0"/>
        </w:rPr>
        <w:t>.</w:t>
      </w:r>
    </w:p>
    <w:p>
      <w:r>
        <w:rPr>
          <w:b w:val="0"/>
        </w:rPr>
        <w:t xml:space="preserve">Model Cards proposes reporting intended uses and performance under relevant conditions. That principle informs the capstone's explicit account of appropriate use, evaluation coverage, and limitations. Documentation accompanies the evidence; it does not substitute for it. </w:t>
      </w:r>
      <w:hyperlink r:id="rId20">
        <w:r>
          <w:rPr>
            <w:color w:val="245A81"/>
          </w:rPr>
          <w:t>Model Cards for Model Reporting</w:t>
        </w:r>
      </w:hyperlink>
      <w:r>
        <w:rPr>
          <w:b w:val="0"/>
        </w:rPr>
        <w:t>.</w:t>
      </w:r>
    </w:p>
    <w:p>
      <w:pPr>
        <w:pStyle w:val="Heading2"/>
      </w:pPr>
      <w:r>
        <w:t>Context and architecture choices require comparison</w:t>
      </w:r>
    </w:p>
    <w:p>
      <w:r>
        <w:rPr>
          <w:b w:val="0"/>
        </w:rPr>
        <w:t xml:space="preserve">The original RAG paper combines parametric and retrieved non-parametric memory. Its trained architecture provides historical grounding, while contemporary application pipelines should be explained on their own terms. </w:t>
      </w:r>
      <w:hyperlink r:id="rId21">
        <w:r>
          <w:rPr>
            <w:color w:val="245A81"/>
          </w:rPr>
          <w:t>Retrieval-Augmented Generation for Knowledge-Intensive NLP Tasks</w:t>
        </w:r>
      </w:hyperlink>
      <w:r>
        <w:rPr>
          <w:b w:val="0"/>
        </w:rPr>
        <w:t>.</w:t>
      </w:r>
    </w:p>
    <w:p>
      <w:r>
        <w:rPr>
          <w:b w:val="0"/>
        </w:rPr>
        <w:t xml:space="preserve">Research comparing retrieval and long-context approaches reports tradeoffs that depend on tasks, methods, and resource constraints. A later evaluation revisits context relevance and retrieval choices, finding differences across question types. The book therefore requires an application-level comparison rather than asserting that one architecture always wins. </w:t>
      </w:r>
      <w:hyperlink r:id="rId22">
        <w:r>
          <w:rPr>
            <w:color w:val="245A81"/>
          </w:rPr>
          <w:t>RAG or Long-Context LLMs</w:t>
        </w:r>
      </w:hyperlink>
      <w:r>
        <w:rPr>
          <w:b w:val="0"/>
        </w:rPr>
        <w:t xml:space="preserve">, </w:t>
      </w:r>
      <w:hyperlink r:id="rId23">
        <w:r>
          <w:rPr>
            <w:color w:val="245A81"/>
          </w:rPr>
          <w:t>Long Context vs RAG revisited</w:t>
        </w:r>
      </w:hyperlink>
      <w:r>
        <w:rPr>
          <w:b w:val="0"/>
        </w:rPr>
        <w:t>.</w:t>
      </w:r>
    </w:p>
    <w:p>
      <w:r>
        <w:rPr>
          <w:b w:val="0"/>
        </w:rPr>
        <w:t xml:space="preserve">Lost in the Middle identifies position-sensitive use of information in the models and tasks studied. Anthropic's context-engineering guidance treats instructions, tools, external data, and history as a managed resource and discusses compaction and persistent notes. Together they motivate experiments on context relevance, information preservation, and stale memory without asserting an identical limitation for every future model. </w:t>
      </w:r>
      <w:hyperlink r:id="rId24">
        <w:r>
          <w:rPr>
            <w:color w:val="245A81"/>
          </w:rPr>
          <w:t>Lost in the Middle</w:t>
        </w:r>
      </w:hyperlink>
      <w:r>
        <w:rPr>
          <w:b w:val="0"/>
        </w:rPr>
        <w:t xml:space="preserve">, </w:t>
      </w:r>
      <w:hyperlink r:id="rId25">
        <w:r>
          <w:rPr>
            <w:color w:val="245A81"/>
          </w:rPr>
          <w:t>Effective context engineering</w:t>
        </w:r>
      </w:hyperlink>
      <w:r>
        <w:rPr>
          <w:b w:val="0"/>
        </w:rPr>
        <w:t>.</w:t>
      </w:r>
    </w:p>
    <w:p>
      <w:r>
        <w:rPr>
          <w:b w:val="0"/>
        </w:rPr>
        <w:t xml:space="preserve">Anthropic distinguishes explicit workflows from model-directed action and recommends increasing complexity when needed. Its multi-agent research account documents both benefits and coordination/resource burdens. Long-running harness experiments offer coding-specific examples of incremental work and persistent artifacts, with generalization still an open question. The book teaches explicit workflows before agents and asks readers to justify autonomy and delegation with comparable measurements. </w:t>
      </w:r>
      <w:hyperlink r:id="rId26">
        <w:r>
          <w:rPr>
            <w:color w:val="245A81"/>
          </w:rPr>
          <w:t>Building effective agents</w:t>
        </w:r>
      </w:hyperlink>
      <w:r>
        <w:rPr>
          <w:b w:val="0"/>
        </w:rPr>
        <w:t xml:space="preserve">, </w:t>
      </w:r>
      <w:hyperlink r:id="rId27">
        <w:r>
          <w:rPr>
            <w:color w:val="245A81"/>
          </w:rPr>
          <w:t>Multi-agent research system</w:t>
        </w:r>
      </w:hyperlink>
      <w:r>
        <w:rPr>
          <w:b w:val="0"/>
        </w:rPr>
        <w:t xml:space="preserve">, </w:t>
      </w:r>
      <w:hyperlink r:id="rId28">
        <w:r>
          <w:rPr>
            <w:color w:val="245A81"/>
          </w:rPr>
          <w:t>Effective harnesses</w:t>
        </w:r>
      </w:hyperlink>
      <w:r>
        <w:rPr>
          <w:b w:val="0"/>
        </w:rPr>
        <w:t>.</w:t>
      </w:r>
    </w:p>
    <w:p>
      <w:pPr>
        <w:pStyle w:val="Heading2"/>
      </w:pPr>
      <w:r>
        <w:t>Adaptation and multimodal understanding</w:t>
      </w:r>
    </w:p>
    <w:p>
      <w:r>
        <w:rPr>
          <w:b w:val="0"/>
        </w:rPr>
        <w:t xml:space="preserve">LoRA supplies a concrete example of reducing the trainable parameter burden through low-rank adaptation while keeping pretrained weights frozen. It justifies an accessible adaptation lab, not a requirement to fine-tune every application. Stanford's model-building curriculum provides the route into deeper training and inference specialization. </w:t>
      </w:r>
      <w:hyperlink r:id="rId29">
        <w:r>
          <w:rPr>
            <w:color w:val="245A81"/>
          </w:rPr>
          <w:t>LoRA</w:t>
        </w:r>
      </w:hyperlink>
      <w:r>
        <w:rPr>
          <w:b w:val="0"/>
        </w:rPr>
        <w:t xml:space="preserve">, </w:t>
      </w:r>
      <w:hyperlink r:id="rId15">
        <w:r>
          <w:rPr>
            <w:color w:val="245A81"/>
          </w:rPr>
          <w:t>Stanford CS336</w:t>
        </w:r>
      </w:hyperlink>
      <w:r>
        <w:rPr>
          <w:b w:val="0"/>
        </w:rPr>
        <w:t>.</w:t>
      </w:r>
    </w:p>
    <w:p>
      <w:r>
        <w:rPr>
          <w:b w:val="0"/>
        </w:rPr>
        <w:t xml:space="preserve">MMMU-Pro strengthens multimodal assessment by filtering questions answerable without visual input and changing the input format. This supplies a specific lesson for the book: an evaluation advertised as visual understanding must actually require the visual evidence. It does not establish the current accuracy of the proposed support application. </w:t>
      </w:r>
      <w:hyperlink r:id="rId30">
        <w:r>
          <w:rPr>
            <w:color w:val="245A81"/>
          </w:rPr>
          <w:t>MMMU-Pro</w:t>
        </w:r>
      </w:hyperlink>
      <w:r>
        <w:rPr>
          <w:b w:val="0"/>
        </w:rPr>
        <w:t>.</w:t>
      </w:r>
    </w:p>
    <w:p>
      <w:pPr>
        <w:pStyle w:val="Heading2"/>
      </w:pPr>
      <w:r>
        <w:t>Security and operational responsibility</w:t>
      </w:r>
    </w:p>
    <w:p>
      <w:r>
        <w:rPr>
          <w:b w:val="0"/>
        </w:rPr>
        <w:t xml:space="preserve">OWASP's August 2026 guidance provides application threat scenarios and mitigations. NIST's Generative AI Profile supplies a voluntary lifecycle framework covering contextual risks including privacy, harmful bias, confabulation, and human interaction. These support explicit authority boundaries, threat exercises, data handling, and accountable ownership. Neither is presented as a compliance certification or as proof that an application is safe. </w:t>
      </w:r>
      <w:hyperlink r:id="rId31">
        <w:r>
          <w:rPr>
            <w:color w:val="245A81"/>
          </w:rPr>
          <w:t>OWASP GenAI LLM Top 10 2026</w:t>
        </w:r>
      </w:hyperlink>
      <w:r>
        <w:rPr>
          <w:b w:val="0"/>
        </w:rPr>
        <w:t xml:space="preserve">, </w:t>
      </w:r>
      <w:hyperlink r:id="rId32">
        <w:r>
          <w:rPr>
            <w:color w:val="245A81"/>
          </w:rPr>
          <w:t>NIST AI 600-1</w:t>
        </w:r>
      </w:hyperlink>
      <w:r>
        <w:rPr>
          <w:b w:val="0"/>
        </w:rPr>
        <w:t>.</w:t>
      </w:r>
    </w:p>
    <w:p>
      <w:r>
        <w:rPr>
          <w:b w:val="0"/>
        </w:rPr>
        <w:t xml:space="preserve">Human–AI interaction research proposes guidelines for communicating capabilities, correcting errors, and supporting control. Its relevance evaluation predates current foundation-model agents, so the book treats it as a design foundation and still asks readers to test their actual recovery interface. </w:t>
      </w:r>
      <w:hyperlink r:id="rId33">
        <w:r>
          <w:rPr>
            <w:color w:val="245A81"/>
          </w:rPr>
          <w:t>Guidelines for Human-AI Interaction</w:t>
        </w:r>
      </w:hyperlink>
      <w:r>
        <w:rPr>
          <w:b w:val="0"/>
        </w:rPr>
        <w:t>.</w:t>
      </w:r>
    </w:p>
    <w:p>
      <w:r>
        <w:rPr>
          <w:b w:val="0"/>
        </w:rPr>
        <w:t xml:space="preserve">Anthropic's 2025 incident account documents behavioral degradation related to infrastructure changes and gaps in existing evaluation. It supports teaching quality monitoring alongside availability and linking incidents to versioned changes. FrugalGPT provides historical evidence that measured routing can improve quality/cost tradeoffs; its particular savings and prices are not transferred to current workloads. </w:t>
      </w:r>
      <w:hyperlink r:id="rId34">
        <w:r>
          <w:rPr>
            <w:color w:val="245A81"/>
          </w:rPr>
          <w:t>A postmortem of three recent issues</w:t>
        </w:r>
      </w:hyperlink>
      <w:r>
        <w:rPr>
          <w:b w:val="0"/>
        </w:rPr>
        <w:t xml:space="preserve">, </w:t>
      </w:r>
      <w:hyperlink r:id="rId35">
        <w:r>
          <w:rPr>
            <w:color w:val="245A81"/>
          </w:rPr>
          <w:t>FrugalGPT</w:t>
        </w:r>
      </w:hyperlink>
      <w:r>
        <w:rPr>
          <w:b w:val="0"/>
        </w:rPr>
        <w:t>.</w:t>
      </w:r>
    </w:p>
    <w:p>
      <w:pPr>
        <w:pStyle w:val="Heading2"/>
      </w:pPr>
      <w:r>
        <w:t>Research method and remaining limits</w:t>
      </w:r>
    </w:p>
    <w:p>
      <w:r>
        <w:rPr>
          <w:b w:val="0"/>
        </w:rPr>
        <w:t>Discovery covered discipline definitions, comparable educational material, prerequisites, compound systems, retrieval and context, agents, evaluation, adaptation, multimodal benchmarks, security, human interaction, operations, and economics. Follow-up focused on consequential gaps: differing definitions, differing prerequisite levels, retrieval versus long-context claims, judge validity, and the current edition of security guidance. Important sources returned by focused research lanes were checked in the main research process.</w:t>
      </w:r>
    </w:p>
    <w:p>
      <w:r>
        <w:rPr>
          <w:b w:val="0"/>
        </w:rPr>
        <w:t>Sources were selected for original evidence, official curricula, first-party production experience, and relevant institutional guidance. Some research-paper findings were assessed from original abstracts and publication metadata rather than full paper reproduction. The source ledger records access scope and limitations per item. No experiment in the proposed book has been run as part of this blueprint.</w:t>
      </w:r>
    </w:p>
    <w:p>
      <w:r>
        <w:rPr>
          <w:b w:val="0"/>
        </w:rPr>
        <w:t>Research stopped once every major competency family had a relevant evidence basis, competing definitions were reconciled by scope, and architecture claims were bounded by their experiments. Additional broad searches were unlikely to change the chapter sequence. This is a curriculum synthesis, not an exhaustive systematic literature review, hiring-market study, legal analysis, or validation of a universal professional standard.</w:t>
      </w:r>
    </w:p>
    <w:p>
      <w:r>
        <w:rPr>
          <w:b w:val="0"/>
        </w:rPr>
        <w:t>Before publication, recheck living guidance and run the book's actual experiments with dated model, dataset, environment, and pricing records. Attribute historical results as historical, and keep model-specific setup material in the companion repository.</w:t>
      </w:r>
    </w:p>
    <w:p>
      <w:pPr>
        <w:pStyle w:val="Heading1"/>
        <w:pageBreakBefore/>
      </w:pPr>
      <w:r>
        <w:t>Detailed chapter outline</w:t>
      </w:r>
    </w:p>
    <w:p>
      <w:r>
        <w:rPr>
          <w:b w:val="0"/>
        </w:rPr>
        <w:t>This outline specifies 30 chapters in eight parts. Chapter page allocations are estimates for the future manuscript and total 500 pages. They exclude front matter, references, index, and appendices.</w:t>
      </w:r>
    </w:p>
    <w:p>
      <w:r>
        <w:rPr>
          <w:b w:val="0"/>
        </w:rPr>
        <w:t>Each brief preserves the approved chapter topics and adds the software-engineering connection, prerequisites, a workshop, a failure exercise, and assessable completion evidence. Reading links are sources for the concepts; the proposed exercises are original editorial designs.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1440"/>
        <w:gridCol w:w="2160"/>
      </w:tblGrid>
      <w:tr>
        <w:trPr>
          <w:cantSplit/>
          <w:tblHeader/>
        </w:trPr>
        <w:tc>
          <w:tcPr>
            <w:tcW w:type="dxa" w:w="6480"/>
            <w:vAlign w:val="center"/>
            <w:tcMar>
              <w:top w:w="90" w:type="dxa"/>
              <w:left w:w="90" w:type="dxa"/>
              <w:bottom w:w="90" w:type="dxa"/>
              <w:right w:w="90" w:type="dxa"/>
            </w:tcMar>
            <w:shd w:fill="E7EDF3"/>
          </w:tcPr>
          <w:p>
            <w:pPr>
              <w:spacing w:after="20" w:line="252" w:lineRule="auto"/>
            </w:pPr>
            <w:r>
              <w:rPr>
                <w:b/>
                <w:sz w:val="18"/>
              </w:rPr>
              <w:t>Part</w:t>
            </w:r>
          </w:p>
        </w:tc>
        <w:tc>
          <w:tcPr>
            <w:tcW w:type="dxa" w:w="1440"/>
            <w:vAlign w:val="center"/>
            <w:tcMar>
              <w:top w:w="90" w:type="dxa"/>
              <w:left w:w="90" w:type="dxa"/>
              <w:bottom w:w="90" w:type="dxa"/>
              <w:right w:w="90" w:type="dxa"/>
            </w:tcMar>
            <w:shd w:fill="E7EDF3"/>
          </w:tcPr>
          <w:p>
            <w:pPr>
              <w:spacing w:after="20" w:line="252" w:lineRule="auto"/>
              <w:jc w:val="center"/>
            </w:pPr>
            <w:r>
              <w:rPr>
                <w:b/>
                <w:sz w:val="18"/>
              </w:rPr>
              <w:t>Chapters</w:t>
            </w:r>
          </w:p>
        </w:tc>
        <w:tc>
          <w:tcPr>
            <w:tcW w:type="dxa" w:w="2160"/>
            <w:vAlign w:val="center"/>
            <w:tcMar>
              <w:top w:w="90" w:type="dxa"/>
              <w:left w:w="90" w:type="dxa"/>
              <w:bottom w:w="90" w:type="dxa"/>
              <w:right w:w="90" w:type="dxa"/>
            </w:tcMar>
            <w:shd w:fill="E7EDF3"/>
          </w:tcPr>
          <w:p>
            <w:pPr>
              <w:spacing w:after="20" w:line="252" w:lineRule="auto"/>
            </w:pPr>
            <w:r>
              <w:rPr>
                <w:b/>
                <w:sz w:val="18"/>
              </w:rPr>
              <w:t>Main-text pages</w:t>
            </w:r>
          </w:p>
        </w:tc>
      </w:tr>
      <w:tr>
        <w:trPr>
          <w:cantSplit/>
        </w:trPr>
        <w:tc>
          <w:tcPr>
            <w:tcW w:type="dxa" w:w="6480"/>
            <w:vAlign w:val="center"/>
            <w:tcMar>
              <w:top w:w="90" w:type="dxa"/>
              <w:left w:w="90" w:type="dxa"/>
              <w:bottom w:w="90" w:type="dxa"/>
              <w:right w:w="90" w:type="dxa"/>
            </w:tcMar>
            <w:shd w:fill="FFFFFF"/>
          </w:tcPr>
          <w:p>
            <w:pPr>
              <w:spacing w:after="20" w:line="252" w:lineRule="auto"/>
            </w:pPr>
            <w:r>
              <w:rPr>
                <w:b w:val="0"/>
                <w:sz w:val="18"/>
              </w:rPr>
              <w:t>1. Entering the discipline</w:t>
            </w:r>
          </w:p>
        </w:tc>
        <w:tc>
          <w:tcPr>
            <w:tcW w:type="dxa" w:w="1440"/>
            <w:vAlign w:val="center"/>
            <w:tcMar>
              <w:top w:w="90" w:type="dxa"/>
              <w:left w:w="90" w:type="dxa"/>
              <w:bottom w:w="90" w:type="dxa"/>
              <w:right w:w="90" w:type="dxa"/>
            </w:tcMar>
            <w:shd w:fill="FFFFFF"/>
          </w:tcPr>
          <w:p>
            <w:pPr>
              <w:spacing w:after="20" w:line="252" w:lineRule="auto"/>
              <w:jc w:val="center"/>
            </w:pPr>
            <w:r>
              <w:rPr>
                <w:b w:val="0"/>
                <w:sz w:val="18"/>
              </w:rPr>
              <w:t>1–3</w:t>
            </w:r>
          </w:p>
        </w:tc>
        <w:tc>
          <w:tcPr>
            <w:tcW w:type="dxa" w:w="2160"/>
            <w:vAlign w:val="center"/>
            <w:tcMar>
              <w:top w:w="90" w:type="dxa"/>
              <w:left w:w="90" w:type="dxa"/>
              <w:bottom w:w="90" w:type="dxa"/>
              <w:right w:w="90" w:type="dxa"/>
            </w:tcMar>
            <w:shd w:fill="FFFFFF"/>
          </w:tcPr>
          <w:p>
            <w:pPr>
              <w:spacing w:after="20" w:line="252" w:lineRule="auto"/>
            </w:pPr>
            <w:r>
              <w:rPr>
                <w:b w:val="0"/>
                <w:sz w:val="18"/>
              </w:rPr>
              <w:t>40</w:t>
            </w:r>
          </w:p>
        </w:tc>
      </w:tr>
      <w:tr>
        <w:trPr>
          <w:cantSplit/>
        </w:trPr>
        <w:tc>
          <w:tcPr>
            <w:tcW w:type="dxa" w:w="6480"/>
            <w:vAlign w:val="center"/>
            <w:tcMar>
              <w:top w:w="90" w:type="dxa"/>
              <w:left w:w="90" w:type="dxa"/>
              <w:bottom w:w="90" w:type="dxa"/>
              <w:right w:w="90" w:type="dxa"/>
            </w:tcMar>
            <w:shd w:fill="FFFFFF"/>
          </w:tcPr>
          <w:p>
            <w:pPr>
              <w:spacing w:after="20" w:line="252" w:lineRule="auto"/>
            </w:pPr>
            <w:r>
              <w:rPr>
                <w:b w:val="0"/>
                <w:sz w:val="18"/>
              </w:rPr>
              <w:t>2. Foundations for engineering judgment</w:t>
            </w:r>
          </w:p>
        </w:tc>
        <w:tc>
          <w:tcPr>
            <w:tcW w:type="dxa" w:w="1440"/>
            <w:vAlign w:val="center"/>
            <w:tcMar>
              <w:top w:w="90" w:type="dxa"/>
              <w:left w:w="90" w:type="dxa"/>
              <w:bottom w:w="90" w:type="dxa"/>
              <w:right w:w="90" w:type="dxa"/>
            </w:tcMar>
            <w:shd w:fill="FFFFFF"/>
          </w:tcPr>
          <w:p>
            <w:pPr>
              <w:spacing w:after="20" w:line="252" w:lineRule="auto"/>
              <w:jc w:val="center"/>
            </w:pPr>
            <w:r>
              <w:rPr>
                <w:b w:val="0"/>
                <w:sz w:val="18"/>
              </w:rPr>
              <w:t>4–6</w:t>
            </w:r>
          </w:p>
        </w:tc>
        <w:tc>
          <w:tcPr>
            <w:tcW w:type="dxa" w:w="2160"/>
            <w:vAlign w:val="center"/>
            <w:tcMar>
              <w:top w:w="90" w:type="dxa"/>
              <w:left w:w="90" w:type="dxa"/>
              <w:bottom w:w="90" w:type="dxa"/>
              <w:right w:w="90" w:type="dxa"/>
            </w:tcMar>
            <w:shd w:fill="FFFFFF"/>
          </w:tcPr>
          <w:p>
            <w:pPr>
              <w:spacing w:after="20" w:line="252" w:lineRule="auto"/>
            </w:pPr>
            <w:r>
              <w:rPr>
                <w:b w:val="0"/>
                <w:sz w:val="18"/>
              </w:rPr>
              <w:t>60</w:t>
            </w:r>
          </w:p>
        </w:tc>
      </w:tr>
      <w:tr>
        <w:trPr>
          <w:cantSplit/>
        </w:trPr>
        <w:tc>
          <w:tcPr>
            <w:tcW w:type="dxa" w:w="6480"/>
            <w:vAlign w:val="center"/>
            <w:tcMar>
              <w:top w:w="90" w:type="dxa"/>
              <w:left w:w="90" w:type="dxa"/>
              <w:bottom w:w="90" w:type="dxa"/>
              <w:right w:w="90" w:type="dxa"/>
            </w:tcMar>
            <w:shd w:fill="FFFFFF"/>
          </w:tcPr>
          <w:p>
            <w:pPr>
              <w:spacing w:after="20" w:line="252" w:lineRule="auto"/>
            </w:pPr>
            <w:r>
              <w:rPr>
                <w:b w:val="0"/>
                <w:sz w:val="18"/>
              </w:rPr>
              <w:t>3. Building an empirical development process</w:t>
            </w:r>
          </w:p>
        </w:tc>
        <w:tc>
          <w:tcPr>
            <w:tcW w:type="dxa" w:w="1440"/>
            <w:vAlign w:val="center"/>
            <w:tcMar>
              <w:top w:w="90" w:type="dxa"/>
              <w:left w:w="90" w:type="dxa"/>
              <w:bottom w:w="90" w:type="dxa"/>
              <w:right w:w="90" w:type="dxa"/>
            </w:tcMar>
            <w:shd w:fill="FFFFFF"/>
          </w:tcPr>
          <w:p>
            <w:pPr>
              <w:spacing w:after="20" w:line="252" w:lineRule="auto"/>
              <w:jc w:val="center"/>
            </w:pPr>
            <w:r>
              <w:rPr>
                <w:b w:val="0"/>
                <w:sz w:val="18"/>
              </w:rPr>
              <w:t>7–10</w:t>
            </w:r>
          </w:p>
        </w:tc>
        <w:tc>
          <w:tcPr>
            <w:tcW w:type="dxa" w:w="2160"/>
            <w:vAlign w:val="center"/>
            <w:tcMar>
              <w:top w:w="90" w:type="dxa"/>
              <w:left w:w="90" w:type="dxa"/>
              <w:bottom w:w="90" w:type="dxa"/>
              <w:right w:w="90" w:type="dxa"/>
            </w:tcMar>
            <w:shd w:fill="FFFFFF"/>
          </w:tcPr>
          <w:p>
            <w:pPr>
              <w:spacing w:after="20" w:line="252" w:lineRule="auto"/>
            </w:pPr>
            <w:r>
              <w:rPr>
                <w:b w:val="0"/>
                <w:sz w:val="18"/>
              </w:rPr>
              <w:t>65</w:t>
            </w:r>
          </w:p>
        </w:tc>
      </w:tr>
      <w:tr>
        <w:trPr>
          <w:cantSplit/>
        </w:trPr>
        <w:tc>
          <w:tcPr>
            <w:tcW w:type="dxa" w:w="6480"/>
            <w:vAlign w:val="center"/>
            <w:tcMar>
              <w:top w:w="90" w:type="dxa"/>
              <w:left w:w="90" w:type="dxa"/>
              <w:bottom w:w="90" w:type="dxa"/>
              <w:right w:w="90" w:type="dxa"/>
            </w:tcMar>
            <w:shd w:fill="FFFFFF"/>
          </w:tcPr>
          <w:p>
            <w:pPr>
              <w:spacing w:after="20" w:line="252" w:lineRule="auto"/>
            </w:pPr>
            <w:r>
              <w:rPr>
                <w:b w:val="0"/>
                <w:sz w:val="18"/>
              </w:rPr>
              <w:t>4. Engineering knowledge and context</w:t>
            </w:r>
          </w:p>
        </w:tc>
        <w:tc>
          <w:tcPr>
            <w:tcW w:type="dxa" w:w="1440"/>
            <w:vAlign w:val="center"/>
            <w:tcMar>
              <w:top w:w="90" w:type="dxa"/>
              <w:left w:w="90" w:type="dxa"/>
              <w:bottom w:w="90" w:type="dxa"/>
              <w:right w:w="90" w:type="dxa"/>
            </w:tcMar>
            <w:shd w:fill="FFFFFF"/>
          </w:tcPr>
          <w:p>
            <w:pPr>
              <w:spacing w:after="20" w:line="252" w:lineRule="auto"/>
              <w:jc w:val="center"/>
            </w:pPr>
            <w:r>
              <w:rPr>
                <w:b w:val="0"/>
                <w:sz w:val="18"/>
              </w:rPr>
              <w:t>11–14</w:t>
            </w:r>
          </w:p>
        </w:tc>
        <w:tc>
          <w:tcPr>
            <w:tcW w:type="dxa" w:w="2160"/>
            <w:vAlign w:val="center"/>
            <w:tcMar>
              <w:top w:w="90" w:type="dxa"/>
              <w:left w:w="90" w:type="dxa"/>
              <w:bottom w:w="90" w:type="dxa"/>
              <w:right w:w="90" w:type="dxa"/>
            </w:tcMar>
            <w:shd w:fill="FFFFFF"/>
          </w:tcPr>
          <w:p>
            <w:pPr>
              <w:spacing w:after="20" w:line="252" w:lineRule="auto"/>
            </w:pPr>
            <w:r>
              <w:rPr>
                <w:b w:val="0"/>
                <w:sz w:val="18"/>
              </w:rPr>
              <w:t>70</w:t>
            </w:r>
          </w:p>
        </w:tc>
      </w:tr>
      <w:tr>
        <w:trPr>
          <w:cantSplit/>
        </w:trPr>
        <w:tc>
          <w:tcPr>
            <w:tcW w:type="dxa" w:w="6480"/>
            <w:vAlign w:val="center"/>
            <w:tcMar>
              <w:top w:w="90" w:type="dxa"/>
              <w:left w:w="90" w:type="dxa"/>
              <w:bottom w:w="90" w:type="dxa"/>
              <w:right w:w="90" w:type="dxa"/>
            </w:tcMar>
            <w:shd w:fill="FFFFFF"/>
          </w:tcPr>
          <w:p>
            <w:pPr>
              <w:spacing w:after="20" w:line="252" w:lineRule="auto"/>
            </w:pPr>
            <w:r>
              <w:rPr>
                <w:b w:val="0"/>
                <w:sz w:val="18"/>
              </w:rPr>
              <w:t>5. Tools, workflows, and agents</w:t>
            </w:r>
          </w:p>
        </w:tc>
        <w:tc>
          <w:tcPr>
            <w:tcW w:type="dxa" w:w="1440"/>
            <w:vAlign w:val="center"/>
            <w:tcMar>
              <w:top w:w="90" w:type="dxa"/>
              <w:left w:w="90" w:type="dxa"/>
              <w:bottom w:w="90" w:type="dxa"/>
              <w:right w:w="90" w:type="dxa"/>
            </w:tcMar>
            <w:shd w:fill="FFFFFF"/>
          </w:tcPr>
          <w:p>
            <w:pPr>
              <w:spacing w:after="20" w:line="252" w:lineRule="auto"/>
              <w:jc w:val="center"/>
            </w:pPr>
            <w:r>
              <w:rPr>
                <w:b w:val="0"/>
                <w:sz w:val="18"/>
              </w:rPr>
              <w:t>15–19</w:t>
            </w:r>
          </w:p>
        </w:tc>
        <w:tc>
          <w:tcPr>
            <w:tcW w:type="dxa" w:w="2160"/>
            <w:vAlign w:val="center"/>
            <w:tcMar>
              <w:top w:w="90" w:type="dxa"/>
              <w:left w:w="90" w:type="dxa"/>
              <w:bottom w:w="90" w:type="dxa"/>
              <w:right w:w="90" w:type="dxa"/>
            </w:tcMar>
            <w:shd w:fill="FFFFFF"/>
          </w:tcPr>
          <w:p>
            <w:pPr>
              <w:spacing w:after="20" w:line="252" w:lineRule="auto"/>
            </w:pPr>
            <w:r>
              <w:rPr>
                <w:b w:val="0"/>
                <w:sz w:val="18"/>
              </w:rPr>
              <w:t>90</w:t>
            </w:r>
          </w:p>
        </w:tc>
      </w:tr>
      <w:tr>
        <w:trPr>
          <w:cantSplit/>
        </w:trPr>
        <w:tc>
          <w:tcPr>
            <w:tcW w:type="dxa" w:w="6480"/>
            <w:vAlign w:val="center"/>
            <w:tcMar>
              <w:top w:w="90" w:type="dxa"/>
              <w:left w:w="90" w:type="dxa"/>
              <w:bottom w:w="90" w:type="dxa"/>
              <w:right w:w="90" w:type="dxa"/>
            </w:tcMar>
            <w:shd w:fill="FFFFFF"/>
          </w:tcPr>
          <w:p>
            <w:pPr>
              <w:spacing w:after="20" w:line="252" w:lineRule="auto"/>
            </w:pPr>
            <w:r>
              <w:rPr>
                <w:b w:val="0"/>
                <w:sz w:val="18"/>
              </w:rPr>
              <w:t>6. Adapting models and expanding capabilities</w:t>
            </w:r>
          </w:p>
        </w:tc>
        <w:tc>
          <w:tcPr>
            <w:tcW w:type="dxa" w:w="1440"/>
            <w:vAlign w:val="center"/>
            <w:tcMar>
              <w:top w:w="90" w:type="dxa"/>
              <w:left w:w="90" w:type="dxa"/>
              <w:bottom w:w="90" w:type="dxa"/>
              <w:right w:w="90" w:type="dxa"/>
            </w:tcMar>
            <w:shd w:fill="FFFFFF"/>
          </w:tcPr>
          <w:p>
            <w:pPr>
              <w:spacing w:after="20" w:line="252" w:lineRule="auto"/>
              <w:jc w:val="center"/>
            </w:pPr>
            <w:r>
              <w:rPr>
                <w:b w:val="0"/>
                <w:sz w:val="18"/>
              </w:rPr>
              <w:t>20–22</w:t>
            </w:r>
          </w:p>
        </w:tc>
        <w:tc>
          <w:tcPr>
            <w:tcW w:type="dxa" w:w="2160"/>
            <w:vAlign w:val="center"/>
            <w:tcMar>
              <w:top w:w="90" w:type="dxa"/>
              <w:left w:w="90" w:type="dxa"/>
              <w:bottom w:w="90" w:type="dxa"/>
              <w:right w:w="90" w:type="dxa"/>
            </w:tcMar>
            <w:shd w:fill="FFFFFF"/>
          </w:tcPr>
          <w:p>
            <w:pPr>
              <w:spacing w:after="20" w:line="252" w:lineRule="auto"/>
            </w:pPr>
            <w:r>
              <w:rPr>
                <w:b w:val="0"/>
                <w:sz w:val="18"/>
              </w:rPr>
              <w:t>60</w:t>
            </w:r>
          </w:p>
        </w:tc>
      </w:tr>
      <w:tr>
        <w:trPr>
          <w:cantSplit/>
        </w:trPr>
        <w:tc>
          <w:tcPr>
            <w:tcW w:type="dxa" w:w="6480"/>
            <w:vAlign w:val="center"/>
            <w:tcMar>
              <w:top w:w="90" w:type="dxa"/>
              <w:left w:w="90" w:type="dxa"/>
              <w:bottom w:w="90" w:type="dxa"/>
              <w:right w:w="90" w:type="dxa"/>
            </w:tcMar>
            <w:shd w:fill="FFFFFF"/>
          </w:tcPr>
          <w:p>
            <w:pPr>
              <w:spacing w:after="20" w:line="252" w:lineRule="auto"/>
            </w:pPr>
            <w:r>
              <w:rPr>
                <w:b w:val="0"/>
                <w:sz w:val="18"/>
              </w:rPr>
              <w:t>7. Operating dependable AI systems</w:t>
            </w:r>
          </w:p>
        </w:tc>
        <w:tc>
          <w:tcPr>
            <w:tcW w:type="dxa" w:w="1440"/>
            <w:vAlign w:val="center"/>
            <w:tcMar>
              <w:top w:w="90" w:type="dxa"/>
              <w:left w:w="90" w:type="dxa"/>
              <w:bottom w:w="90" w:type="dxa"/>
              <w:right w:w="90" w:type="dxa"/>
            </w:tcMar>
            <w:shd w:fill="FFFFFF"/>
          </w:tcPr>
          <w:p>
            <w:pPr>
              <w:spacing w:after="20" w:line="252" w:lineRule="auto"/>
              <w:jc w:val="center"/>
            </w:pPr>
            <w:r>
              <w:rPr>
                <w:b w:val="0"/>
                <w:sz w:val="18"/>
              </w:rPr>
              <w:t>23–27</w:t>
            </w:r>
          </w:p>
        </w:tc>
        <w:tc>
          <w:tcPr>
            <w:tcW w:type="dxa" w:w="2160"/>
            <w:vAlign w:val="center"/>
            <w:tcMar>
              <w:top w:w="90" w:type="dxa"/>
              <w:left w:w="90" w:type="dxa"/>
              <w:bottom w:w="90" w:type="dxa"/>
              <w:right w:w="90" w:type="dxa"/>
            </w:tcMar>
            <w:shd w:fill="FFFFFF"/>
          </w:tcPr>
          <w:p>
            <w:pPr>
              <w:spacing w:after="20" w:line="252" w:lineRule="auto"/>
            </w:pPr>
            <w:r>
              <w:rPr>
                <w:b w:val="0"/>
                <w:sz w:val="18"/>
              </w:rPr>
              <w:t>80</w:t>
            </w:r>
          </w:p>
        </w:tc>
      </w:tr>
      <w:tr>
        <w:trPr>
          <w:cantSplit/>
        </w:trPr>
        <w:tc>
          <w:tcPr>
            <w:tcW w:type="dxa" w:w="6480"/>
            <w:vAlign w:val="center"/>
            <w:tcMar>
              <w:top w:w="90" w:type="dxa"/>
              <w:left w:w="90" w:type="dxa"/>
              <w:bottom w:w="90" w:type="dxa"/>
              <w:right w:w="90" w:type="dxa"/>
            </w:tcMar>
            <w:shd w:fill="FFFFFF"/>
          </w:tcPr>
          <w:p>
            <w:pPr>
              <w:spacing w:after="20" w:line="252" w:lineRule="auto"/>
            </w:pPr>
            <w:r>
              <w:rPr>
                <w:b w:val="0"/>
                <w:sz w:val="18"/>
              </w:rPr>
              <w:t>8. Demonstrating professional competence</w:t>
            </w:r>
          </w:p>
        </w:tc>
        <w:tc>
          <w:tcPr>
            <w:tcW w:type="dxa" w:w="1440"/>
            <w:vAlign w:val="center"/>
            <w:tcMar>
              <w:top w:w="90" w:type="dxa"/>
              <w:left w:w="90" w:type="dxa"/>
              <w:bottom w:w="90" w:type="dxa"/>
              <w:right w:w="90" w:type="dxa"/>
            </w:tcMar>
            <w:shd w:fill="FFFFFF"/>
          </w:tcPr>
          <w:p>
            <w:pPr>
              <w:spacing w:after="20" w:line="252" w:lineRule="auto"/>
              <w:jc w:val="center"/>
            </w:pPr>
            <w:r>
              <w:rPr>
                <w:b w:val="0"/>
                <w:sz w:val="18"/>
              </w:rPr>
              <w:t>28–30</w:t>
            </w:r>
          </w:p>
        </w:tc>
        <w:tc>
          <w:tcPr>
            <w:tcW w:type="dxa" w:w="2160"/>
            <w:vAlign w:val="center"/>
            <w:tcMar>
              <w:top w:w="90" w:type="dxa"/>
              <w:left w:w="90" w:type="dxa"/>
              <w:bottom w:w="90" w:type="dxa"/>
              <w:right w:w="90" w:type="dxa"/>
            </w:tcMar>
            <w:shd w:fill="FFFFFF"/>
          </w:tcPr>
          <w:p>
            <w:pPr>
              <w:spacing w:after="20" w:line="252" w:lineRule="auto"/>
            </w:pPr>
            <w:r>
              <w:rPr>
                <w:b w:val="0"/>
                <w:sz w:val="18"/>
              </w:rPr>
              <w:t>35</w:t>
            </w:r>
          </w:p>
        </w:tc>
      </w:tr>
      <w:tr>
        <w:trPr>
          <w:cantSplit/>
        </w:trPr>
        <w:tc>
          <w:tcPr>
            <w:tcW w:type="dxa" w:w="6480"/>
            <w:vAlign w:val="center"/>
            <w:tcMar>
              <w:top w:w="90" w:type="dxa"/>
              <w:left w:w="90" w:type="dxa"/>
              <w:bottom w:w="90" w:type="dxa"/>
              <w:right w:w="90" w:type="dxa"/>
            </w:tcMar>
            <w:shd w:fill="FFFFFF"/>
          </w:tcPr>
          <w:p>
            <w:pPr>
              <w:spacing w:after="20" w:line="252" w:lineRule="auto"/>
            </w:pPr>
            <w:r>
              <w:rPr>
                <w:b w:val="0"/>
                <w:sz w:val="18"/>
              </w:rPr>
              <w:t>Total</w:t>
            </w:r>
          </w:p>
        </w:tc>
        <w:tc>
          <w:tcPr>
            <w:tcW w:type="dxa" w:w="1440"/>
            <w:vAlign w:val="center"/>
            <w:tcMar>
              <w:top w:w="90" w:type="dxa"/>
              <w:left w:w="90" w:type="dxa"/>
              <w:bottom w:w="90" w:type="dxa"/>
              <w:right w:w="90" w:type="dxa"/>
            </w:tcMar>
            <w:shd w:fill="FFFFFF"/>
          </w:tcPr>
          <w:p>
            <w:pPr>
              <w:spacing w:after="20" w:line="252" w:lineRule="auto"/>
              <w:jc w:val="center"/>
            </w:pPr>
            <w:r>
              <w:rPr>
                <w:b w:val="0"/>
                <w:sz w:val="18"/>
              </w:rPr>
              <w:t>30 chapters</w:t>
            </w:r>
          </w:p>
        </w:tc>
        <w:tc>
          <w:tcPr>
            <w:tcW w:type="dxa" w:w="2160"/>
            <w:vAlign w:val="center"/>
            <w:tcMar>
              <w:top w:w="90" w:type="dxa"/>
              <w:left w:w="90" w:type="dxa"/>
              <w:bottom w:w="90" w:type="dxa"/>
              <w:right w:w="90" w:type="dxa"/>
            </w:tcMar>
            <w:shd w:fill="FFFFFF"/>
          </w:tcPr>
          <w:p>
            <w:pPr>
              <w:spacing w:after="20" w:line="252" w:lineRule="auto"/>
            </w:pPr>
            <w:r>
              <w:rPr>
                <w:b w:val="0"/>
                <w:sz w:val="18"/>
              </w:rPr>
              <w:t>500</w:t>
            </w:r>
          </w:p>
        </w:tc>
      </w:tr>
    </w:tbl>
    <w:p>
      <w:pPr>
        <w:spacing w:after="40"/>
      </w:pPr>
    </w:p>
    <w:p>
      <w:pPr>
        <w:pStyle w:val="Heading2"/>
      </w:pPr>
      <w:r>
        <w:t>Part 1 — Entering the discipline</w:t>
      </w:r>
    </w:p>
    <w:p>
      <w:pPr>
        <w:keepNext/>
      </w:pPr>
      <w:r>
        <w:rPr>
          <w:b w:val="0"/>
        </w:rPr>
        <w:t>Estimated main text: 40 pages.</w:t>
      </w:r>
    </w:p>
    <w:p>
      <w:pPr>
        <w:pStyle w:val="Heading3"/>
        <w:keepNext/>
      </w:pPr>
      <w:r>
        <w:t>Chapter 1 — What an AI Engineer Is Responsible For</w:t>
      </w:r>
    </w:p>
    <w:p>
      <w:pPr>
        <w:keepNext/>
      </w:pPr>
      <w:r>
        <w:rPr>
          <w:b/>
        </w:rPr>
        <w:t>Page allocation:</w:t>
      </w:r>
      <w:r>
        <w:rPr>
          <w:b w:val="0"/>
        </w:rPr>
        <w:t xml:space="preserve"> 12. </w:t>
      </w:r>
      <w:r>
        <w:rPr>
          <w:b/>
        </w:rPr>
        <w:t>Prerequisites:</w:t>
      </w:r>
      <w:r>
        <w:rPr>
          <w:b w:val="0"/>
        </w:rPr>
        <w:t xml:space="preserve"> Existing software-engineering experience.</w:t>
      </w:r>
    </w:p>
    <w:p>
      <w:pPr>
        <w:keepNext/>
      </w:pPr>
      <w:r>
        <w:rPr>
          <w:b/>
        </w:rPr>
        <w:t>Software-engineering connection:</w:t>
      </w:r>
      <w:r>
        <w:rPr>
          <w:b w:val="0"/>
        </w:rPr>
        <w:t xml:space="preserve"> Architecture, ownership, interface design, and operational accountability remain the starting point.</w:t>
      </w:r>
    </w:p>
    <w:p>
      <w:pPr>
        <w:keepNext/>
      </w:pPr>
      <w:r>
        <w:rPr>
          <w:b/>
        </w:rPr>
        <w:t>Topics and learning outcomes</w:t>
      </w:r>
    </w:p>
    <w:p>
      <w:pPr>
        <w:pStyle w:val="ListBullet"/>
        <w:keepNext/>
      </w:pPr>
      <w:r>
        <w:rPr>
          <w:b w:val="0"/>
        </w:rPr>
        <w:t>Distinguish using AI during software development from building software whose behavior depends on AI.</w:t>
      </w:r>
    </w:p>
    <w:p>
      <w:pPr>
        <w:pStyle w:val="ListBullet"/>
        <w:keepNext/>
      </w:pPr>
      <w:r>
        <w:rPr>
          <w:b w:val="0"/>
        </w:rPr>
        <w:t>Map the overlapping responsibilities of software engineers, AI engineers, ML engineers, data engineers, researchers, and domain specialists.</w:t>
      </w:r>
    </w:p>
    <w:p>
      <w:pPr>
        <w:pStyle w:val="ListBullet"/>
        <w:keepNext/>
      </w:pPr>
      <w:r>
        <w:rPr>
          <w:b w:val="0"/>
        </w:rPr>
        <w:t>Introduce the system lifecycle: problem definition, evidence, implementation, operation, and improvement.</w:t>
      </w:r>
    </w:p>
    <w:p>
      <w:pPr>
        <w:pStyle w:val="ListBullet"/>
        <w:keepNext/>
      </w:pPr>
      <w:r>
        <w:rPr>
          <w:b w:val="0"/>
        </w:rPr>
        <w:t>Explain why a successful demonstration establishes only limited evidence of capability.</w:t>
      </w:r>
    </w:p>
    <w:p>
      <w:pPr>
        <w:keepNext/>
      </w:pPr>
      <w:r>
        <w:rPr>
          <w:b/>
        </w:rPr>
        <w:t>Workshop:</w:t>
      </w:r>
      <w:r>
        <w:rPr>
          <w:b w:val="0"/>
        </w:rPr>
        <w:t xml:space="preserve"> Annotate a support application's architecture and assign responsibility for data, decisions, measurements, user outcomes, and incidents.</w:t>
      </w:r>
    </w:p>
    <w:p>
      <w:pPr>
        <w:keepNext/>
      </w:pPr>
      <w:r>
        <w:rPr>
          <w:b/>
        </w:rPr>
        <w:t>Failure exercise:</w:t>
      </w:r>
      <w:r>
        <w:rPr>
          <w:b w:val="0"/>
        </w:rPr>
        <w:t xml:space="preserve"> A persuasive demonstration answers one question correctly but fails on outdated documentation and has no accountable owner.</w:t>
      </w:r>
    </w:p>
    <w:p>
      <w:pPr>
        <w:keepNext/>
      </w:pPr>
      <w:r>
        <w:rPr>
          <w:b/>
        </w:rPr>
        <w:t>Completion evidence:</w:t>
      </w:r>
      <w:r>
        <w:rPr>
          <w:b w:val="0"/>
        </w:rPr>
        <w:t xml:space="preserve"> Produce an ownership map that covers model behavior and the surrounding system, and explain what the demonstration did and did not establish.</w:t>
      </w:r>
    </w:p>
    <w:p>
      <w:pPr>
        <w:keepNext w:val="0"/>
      </w:pPr>
      <w:r>
        <w:rPr>
          <w:b/>
        </w:rPr>
        <w:t>Further reading:</w:t>
      </w:r>
      <w:r>
        <w:rPr>
          <w:b w:val="0"/>
        </w:rPr>
        <w:t xml:space="preserve"> </w:t>
      </w:r>
      <w:hyperlink r:id="rId10">
        <w:r>
          <w:rPr>
            <w:color w:val="245A81"/>
          </w:rPr>
          <w:t>AI Engineering</w:t>
        </w:r>
      </w:hyperlink>
      <w:r>
        <w:rPr>
          <w:b w:val="0"/>
        </w:rPr>
        <w:t xml:space="preserve">; </w:t>
      </w:r>
      <w:hyperlink r:id="rId11">
        <w:r>
          <w:rPr>
            <w:color w:val="245A81"/>
          </w:rPr>
          <w:t>The Rise of the AI Engineer</w:t>
        </w:r>
      </w:hyperlink>
      <w:r>
        <w:rPr>
          <w:b w:val="0"/>
        </w:rPr>
        <w:t xml:space="preserve">; </w:t>
      </w:r>
      <w:hyperlink r:id="rId12">
        <w:r>
          <w:rPr>
            <w:color w:val="245A81"/>
          </w:rPr>
          <w:t>The Shift from Models to Compound AI Systems</w:t>
        </w:r>
      </w:hyperlink>
      <w:r>
        <w:rPr>
          <w:b w:val="0"/>
        </w:rPr>
        <w:t xml:space="preserve">; </w:t>
      </w:r>
      <w:hyperlink r:id="rId13">
        <w:r>
          <w:rPr>
            <w:color w:val="245A81"/>
          </w:rPr>
          <w:t>AI Engineering book and other resources</w:t>
        </w:r>
      </w:hyperlink>
      <w:r>
        <w:rPr>
          <w:b w:val="0"/>
        </w:rPr>
        <w:t>.</w:t>
      </w:r>
    </w:p>
    <w:p>
      <w:pPr>
        <w:pStyle w:val="Heading3"/>
        <w:keepNext/>
      </w:pPr>
      <w:r>
        <w:t>Chapter 2 — Choosing a Problem Worth Solving</w:t>
      </w:r>
    </w:p>
    <w:p>
      <w:pPr>
        <w:keepNext/>
      </w:pPr>
      <w:r>
        <w:rPr>
          <w:b/>
        </w:rPr>
        <w:t>Page allocation:</w:t>
      </w:r>
      <w:r>
        <w:rPr>
          <w:b w:val="0"/>
        </w:rPr>
        <w:t xml:space="preserve"> 14. </w:t>
      </w:r>
      <w:r>
        <w:rPr>
          <w:b/>
        </w:rPr>
        <w:t>Prerequisites:</w:t>
      </w:r>
      <w:r>
        <w:rPr>
          <w:b w:val="0"/>
        </w:rPr>
        <w:t xml:space="preserve"> 1.</w:t>
      </w:r>
    </w:p>
    <w:p>
      <w:pPr>
        <w:keepNext/>
      </w:pPr>
      <w:r>
        <w:rPr>
          <w:b/>
        </w:rPr>
        <w:t>Software-engineering connection:</w:t>
      </w:r>
      <w:r>
        <w:rPr>
          <w:b w:val="0"/>
        </w:rPr>
        <w:t xml:space="preserve"> Requirements analysis becomes the basis for deciding which uncertainty the product can tolerate.</w:t>
      </w:r>
    </w:p>
    <w:p>
      <w:pPr>
        <w:keepNext/>
      </w:pPr>
      <w:r>
        <w:rPr>
          <w:b/>
        </w:rPr>
        <w:t>Topics and learning outcomes</w:t>
      </w:r>
    </w:p>
    <w:p>
      <w:pPr>
        <w:pStyle w:val="ListBullet"/>
        <w:keepNext/>
      </w:pPr>
      <w:r>
        <w:rPr>
          <w:b w:val="0"/>
        </w:rPr>
        <w:t>Translate a user need into a bounded task with observable outcomes.</w:t>
      </w:r>
    </w:p>
    <w:p>
      <w:pPr>
        <w:pStyle w:val="ListBullet"/>
        <w:keepNext/>
      </w:pPr>
      <w:r>
        <w:rPr>
          <w:b w:val="0"/>
        </w:rPr>
        <w:t>Compare conventional software, search, classical ML, and foundation-model approaches.</w:t>
      </w:r>
    </w:p>
    <w:p>
      <w:pPr>
        <w:pStyle w:val="ListBullet"/>
        <w:keepNext/>
      </w:pPr>
      <w:r>
        <w:rPr>
          <w:b w:val="0"/>
        </w:rPr>
        <w:t>Identify error costs, acceptable latency, human review needs, data availability, and circumstances where automation should stop.</w:t>
      </w:r>
    </w:p>
    <w:p>
      <w:pPr>
        <w:pStyle w:val="ListBullet"/>
        <w:keepNext/>
      </w:pPr>
      <w:r>
        <w:rPr>
          <w:b w:val="0"/>
        </w:rPr>
        <w:t>Separate business success from model metrics and convenient proxies.</w:t>
      </w:r>
    </w:p>
    <w:p>
      <w:pPr>
        <w:keepNext/>
      </w:pPr>
      <w:r>
        <w:rPr>
          <w:b/>
        </w:rPr>
        <w:t>Workshop:</w:t>
      </w:r>
      <w:r>
        <w:rPr>
          <w:b w:val="0"/>
        </w:rPr>
        <w:t xml:space="preserve"> Write the support system's problem brief and compare manual triage, rules, search, and model-powered assistance.</w:t>
      </w:r>
    </w:p>
    <w:p>
      <w:pPr>
        <w:keepNext/>
      </w:pPr>
      <w:r>
        <w:rPr>
          <w:b/>
        </w:rPr>
        <w:t>Failure exercise:</w:t>
      </w:r>
      <w:r>
        <w:rPr>
          <w:b w:val="0"/>
        </w:rPr>
        <w:t xml:space="preserve"> A team maximizes automated ticket closure while customers repeatedly reopen incorrectly resolved tickets.</w:t>
      </w:r>
    </w:p>
    <w:p>
      <w:pPr>
        <w:keepNext/>
      </w:pPr>
      <w:r>
        <w:rPr>
          <w:b/>
        </w:rPr>
        <w:t>Completion evidence:</w:t>
      </w:r>
      <w:r>
        <w:rPr>
          <w:b w:val="0"/>
        </w:rPr>
        <w:t xml:space="preserve"> Specify users, baseline, acceptance criteria, failure costs, and a reasoned proceed, restrict, or reject decision.</w:t>
      </w:r>
    </w:p>
    <w:p>
      <w:pPr>
        <w:keepNext w:val="0"/>
      </w:pPr>
      <w:r>
        <w:rPr>
          <w:b/>
        </w:rPr>
        <w:t>Further reading:</w:t>
      </w:r>
      <w:r>
        <w:rPr>
          <w:b w:val="0"/>
        </w:rPr>
        <w:t xml:space="preserve"> </w:t>
      </w:r>
      <w:hyperlink r:id="rId17">
        <w:r>
          <w:rPr>
            <w:color w:val="245A81"/>
          </w:rPr>
          <w:t>Framing an ML problem</w:t>
        </w:r>
      </w:hyperlink>
      <w:r>
        <w:rPr>
          <w:b w:val="0"/>
        </w:rPr>
        <w:t xml:space="preserve">; </w:t>
      </w:r>
      <w:hyperlink r:id="rId10">
        <w:r>
          <w:rPr>
            <w:color w:val="245A81"/>
          </w:rPr>
          <w:t>AI Engineering</w:t>
        </w:r>
      </w:hyperlink>
      <w:r>
        <w:rPr>
          <w:b w:val="0"/>
        </w:rPr>
        <w:t>.</w:t>
      </w:r>
    </w:p>
    <w:p>
      <w:pPr>
        <w:pStyle w:val="Heading3"/>
        <w:keepNext/>
      </w:pPr>
      <w:r>
        <w:t>Chapter 3 — Build Your First Measurable AI Feature</w:t>
      </w:r>
    </w:p>
    <w:p>
      <w:pPr>
        <w:keepNext/>
      </w:pPr>
      <w:r>
        <w:rPr>
          <w:b/>
        </w:rPr>
        <w:t>Page allocation:</w:t>
      </w:r>
      <w:r>
        <w:rPr>
          <w:b w:val="0"/>
        </w:rPr>
        <w:t xml:space="preserve"> 14. </w:t>
      </w:r>
      <w:r>
        <w:rPr>
          <w:b/>
        </w:rPr>
        <w:t>Prerequisites:</w:t>
      </w:r>
      <w:r>
        <w:rPr>
          <w:b w:val="0"/>
        </w:rPr>
        <w:t xml:space="preserve"> 2.</w:t>
      </w:r>
    </w:p>
    <w:p>
      <w:pPr>
        <w:keepNext/>
      </w:pPr>
      <w:r>
        <w:rPr>
          <w:b/>
        </w:rPr>
        <w:t>Software-engineering connection:</w:t>
      </w:r>
      <w:r>
        <w:rPr>
          <w:b w:val="0"/>
        </w:rPr>
        <w:t xml:space="preserve"> API integration and defensive programming provide the structure for a minimal experiment.</w:t>
      </w:r>
    </w:p>
    <w:p>
      <w:pPr>
        <w:keepNext/>
      </w:pPr>
      <w:r>
        <w:rPr>
          <w:b/>
        </w:rPr>
        <w:t>Topics and learning outcomes</w:t>
      </w:r>
    </w:p>
    <w:p>
      <w:pPr>
        <w:pStyle w:val="ListBullet"/>
        <w:keepNext/>
      </w:pPr>
      <w:r>
        <w:rPr>
          <w:b w:val="0"/>
        </w:rPr>
        <w:t>Implement ticket classification and structured extraction through a minimal model integration.</w:t>
      </w:r>
    </w:p>
    <w:p>
      <w:pPr>
        <w:pStyle w:val="ListBullet"/>
        <w:keepNext/>
      </w:pPr>
      <w:r>
        <w:rPr>
          <w:b w:val="0"/>
        </w:rPr>
        <w:t>Introduce prompts, inputs, outputs, validation, timeouts, and basic usage accounting.</w:t>
      </w:r>
    </w:p>
    <w:p>
      <w:pPr>
        <w:pStyle w:val="ListBullet"/>
        <w:keepNext/>
      </w:pPr>
      <w:r>
        <w:rPr>
          <w:b w:val="0"/>
        </w:rPr>
        <w:t>Compare results against a simple conventional baseline.</w:t>
      </w:r>
    </w:p>
    <w:p>
      <w:pPr>
        <w:pStyle w:val="ListBullet"/>
        <w:keepNext/>
      </w:pPr>
      <w:r>
        <w:rPr>
          <w:b w:val="0"/>
        </w:rPr>
        <w:t>Collect representative examples and inspect failures before optimizing.</w:t>
      </w:r>
    </w:p>
    <w:p>
      <w:pPr>
        <w:keepNext/>
      </w:pPr>
      <w:r>
        <w:rPr>
          <w:b/>
        </w:rPr>
        <w:t>Workshop:</w:t>
      </w:r>
      <w:r>
        <w:rPr>
          <w:b w:val="0"/>
        </w:rPr>
        <w:t xml:space="preserve"> Build an offline rules baseline and a separate live-model path for classifying fictional requests and extracting product, issue, and urgency fields.</w:t>
      </w:r>
    </w:p>
    <w:p>
      <w:pPr>
        <w:keepNext/>
      </w:pPr>
      <w:r>
        <w:rPr>
          <w:b/>
        </w:rPr>
        <w:t>Failure exercise:</w:t>
      </w:r>
      <w:r>
        <w:rPr>
          <w:b w:val="0"/>
        </w:rPr>
        <w:t xml:space="preserve"> A valid-looking response invents a customer identifier; another request times out and leaves no recorded result.</w:t>
      </w:r>
    </w:p>
    <w:p>
      <w:pPr>
        <w:keepNext/>
      </w:pPr>
      <w:r>
        <w:rPr>
          <w:b/>
        </w:rPr>
        <w:t>Completion evidence:</w:t>
      </w:r>
      <w:r>
        <w:rPr>
          <w:b w:val="0"/>
        </w:rPr>
        <w:t xml:space="preserve"> Deliver a runnable feature, a small labeled development set, an error report, and measured latency and usage. Mark fixture replay separately from live inference.</w:t>
      </w:r>
    </w:p>
    <w:p>
      <w:pPr>
        <w:keepNext w:val="0"/>
      </w:pPr>
      <w:r>
        <w:rPr>
          <w:b/>
        </w:rPr>
        <w:t>Further reading:</w:t>
      </w:r>
      <w:r>
        <w:rPr>
          <w:b w:val="0"/>
        </w:rPr>
        <w:t xml:space="preserve"> </w:t>
      </w:r>
      <w:hyperlink r:id="rId16">
        <w:r>
          <w:rPr>
            <w:color w:val="245A81"/>
          </w:rPr>
          <w:t>LLM Bootcamp</w:t>
        </w:r>
      </w:hyperlink>
      <w:r>
        <w:rPr>
          <w:b w:val="0"/>
        </w:rPr>
        <w:t xml:space="preserve">; </w:t>
      </w:r>
      <w:hyperlink r:id="rId17">
        <w:r>
          <w:rPr>
            <w:color w:val="245A81"/>
          </w:rPr>
          <w:t>Framing an ML problem</w:t>
        </w:r>
      </w:hyperlink>
      <w:r>
        <w:rPr>
          <w:b w:val="0"/>
        </w:rPr>
        <w:t>.</w:t>
      </w:r>
    </w:p>
    <w:p>
      <w:pPr>
        <w:pStyle w:val="Heading2"/>
      </w:pPr>
      <w:r>
        <w:t>Part 2 — Foundations for engineering judgment</w:t>
      </w:r>
    </w:p>
    <w:p>
      <w:pPr>
        <w:keepNext/>
      </w:pPr>
      <w:r>
        <w:rPr>
          <w:b w:val="0"/>
        </w:rPr>
        <w:t>Estimated main text: 60 pages.</w:t>
      </w:r>
    </w:p>
    <w:p>
      <w:pPr>
        <w:pStyle w:val="Heading3"/>
        <w:keepNext/>
      </w:pPr>
      <w:r>
        <w:t>Chapter 4 — Probability, Statistics, and Experimental Thinking</w:t>
      </w:r>
    </w:p>
    <w:p>
      <w:pPr>
        <w:keepNext/>
      </w:pPr>
      <w:r>
        <w:rPr>
          <w:b/>
        </w:rPr>
        <w:t>Page allocation:</w:t>
      </w:r>
      <w:r>
        <w:rPr>
          <w:b w:val="0"/>
        </w:rPr>
        <w:t xml:space="preserve"> 20. </w:t>
      </w:r>
      <w:r>
        <w:rPr>
          <w:b/>
        </w:rPr>
        <w:t>Prerequisites:</w:t>
      </w:r>
      <w:r>
        <w:rPr>
          <w:b w:val="0"/>
        </w:rPr>
        <w:t xml:space="preserve"> 3.</w:t>
      </w:r>
    </w:p>
    <w:p>
      <w:pPr>
        <w:keepNext/>
      </w:pPr>
      <w:r>
        <w:rPr>
          <w:b/>
        </w:rPr>
        <w:t>Software-engineering connection:</w:t>
      </w:r>
      <w:r>
        <w:rPr>
          <w:b w:val="0"/>
        </w:rPr>
        <w:t xml:space="preserve"> Testing discipline expands into statistical judgment about populations and repeated measurements.</w:t>
      </w:r>
    </w:p>
    <w:p>
      <w:pPr>
        <w:keepNext/>
      </w:pPr>
      <w:r>
        <w:rPr>
          <w:b/>
        </w:rPr>
        <w:t>Topics and learning outcomes</w:t>
      </w:r>
    </w:p>
    <w:p>
      <w:pPr>
        <w:pStyle w:val="ListBullet"/>
        <w:keepNext/>
      </w:pPr>
      <w:r>
        <w:rPr>
          <w:b w:val="0"/>
        </w:rPr>
        <w:t>Teach distributions, conditional probability, expectation, variance, and sampling through application examples.</w:t>
      </w:r>
    </w:p>
    <w:p>
      <w:pPr>
        <w:pStyle w:val="ListBullet"/>
        <w:keepNext/>
      </w:pPr>
      <w:r>
        <w:rPr>
          <w:b w:val="0"/>
        </w:rPr>
        <w:t>Explain precision, recall, thresholds, class imbalance, and asymmetric errors.</w:t>
      </w:r>
    </w:p>
    <w:p>
      <w:pPr>
        <w:pStyle w:val="ListBullet"/>
        <w:keepNext/>
      </w:pPr>
      <w:r>
        <w:rPr>
          <w:b w:val="0"/>
        </w:rPr>
        <w:t>Introduce confidence intervals and comparisons between candidate systems.</w:t>
      </w:r>
    </w:p>
    <w:p>
      <w:pPr>
        <w:pStyle w:val="ListBullet"/>
        <w:keepNext/>
      </w:pPr>
      <w:r>
        <w:rPr>
          <w:b w:val="0"/>
        </w:rPr>
        <w:t>Distinguish token likelihood, expressed confidence, and empirical reliability.</w:t>
      </w:r>
    </w:p>
    <w:p>
      <w:pPr>
        <w:keepNext/>
      </w:pPr>
      <w:r>
        <w:rPr>
          <w:b/>
        </w:rPr>
        <w:t>Workshop:</w:t>
      </w:r>
      <w:r>
        <w:rPr>
          <w:b w:val="0"/>
        </w:rPr>
        <w:t xml:space="preserve"> Compare two ticket classifiers using confusion matrices, paired cases, bootstrap intervals, and per-category results.</w:t>
      </w:r>
    </w:p>
    <w:p>
      <w:pPr>
        <w:keepNext/>
      </w:pPr>
      <w:r>
        <w:rPr>
          <w:b/>
        </w:rPr>
        <w:t>Failure exercise:</w:t>
      </w:r>
      <w:r>
        <w:rPr>
          <w:b w:val="0"/>
        </w:rPr>
        <w:t xml:space="preserve"> An apparent improvement comes from a changed traffic mix; a second comes from repeatedly selecting the best result on the same test set.</w:t>
      </w:r>
    </w:p>
    <w:p>
      <w:pPr>
        <w:keepNext/>
      </w:pPr>
      <w:r>
        <w:rPr>
          <w:b/>
        </w:rPr>
        <w:t>Completion evidence:</w:t>
      </w:r>
      <w:r>
        <w:rPr>
          <w:b w:val="0"/>
        </w:rPr>
        <w:t xml:space="preserve"> Explain both misleading comparisons, define the unit of sampling, report uncertainty, and defend a valid experiment.</w:t>
      </w:r>
    </w:p>
    <w:p>
      <w:pPr>
        <w:keepNext w:val="0"/>
      </w:pPr>
      <w:r>
        <w:rPr>
          <w:b/>
        </w:rPr>
        <w:t>Further reading:</w:t>
      </w:r>
      <w:r>
        <w:rPr>
          <w:b w:val="0"/>
        </w:rPr>
        <w:t xml:space="preserve"> </w:t>
      </w:r>
      <w:hyperlink r:id="rId14">
        <w:r>
          <w:rPr>
            <w:color w:val="245A81"/>
          </w:rPr>
          <w:t>Machine Learning Crash Course prerequisites and prework</w:t>
        </w:r>
      </w:hyperlink>
      <w:r>
        <w:rPr>
          <w:b w:val="0"/>
        </w:rPr>
        <w:t>.</w:t>
      </w:r>
    </w:p>
    <w:p>
      <w:pPr>
        <w:pStyle w:val="Heading3"/>
        <w:keepNext/>
      </w:pPr>
      <w:r>
        <w:t>Chapter 5 — Machine Learning Fundamentals for Software Engineers</w:t>
      </w:r>
    </w:p>
    <w:p>
      <w:pPr>
        <w:keepNext/>
      </w:pPr>
      <w:r>
        <w:rPr>
          <w:b/>
        </w:rPr>
        <w:t>Page allocation:</w:t>
      </w:r>
      <w:r>
        <w:rPr>
          <w:b w:val="0"/>
        </w:rPr>
        <w:t xml:space="preserve"> 18. </w:t>
      </w:r>
      <w:r>
        <w:rPr>
          <w:b/>
        </w:rPr>
        <w:t>Prerequisites:</w:t>
      </w:r>
      <w:r>
        <w:rPr>
          <w:b w:val="0"/>
        </w:rPr>
        <w:t xml:space="preserve"> 4.</w:t>
      </w:r>
    </w:p>
    <w:p>
      <w:pPr>
        <w:keepNext/>
      </w:pPr>
      <w:r>
        <w:rPr>
          <w:b/>
        </w:rPr>
        <w:t>Software-engineering connection:</w:t>
      </w:r>
      <w:r>
        <w:rPr>
          <w:b w:val="0"/>
        </w:rPr>
        <w:t xml:space="preserve"> Debugging and data modeling become tools for understanding what a model learns.</w:t>
      </w:r>
    </w:p>
    <w:p>
      <w:pPr>
        <w:keepNext/>
      </w:pPr>
      <w:r>
        <w:rPr>
          <w:b/>
        </w:rPr>
        <w:t>Topics and learning outcomes</w:t>
      </w:r>
    </w:p>
    <w:p>
      <w:pPr>
        <w:pStyle w:val="ListBullet"/>
        <w:keepNext/>
      </w:pPr>
      <w:r>
        <w:rPr>
          <w:b w:val="0"/>
        </w:rPr>
        <w:t>Explain parameters, objectives, loss, optimization, training, and inference.</w:t>
      </w:r>
    </w:p>
    <w:p>
      <w:pPr>
        <w:pStyle w:val="ListBullet"/>
        <w:keepNext/>
      </w:pPr>
      <w:r>
        <w:rPr>
          <w:b w:val="0"/>
        </w:rPr>
        <w:t>Introduce generalization, overfitting, regularization, and distribution shift.</w:t>
      </w:r>
    </w:p>
    <w:p>
      <w:pPr>
        <w:pStyle w:val="ListBullet"/>
        <w:keepNext/>
      </w:pPr>
      <w:r>
        <w:rPr>
          <w:b w:val="0"/>
        </w:rPr>
        <w:t>Establish training, development, and test separation; demonstrate leakage.</w:t>
      </w:r>
    </w:p>
    <w:p>
      <w:pPr>
        <w:pStyle w:val="ListBullet"/>
        <w:keepNext/>
      </w:pPr>
      <w:r>
        <w:rPr>
          <w:b w:val="0"/>
        </w:rPr>
        <w:t>Teach vectors, matrices, tensor shapes, and embeddings where the implementation needs them.</w:t>
      </w:r>
    </w:p>
    <w:p>
      <w:pPr>
        <w:keepNext/>
      </w:pPr>
      <w:r>
        <w:rPr>
          <w:b/>
        </w:rPr>
        <w:t>Workshop:</w:t>
      </w:r>
      <w:r>
        <w:rPr>
          <w:b w:val="0"/>
        </w:rPr>
        <w:t xml:space="preserve"> Train a small text classifier, inspect loss and held-out errors, and compare it with the rules baseline.</w:t>
      </w:r>
    </w:p>
    <w:p>
      <w:pPr>
        <w:keepNext/>
      </w:pPr>
      <w:r>
        <w:rPr>
          <w:b/>
        </w:rPr>
        <w:t>Failure exercise:</w:t>
      </w:r>
      <w:r>
        <w:rPr>
          <w:b w:val="0"/>
        </w:rPr>
        <w:t xml:space="preserve"> Near-duplicate conversations or customer-specific labels appear in both training and evaluation data.</w:t>
      </w:r>
    </w:p>
    <w:p>
      <w:pPr>
        <w:keepNext/>
      </w:pPr>
      <w:r>
        <w:rPr>
          <w:b/>
        </w:rPr>
        <w:t>Completion evidence:</w:t>
      </w:r>
      <w:r>
        <w:rPr>
          <w:b w:val="0"/>
        </w:rPr>
        <w:t xml:space="preserve"> Detect leakage, rebuild the split by the relevant grouping unit, and explain the difference between training success and generalization.</w:t>
      </w:r>
    </w:p>
    <w:p>
      <w:pPr>
        <w:keepNext w:val="0"/>
      </w:pPr>
      <w:r>
        <w:rPr>
          <w:b/>
        </w:rPr>
        <w:t>Further reading:</w:t>
      </w:r>
      <w:r>
        <w:rPr>
          <w:b w:val="0"/>
        </w:rPr>
        <w:t xml:space="preserve"> </w:t>
      </w:r>
      <w:hyperlink r:id="rId14">
        <w:r>
          <w:rPr>
            <w:color w:val="245A81"/>
          </w:rPr>
          <w:t>Machine Learning Crash Course prerequisites and prework</w:t>
        </w:r>
      </w:hyperlink>
      <w:r>
        <w:rPr>
          <w:b w:val="0"/>
        </w:rPr>
        <w:t xml:space="preserve">; </w:t>
      </w:r>
      <w:hyperlink r:id="rId15">
        <w:r>
          <w:rPr>
            <w:color w:val="245A81"/>
          </w:rPr>
          <w:t>CS336 Language Modeling from Scratch</w:t>
        </w:r>
      </w:hyperlink>
      <w:r>
        <w:rPr>
          <w:b w:val="0"/>
        </w:rPr>
        <w:t>.</w:t>
      </w:r>
    </w:p>
    <w:p>
      <w:pPr>
        <w:pStyle w:val="Heading3"/>
        <w:keepNext/>
      </w:pPr>
      <w:r>
        <w:t>Chapter 6 — How Foundation Models Work—and Fail</w:t>
      </w:r>
    </w:p>
    <w:p>
      <w:pPr>
        <w:keepNext/>
      </w:pPr>
      <w:r>
        <w:rPr>
          <w:b/>
        </w:rPr>
        <w:t>Page allocation:</w:t>
      </w:r>
      <w:r>
        <w:rPr>
          <w:b w:val="0"/>
        </w:rPr>
        <w:t xml:space="preserve"> 22. </w:t>
      </w:r>
      <w:r>
        <w:rPr>
          <w:b/>
        </w:rPr>
        <w:t>Prerequisites:</w:t>
      </w:r>
      <w:r>
        <w:rPr>
          <w:b w:val="0"/>
        </w:rPr>
        <w:t xml:space="preserve"> 5.</w:t>
      </w:r>
    </w:p>
    <w:p>
      <w:pPr>
        <w:keepNext/>
      </w:pPr>
      <w:r>
        <w:rPr>
          <w:b/>
        </w:rPr>
        <w:t>Software-engineering connection:</w:t>
      </w:r>
      <w:r>
        <w:rPr>
          <w:b w:val="0"/>
        </w:rPr>
        <w:t xml:space="preserve"> Mechanistic debugging becomes more effective when the reader understands the model's computational ingredients.</w:t>
      </w:r>
    </w:p>
    <w:p>
      <w:pPr>
        <w:keepNext/>
      </w:pPr>
      <w:r>
        <w:rPr>
          <w:b/>
        </w:rPr>
        <w:t>Topics and learning outcomes</w:t>
      </w:r>
    </w:p>
    <w:p>
      <w:pPr>
        <w:pStyle w:val="ListBullet"/>
        <w:keepNext/>
      </w:pPr>
      <w:r>
        <w:rPr>
          <w:b w:val="0"/>
        </w:rPr>
        <w:t>Build intuition for tokenization, embeddings, attention, transformers, and next-token prediction.</w:t>
      </w:r>
    </w:p>
    <w:p>
      <w:pPr>
        <w:pStyle w:val="ListBullet"/>
        <w:keepNext/>
      </w:pPr>
      <w:r>
        <w:rPr>
          <w:b w:val="0"/>
        </w:rPr>
        <w:t>Distinguish pretraining, supervised adaptation, preference optimization, and reinforcement learning.</w:t>
      </w:r>
    </w:p>
    <w:p>
      <w:pPr>
        <w:pStyle w:val="ListBullet"/>
        <w:keepNext/>
      </w:pPr>
      <w:r>
        <w:rPr>
          <w:b w:val="0"/>
        </w:rPr>
        <w:t>Explain context limits, decoding, reasoning-oriented inference, and computational tradeoffs.</w:t>
      </w:r>
    </w:p>
    <w:p>
      <w:pPr>
        <w:pStyle w:val="ListBullet"/>
        <w:keepNext/>
      </w:pPr>
      <w:r>
        <w:rPr>
          <w:b w:val="0"/>
        </w:rPr>
        <w:t>Investigate unsupported claims, sensitivity to instructions, knowledge limitations, and inconsistent behavior.</w:t>
      </w:r>
    </w:p>
    <w:p>
      <w:pPr>
        <w:keepNext/>
      </w:pPr>
      <w:r>
        <w:rPr>
          <w:b/>
        </w:rPr>
        <w:t>Workshop:</w:t>
      </w:r>
      <w:r>
        <w:rPr>
          <w:b w:val="0"/>
        </w:rPr>
        <w:t xml:space="preserve"> Inspect tokenization and embedding behavior, trace a small attention example, and compare responses under controlled changes to input and decoding.</w:t>
      </w:r>
    </w:p>
    <w:p>
      <w:pPr>
        <w:keepNext/>
      </w:pPr>
      <w:r>
        <w:rPr>
          <w:b/>
        </w:rPr>
        <w:t>Failure exercise:</w:t>
      </w:r>
      <w:r>
        <w:rPr>
          <w:b w:val="0"/>
        </w:rPr>
        <w:t xml:space="preserve"> A fluent explanation invents a product capability; a longer input causes a previously available fact to be missed.</w:t>
      </w:r>
    </w:p>
    <w:p>
      <w:pPr>
        <w:keepNext/>
      </w:pPr>
      <w:r>
        <w:rPr>
          <w:b/>
        </w:rPr>
        <w:t>Completion evidence:</w:t>
      </w:r>
      <w:r>
        <w:rPr>
          <w:b w:val="0"/>
        </w:rPr>
        <w:t xml:space="preserve"> Connect observations to plausible mechanisms, preserve uncertainty, and avoid treating generated explanations as privileged access to internal computation.</w:t>
      </w:r>
    </w:p>
    <w:p>
      <w:pPr>
        <w:keepNext w:val="0"/>
      </w:pPr>
      <w:r>
        <w:rPr>
          <w:b/>
        </w:rPr>
        <w:t>Further reading:</w:t>
      </w:r>
      <w:r>
        <w:rPr>
          <w:b w:val="0"/>
        </w:rPr>
        <w:t xml:space="preserve"> </w:t>
      </w:r>
      <w:hyperlink r:id="rId15">
        <w:r>
          <w:rPr>
            <w:color w:val="245A81"/>
          </w:rPr>
          <w:t>CS336 Language Modeling from Scratch</w:t>
        </w:r>
      </w:hyperlink>
      <w:r>
        <w:rPr>
          <w:b w:val="0"/>
        </w:rPr>
        <w:t xml:space="preserve">; </w:t>
      </w:r>
      <w:hyperlink r:id="rId24">
        <w:r>
          <w:rPr>
            <w:color w:val="245A81"/>
          </w:rPr>
          <w:t>Lost in the Middle: How Language Models Use Long Contexts</w:t>
        </w:r>
      </w:hyperlink>
      <w:r>
        <w:rPr>
          <w:b w:val="0"/>
        </w:rPr>
        <w:t xml:space="preserve">; </w:t>
      </w:r>
      <w:hyperlink r:id="rId16">
        <w:r>
          <w:rPr>
            <w:color w:val="245A81"/>
          </w:rPr>
          <w:t>LLM Bootcamp</w:t>
        </w:r>
      </w:hyperlink>
      <w:r>
        <w:rPr>
          <w:b w:val="0"/>
        </w:rPr>
        <w:t>.</w:t>
      </w:r>
    </w:p>
    <w:p>
      <w:pPr>
        <w:pStyle w:val="Heading2"/>
      </w:pPr>
      <w:r>
        <w:t>Part 3 — Building an empirical development process</w:t>
      </w:r>
    </w:p>
    <w:p>
      <w:pPr>
        <w:keepNext/>
      </w:pPr>
      <w:r>
        <w:rPr>
          <w:b w:val="0"/>
        </w:rPr>
        <w:t>Estimated main text: 65 pages.</w:t>
      </w:r>
    </w:p>
    <w:p>
      <w:pPr>
        <w:pStyle w:val="Heading3"/>
        <w:keepNext/>
      </w:pPr>
      <w:r>
        <w:t>Chapter 7 — Prompts, Structured Outputs, and Application Contracts</w:t>
      </w:r>
    </w:p>
    <w:p>
      <w:pPr>
        <w:keepNext/>
      </w:pPr>
      <w:r>
        <w:rPr>
          <w:b/>
        </w:rPr>
        <w:t>Page allocation:</w:t>
      </w:r>
      <w:r>
        <w:rPr>
          <w:b w:val="0"/>
        </w:rPr>
        <w:t xml:space="preserve"> 16. </w:t>
      </w:r>
      <w:r>
        <w:rPr>
          <w:b/>
        </w:rPr>
        <w:t>Prerequisites:</w:t>
      </w:r>
      <w:r>
        <w:rPr>
          <w:b w:val="0"/>
        </w:rPr>
        <w:t xml:space="preserve"> 3, 6.</w:t>
      </w:r>
    </w:p>
    <w:p>
      <w:pPr>
        <w:keepNext/>
      </w:pPr>
      <w:r>
        <w:rPr>
          <w:b/>
        </w:rPr>
        <w:t>Software-engineering connection:</w:t>
      </w:r>
      <w:r>
        <w:rPr>
          <w:b w:val="0"/>
        </w:rPr>
        <w:t xml:space="preserve"> Contracts and validation remain essential even when an upstream component returns plausible prose.</w:t>
      </w:r>
    </w:p>
    <w:p>
      <w:pPr>
        <w:keepNext/>
      </w:pPr>
      <w:r>
        <w:rPr>
          <w:b/>
        </w:rPr>
        <w:t>Topics and learning outcomes</w:t>
      </w:r>
    </w:p>
    <w:p>
      <w:pPr>
        <w:pStyle w:val="ListBullet"/>
        <w:keepNext/>
      </w:pPr>
      <w:r>
        <w:rPr>
          <w:b w:val="0"/>
        </w:rPr>
        <w:t>Design instructions, examples, task boundaries, and output specifications.</w:t>
      </w:r>
    </w:p>
    <w:p>
      <w:pPr>
        <w:pStyle w:val="ListBullet"/>
        <w:keepNext/>
      </w:pPr>
      <w:r>
        <w:rPr>
          <w:b w:val="0"/>
        </w:rPr>
        <w:t>Separate syntactic validity from semantic correctness.</w:t>
      </w:r>
    </w:p>
    <w:p>
      <w:pPr>
        <w:pStyle w:val="ListBullet"/>
        <w:keepNext/>
      </w:pPr>
      <w:r>
        <w:rPr>
          <w:b w:val="0"/>
        </w:rPr>
        <w:t>Handle refusals, missing fields, ambiguity, truncation, and unsupported requests.</w:t>
      </w:r>
    </w:p>
    <w:p>
      <w:pPr>
        <w:pStyle w:val="ListBullet"/>
        <w:keepNext/>
      </w:pPr>
      <w:r>
        <w:rPr>
          <w:b w:val="0"/>
        </w:rPr>
        <w:t>Version prompts and compare changes against evidence.</w:t>
      </w:r>
    </w:p>
    <w:p>
      <w:pPr>
        <w:keepNext/>
      </w:pPr>
      <w:r>
        <w:rPr>
          <w:b/>
        </w:rPr>
        <w:t>Workshop:</w:t>
      </w:r>
      <w:r>
        <w:rPr>
          <w:b w:val="0"/>
        </w:rPr>
        <w:t xml:space="preserve"> Implement extraction with typed output, explicit unknown values, semantic checks, and a versioned prompt comparison.</w:t>
      </w:r>
    </w:p>
    <w:p>
      <w:pPr>
        <w:keepNext/>
      </w:pPr>
      <w:r>
        <w:rPr>
          <w:b/>
        </w:rPr>
        <w:t>Failure exercise:</w:t>
      </w:r>
      <w:r>
        <w:rPr>
          <w:b w:val="0"/>
        </w:rPr>
        <w:t xml:space="preserve"> An output passes JSON validation but associates the request with the wrong tenant or invents a field value.</w:t>
      </w:r>
    </w:p>
    <w:p>
      <w:pPr>
        <w:keepNext/>
      </w:pPr>
      <w:r>
        <w:rPr>
          <w:b/>
        </w:rPr>
        <w:t>Completion evidence:</w:t>
      </w:r>
      <w:r>
        <w:rPr>
          <w:b w:val="0"/>
        </w:rPr>
        <w:t xml:space="preserve"> Demonstrate that malformed and semantically invalid results cannot silently enter application state, and document unresolved ambiguities.</w:t>
      </w:r>
    </w:p>
    <w:p>
      <w:pPr>
        <w:keepNext w:val="0"/>
      </w:pPr>
      <w:r>
        <w:rPr>
          <w:b/>
        </w:rPr>
        <w:t>Further reading:</w:t>
      </w:r>
      <w:r>
        <w:rPr>
          <w:b w:val="0"/>
        </w:rPr>
        <w:t xml:space="preserve"> </w:t>
      </w:r>
      <w:hyperlink r:id="rId16">
        <w:r>
          <w:rPr>
            <w:color w:val="245A81"/>
          </w:rPr>
          <w:t>LLM Bootcamp</w:t>
        </w:r>
      </w:hyperlink>
      <w:r>
        <w:rPr>
          <w:b w:val="0"/>
        </w:rPr>
        <w:t xml:space="preserve">; </w:t>
      </w:r>
      <w:hyperlink r:id="rId25">
        <w:r>
          <w:rPr>
            <w:color w:val="245A81"/>
          </w:rPr>
          <w:t>Effective context engineering for AI agents</w:t>
        </w:r>
      </w:hyperlink>
      <w:r>
        <w:rPr>
          <w:b w:val="0"/>
        </w:rPr>
        <w:t>.</w:t>
      </w:r>
    </w:p>
    <w:p>
      <w:pPr>
        <w:pStyle w:val="Heading3"/>
        <w:keepNext/>
      </w:pPr>
      <w:r>
        <w:t>Chapter 8 — Designing Evaluation Data</w:t>
      </w:r>
    </w:p>
    <w:p>
      <w:pPr>
        <w:keepNext/>
      </w:pPr>
      <w:r>
        <w:rPr>
          <w:b/>
        </w:rPr>
        <w:t>Page allocation:</w:t>
      </w:r>
      <w:r>
        <w:rPr>
          <w:b w:val="0"/>
        </w:rPr>
        <w:t xml:space="preserve"> 16. </w:t>
      </w:r>
      <w:r>
        <w:rPr>
          <w:b/>
        </w:rPr>
        <w:t>Prerequisites:</w:t>
      </w:r>
      <w:r>
        <w:rPr>
          <w:b w:val="0"/>
        </w:rPr>
        <w:t xml:space="preserve"> 4, 7.</w:t>
      </w:r>
    </w:p>
    <w:p>
      <w:pPr>
        <w:keepNext/>
      </w:pPr>
      <w:r>
        <w:rPr>
          <w:b/>
        </w:rPr>
        <w:t>Software-engineering connection:</w:t>
      </w:r>
      <w:r>
        <w:rPr>
          <w:b w:val="0"/>
        </w:rPr>
        <w:t xml:space="preserve"> Acceptance testing expands into sampling, annotation, and management of measurement data.</w:t>
      </w:r>
    </w:p>
    <w:p>
      <w:pPr>
        <w:keepNext/>
      </w:pPr>
      <w:r>
        <w:rPr>
          <w:b/>
        </w:rPr>
        <w:t>Topics and learning outcomes</w:t>
      </w:r>
    </w:p>
    <w:p>
      <w:pPr>
        <w:pStyle w:val="ListBullet"/>
        <w:keepNext/>
      </w:pPr>
      <w:r>
        <w:rPr>
          <w:b w:val="0"/>
        </w:rPr>
        <w:t>Translate requirements and observed failures into evaluation cases.</w:t>
      </w:r>
    </w:p>
    <w:p>
      <w:pPr>
        <w:pStyle w:val="ListBullet"/>
        <w:keepNext/>
      </w:pPr>
      <w:r>
        <w:rPr>
          <w:b w:val="0"/>
        </w:rPr>
        <w:t>Establish reference answers, rubrics, annotation instructions, and disagreement handling.</w:t>
      </w:r>
    </w:p>
    <w:p>
      <w:pPr>
        <w:pStyle w:val="ListBullet"/>
        <w:keepNext/>
      </w:pPr>
      <w:r>
        <w:rPr>
          <w:b w:val="0"/>
        </w:rPr>
        <w:t>Cover representative traffic, difficult cases, important subgroups, and negative examples.</w:t>
      </w:r>
    </w:p>
    <w:p>
      <w:pPr>
        <w:pStyle w:val="ListBullet"/>
        <w:keepNext/>
      </w:pPr>
      <w:r>
        <w:rPr>
          <w:b w:val="0"/>
        </w:rPr>
        <w:t>Protect held-out data and distinguish regression testing from capability exploration.</w:t>
      </w:r>
    </w:p>
    <w:p>
      <w:pPr>
        <w:keepNext/>
      </w:pPr>
      <w:r>
        <w:rPr>
          <w:b/>
        </w:rPr>
        <w:t>Workshop:</w:t>
      </w:r>
      <w:r>
        <w:rPr>
          <w:b w:val="0"/>
        </w:rPr>
        <w:t xml:space="preserve"> Build a documented evaluation collection, with separate development and holdout partitions and an adjudication log for ambiguous labels.</w:t>
      </w:r>
    </w:p>
    <w:p>
      <w:pPr>
        <w:keepNext/>
      </w:pPr>
      <w:r>
        <w:rPr>
          <w:b/>
        </w:rPr>
        <w:t>Failure exercise:</w:t>
      </w:r>
      <w:r>
        <w:rPr>
          <w:b w:val="0"/>
        </w:rPr>
        <w:t xml:space="preserve"> A suite tests when retrieval should occur but contains no cases where retrieval is unnecessary or unauthorized.</w:t>
      </w:r>
    </w:p>
    <w:p>
      <w:pPr>
        <w:keepNext/>
      </w:pPr>
      <w:r>
        <w:rPr>
          <w:b/>
        </w:rPr>
        <w:t>Completion evidence:</w:t>
      </w:r>
      <w:r>
        <w:rPr>
          <w:b w:val="0"/>
        </w:rPr>
        <w:t xml:space="preserve"> Explain sampling choices, label provenance, coverage, intended uses, and limitations so another engineer can maintain the collection.</w:t>
      </w:r>
    </w:p>
    <w:p>
      <w:pPr>
        <w:keepNext w:val="0"/>
      </w:pPr>
      <w:r>
        <w:rPr>
          <w:b/>
        </w:rPr>
        <w:t>Further reading:</w:t>
      </w:r>
      <w:r>
        <w:rPr>
          <w:b w:val="0"/>
        </w:rPr>
        <w:t xml:space="preserve"> </w:t>
      </w:r>
      <w:hyperlink r:id="rId18">
        <w:r>
          <w:rPr>
            <w:color w:val="245A81"/>
          </w:rPr>
          <w:t>Demystifying evals for AI agents</w:t>
        </w:r>
      </w:hyperlink>
      <w:r>
        <w:rPr>
          <w:b w:val="0"/>
        </w:rPr>
        <w:t xml:space="preserve">; </w:t>
      </w:r>
      <w:hyperlink r:id="rId20">
        <w:r>
          <w:rPr>
            <w:color w:val="245A81"/>
          </w:rPr>
          <w:t>Model Cards for Model Reporting</w:t>
        </w:r>
      </w:hyperlink>
      <w:r>
        <w:rPr>
          <w:b w:val="0"/>
        </w:rPr>
        <w:t>.</w:t>
      </w:r>
    </w:p>
    <w:p>
      <w:pPr>
        <w:pStyle w:val="Heading3"/>
        <w:keepNext/>
      </w:pPr>
      <w:r>
        <w:t>Chapter 9 — Graders, Experiments, and Error Analysis</w:t>
      </w:r>
    </w:p>
    <w:p>
      <w:pPr>
        <w:keepNext/>
      </w:pPr>
      <w:r>
        <w:rPr>
          <w:b/>
        </w:rPr>
        <w:t>Page allocation:</w:t>
      </w:r>
      <w:r>
        <w:rPr>
          <w:b w:val="0"/>
        </w:rPr>
        <w:t xml:space="preserve"> 18. </w:t>
      </w:r>
      <w:r>
        <w:rPr>
          <w:b/>
        </w:rPr>
        <w:t>Prerequisites:</w:t>
      </w:r>
      <w:r>
        <w:rPr>
          <w:b w:val="0"/>
        </w:rPr>
        <w:t xml:space="preserve"> 8.</w:t>
      </w:r>
    </w:p>
    <w:p>
      <w:pPr>
        <w:keepNext/>
      </w:pPr>
      <w:r>
        <w:rPr>
          <w:b/>
        </w:rPr>
        <w:t>Software-engineering connection:</w:t>
      </w:r>
      <w:r>
        <w:rPr>
          <w:b w:val="0"/>
        </w:rPr>
        <w:t xml:space="preserve"> Debugging now includes checking whether the test instrument itself is wrong.</w:t>
      </w:r>
    </w:p>
    <w:p>
      <w:pPr>
        <w:keepNext/>
      </w:pPr>
      <w:r>
        <w:rPr>
          <w:b/>
        </w:rPr>
        <w:t>Topics and learning outcomes</w:t>
      </w:r>
    </w:p>
    <w:p>
      <w:pPr>
        <w:pStyle w:val="ListBullet"/>
        <w:keepNext/>
      </w:pPr>
      <w:r>
        <w:rPr>
          <w:b w:val="0"/>
        </w:rPr>
        <w:t>Combine deterministic checks, human assessment, and model-based grading.</w:t>
      </w:r>
    </w:p>
    <w:p>
      <w:pPr>
        <w:pStyle w:val="ListBullet"/>
        <w:keepNext/>
      </w:pPr>
      <w:r>
        <w:rPr>
          <w:b w:val="0"/>
        </w:rPr>
        <w:t>Calibrate judges against human references and inspect disagreement.</w:t>
      </w:r>
    </w:p>
    <w:p>
      <w:pPr>
        <w:pStyle w:val="ListBullet"/>
        <w:keepNext/>
      </w:pPr>
      <w:r>
        <w:rPr>
          <w:b w:val="0"/>
        </w:rPr>
        <w:t>Use controlled comparisons, ablations, repeated trials, and error taxonomies.</w:t>
      </w:r>
    </w:p>
    <w:p>
      <w:pPr>
        <w:pStyle w:val="ListBullet"/>
        <w:keepNext/>
      </w:pPr>
      <w:r>
        <w:rPr>
          <w:b w:val="0"/>
        </w:rPr>
        <w:t>Diagnose whether failures originate in the model, context, data, application, or evaluation.</w:t>
      </w:r>
    </w:p>
    <w:p>
      <w:pPr>
        <w:keepNext/>
      </w:pPr>
      <w:r>
        <w:rPr>
          <w:b/>
        </w:rPr>
        <w:t>Workshop:</w:t>
      </w:r>
      <w:r>
        <w:rPr>
          <w:b w:val="0"/>
        </w:rPr>
        <w:t xml:space="preserve"> Implement outcome checks and a rubric-based grader; compare grader decisions with human labels and reverse pairwise answer order.</w:t>
      </w:r>
    </w:p>
    <w:p>
      <w:pPr>
        <w:keepNext/>
      </w:pPr>
      <w:r>
        <w:rPr>
          <w:b/>
        </w:rPr>
        <w:t>Failure exercise:</w:t>
      </w:r>
      <w:r>
        <w:rPr>
          <w:b w:val="0"/>
        </w:rPr>
        <w:t xml:space="preserve"> A judge prefers longer answers even when they contain unsupported claims; aggregate scores conceal a critical-category regression.</w:t>
      </w:r>
    </w:p>
    <w:p>
      <w:pPr>
        <w:keepNext/>
      </w:pPr>
      <w:r>
        <w:rPr>
          <w:b/>
        </w:rPr>
        <w:t>Completion evidence:</w:t>
      </w:r>
      <w:r>
        <w:rPr>
          <w:b w:val="0"/>
        </w:rPr>
        <w:t xml:space="preserve"> Report judge agreement and error types, validate the comparison, and justify the next engineering change rather than merely report a score.</w:t>
      </w:r>
    </w:p>
    <w:p>
      <w:pPr>
        <w:keepNext w:val="0"/>
      </w:pPr>
      <w:r>
        <w:rPr>
          <w:b/>
        </w:rPr>
        <w:t>Further reading:</w:t>
      </w:r>
      <w:r>
        <w:rPr>
          <w:b w:val="0"/>
        </w:rPr>
        <w:t xml:space="preserve"> </w:t>
      </w:r>
      <w:hyperlink r:id="rId19">
        <w:r>
          <w:rPr>
            <w:color w:val="245A81"/>
          </w:rPr>
          <w:t>Judging LLM-as-a-Judge with MT-Bench and Chatbot Arena</w:t>
        </w:r>
      </w:hyperlink>
      <w:r>
        <w:rPr>
          <w:b w:val="0"/>
        </w:rPr>
        <w:t xml:space="preserve">; </w:t>
      </w:r>
      <w:hyperlink r:id="rId18">
        <w:r>
          <w:rPr>
            <w:color w:val="245A81"/>
          </w:rPr>
          <w:t>Demystifying evals for AI agents</w:t>
        </w:r>
      </w:hyperlink>
      <w:r>
        <w:rPr>
          <w:b w:val="0"/>
        </w:rPr>
        <w:t>.</w:t>
      </w:r>
    </w:p>
    <w:p>
      <w:pPr>
        <w:pStyle w:val="Heading3"/>
        <w:keepNext/>
      </w:pPr>
      <w:r>
        <w:t>Chapter 10 — Selecting Models and System Approaches</w:t>
      </w:r>
    </w:p>
    <w:p>
      <w:pPr>
        <w:keepNext/>
      </w:pPr>
      <w:r>
        <w:rPr>
          <w:b/>
        </w:rPr>
        <w:t>Page allocation:</w:t>
      </w:r>
      <w:r>
        <w:rPr>
          <w:b w:val="0"/>
        </w:rPr>
        <w:t xml:space="preserve"> 15. </w:t>
      </w:r>
      <w:r>
        <w:rPr>
          <w:b/>
        </w:rPr>
        <w:t>Prerequisites:</w:t>
      </w:r>
      <w:r>
        <w:rPr>
          <w:b w:val="0"/>
        </w:rPr>
        <w:t xml:space="preserve"> 9.</w:t>
      </w:r>
    </w:p>
    <w:p>
      <w:pPr>
        <w:keepNext/>
      </w:pPr>
      <w:r>
        <w:rPr>
          <w:b/>
        </w:rPr>
        <w:t>Software-engineering connection:</w:t>
      </w:r>
      <w:r>
        <w:rPr>
          <w:b w:val="0"/>
        </w:rPr>
        <w:t xml:space="preserve"> Architecture decision records gain task-specific behavioral evidence.</w:t>
      </w:r>
    </w:p>
    <w:p>
      <w:pPr>
        <w:keepNext/>
      </w:pPr>
      <w:r>
        <w:rPr>
          <w:b/>
        </w:rPr>
        <w:t>Topics and learning outcomes</w:t>
      </w:r>
    </w:p>
    <w:p>
      <w:pPr>
        <w:pStyle w:val="ListBullet"/>
        <w:keepNext/>
      </w:pPr>
      <w:r>
        <w:rPr>
          <w:b w:val="0"/>
        </w:rPr>
        <w:t>Construct a task-specific comparison across quality, latency, cost, operational constraints, and data handling.</w:t>
      </w:r>
    </w:p>
    <w:p>
      <w:pPr>
        <w:pStyle w:val="ListBullet"/>
        <w:keepNext/>
      </w:pPr>
      <w:r>
        <w:rPr>
          <w:b w:val="0"/>
        </w:rPr>
        <w:t>Distinguish hosted access, available weights, licensing, and deployment responsibility.</w:t>
      </w:r>
    </w:p>
    <w:p>
      <w:pPr>
        <w:pStyle w:val="ListBullet"/>
        <w:keepNext/>
      </w:pPr>
      <w:r>
        <w:rPr>
          <w:b w:val="0"/>
        </w:rPr>
        <w:t>Use public benchmarks as discovery signals and local evaluations as decision evidence.</w:t>
      </w:r>
    </w:p>
    <w:p>
      <w:pPr>
        <w:pStyle w:val="ListBullet"/>
        <w:keepNext/>
      </w:pPr>
      <w:r>
        <w:rPr>
          <w:b w:val="0"/>
        </w:rPr>
        <w:t>Decide whether a failure calls for better instructions, retrieval, tools, adaptation, or a different task design.</w:t>
      </w:r>
    </w:p>
    <w:p>
      <w:pPr>
        <w:keepNext/>
      </w:pPr>
      <w:r>
        <w:rPr>
          <w:b/>
        </w:rPr>
        <w:t>Workshop:</w:t>
      </w:r>
      <w:r>
        <w:rPr>
          <w:b w:val="0"/>
        </w:rPr>
        <w:t xml:space="preserve"> Compare at least two candidates and the baseline using the same application cases and explicit constraints.</w:t>
      </w:r>
    </w:p>
    <w:p>
      <w:pPr>
        <w:keepNext/>
      </w:pPr>
      <w:r>
        <w:rPr>
          <w:b/>
        </w:rPr>
        <w:t>Failure exercise:</w:t>
      </w:r>
      <w:r>
        <w:rPr>
          <w:b w:val="0"/>
        </w:rPr>
        <w:t xml:space="preserve"> A model with a stronger public benchmark performs worse on the support team's terminology or deployment requirements.</w:t>
      </w:r>
    </w:p>
    <w:p>
      <w:pPr>
        <w:keepNext/>
      </w:pPr>
      <w:r>
        <w:rPr>
          <w:b/>
        </w:rPr>
        <w:t>Completion evidence:</w:t>
      </w:r>
      <w:r>
        <w:rPr>
          <w:b w:val="0"/>
        </w:rPr>
        <w:t xml:space="preserve"> Write a model-selection decision record, state evidence gaps, and define checks for future migrations. Recheck actual terms during implementation.</w:t>
      </w:r>
    </w:p>
    <w:p>
      <w:pPr>
        <w:keepNext w:val="0"/>
      </w:pPr>
      <w:r>
        <w:rPr>
          <w:b/>
        </w:rPr>
        <w:t>Further reading:</w:t>
      </w:r>
      <w:r>
        <w:rPr>
          <w:b w:val="0"/>
        </w:rPr>
        <w:t xml:space="preserve"> </w:t>
      </w:r>
      <w:hyperlink r:id="rId13">
        <w:r>
          <w:rPr>
            <w:color w:val="245A81"/>
          </w:rPr>
          <w:t>AI Engineering book and other resources</w:t>
        </w:r>
      </w:hyperlink>
      <w:r>
        <w:rPr>
          <w:b w:val="0"/>
        </w:rPr>
        <w:t xml:space="preserve">; </w:t>
      </w:r>
      <w:hyperlink r:id="rId12">
        <w:r>
          <w:rPr>
            <w:color w:val="245A81"/>
          </w:rPr>
          <w:t>The Shift from Models to Compound AI Systems</w:t>
        </w:r>
      </w:hyperlink>
      <w:r>
        <w:rPr>
          <w:b w:val="0"/>
        </w:rPr>
        <w:t xml:space="preserve">; </w:t>
      </w:r>
      <w:hyperlink r:id="rId20">
        <w:r>
          <w:rPr>
            <w:color w:val="245A81"/>
          </w:rPr>
          <w:t>Model Cards for Model Reporting</w:t>
        </w:r>
      </w:hyperlink>
      <w:r>
        <w:rPr>
          <w:b w:val="0"/>
        </w:rPr>
        <w:t>.</w:t>
      </w:r>
    </w:p>
    <w:p>
      <w:pPr>
        <w:pStyle w:val="Heading2"/>
      </w:pPr>
      <w:r>
        <w:t>Part 4 — Engineering knowledge and context</w:t>
      </w:r>
    </w:p>
    <w:p>
      <w:pPr>
        <w:keepNext/>
      </w:pPr>
      <w:r>
        <w:rPr>
          <w:b w:val="0"/>
        </w:rPr>
        <w:t>Estimated main text: 70 pages.</w:t>
      </w:r>
    </w:p>
    <w:p>
      <w:pPr>
        <w:pStyle w:val="Heading3"/>
        <w:keepNext/>
      </w:pPr>
      <w:r>
        <w:t>Chapter 11 — Data Engineering for AI Applications</w:t>
      </w:r>
    </w:p>
    <w:p>
      <w:pPr>
        <w:keepNext/>
      </w:pPr>
      <w:r>
        <w:rPr>
          <w:b/>
        </w:rPr>
        <w:t>Page allocation:</w:t>
      </w:r>
      <w:r>
        <w:rPr>
          <w:b w:val="0"/>
        </w:rPr>
        <w:t xml:space="preserve"> 16. </w:t>
      </w:r>
      <w:r>
        <w:rPr>
          <w:b/>
        </w:rPr>
        <w:t>Prerequisites:</w:t>
      </w:r>
      <w:r>
        <w:rPr>
          <w:b w:val="0"/>
        </w:rPr>
        <w:t xml:space="preserve"> 8, 10.</w:t>
      </w:r>
    </w:p>
    <w:p>
      <w:pPr>
        <w:keepNext/>
      </w:pPr>
      <w:r>
        <w:rPr>
          <w:b/>
        </w:rPr>
        <w:t>Software-engineering connection:</w:t>
      </w:r>
      <w:r>
        <w:rPr>
          <w:b w:val="0"/>
        </w:rPr>
        <w:t xml:space="preserve"> ETL, database integrity, and access control become determinants of answer quality.</w:t>
      </w:r>
    </w:p>
    <w:p>
      <w:pPr>
        <w:keepNext/>
      </w:pPr>
      <w:r>
        <w:rPr>
          <w:b/>
        </w:rPr>
        <w:t>Topics and learning outcomes</w:t>
      </w:r>
    </w:p>
    <w:p>
      <w:pPr>
        <w:pStyle w:val="ListBullet"/>
        <w:keepNext/>
      </w:pPr>
      <w:r>
        <w:rPr>
          <w:b w:val="0"/>
        </w:rPr>
        <w:t>Build ingestion, parsing, normalization, deduplication, and versioning pipelines.</w:t>
      </w:r>
    </w:p>
    <w:p>
      <w:pPr>
        <w:pStyle w:val="ListBullet"/>
        <w:keepNext/>
      </w:pPr>
      <w:r>
        <w:rPr>
          <w:b w:val="0"/>
        </w:rPr>
        <w:t>Preserve document structure, source identifiers, provenance, and update history.</w:t>
      </w:r>
    </w:p>
    <w:p>
      <w:pPr>
        <w:pStyle w:val="ListBullet"/>
        <w:keepNext/>
      </w:pPr>
      <w:r>
        <w:rPr>
          <w:b w:val="0"/>
        </w:rPr>
        <w:t>Carry access permissions into downstream retrieval and storage.</w:t>
      </w:r>
    </w:p>
    <w:p>
      <w:pPr>
        <w:pStyle w:val="ListBullet"/>
        <w:keepNext/>
      </w:pPr>
      <w:r>
        <w:rPr>
          <w:b w:val="0"/>
        </w:rPr>
        <w:t>Handle deletions, stale content, conflicting sources, and corrupted documents.</w:t>
      </w:r>
    </w:p>
    <w:p>
      <w:pPr>
        <w:keepNext/>
      </w:pPr>
      <w:r>
        <w:rPr>
          <w:b/>
        </w:rPr>
        <w:t>Workshop:</w:t>
      </w:r>
      <w:r>
        <w:rPr>
          <w:b w:val="0"/>
        </w:rPr>
        <w:t xml:space="preserve"> Ingest a versioned fictional documentation corpus and retain tenant scope, effective dates, source anchors, and deletion records.</w:t>
      </w:r>
    </w:p>
    <w:p>
      <w:pPr>
        <w:keepNext/>
      </w:pPr>
      <w:r>
        <w:rPr>
          <w:b/>
        </w:rPr>
        <w:t>Failure exercise:</w:t>
      </w:r>
      <w:r>
        <w:rPr>
          <w:b w:val="0"/>
        </w:rPr>
        <w:t xml:space="preserve"> A deleted article remains in the index, or parsing separates a warning from the procedure it qualifies.</w:t>
      </w:r>
    </w:p>
    <w:p>
      <w:pPr>
        <w:keepNext/>
      </w:pPr>
      <w:r>
        <w:rPr>
          <w:b/>
        </w:rPr>
        <w:t>Completion evidence:</w:t>
      </w:r>
      <w:r>
        <w:rPr>
          <w:b w:val="0"/>
        </w:rPr>
        <w:t xml:space="preserve"> Produce an inspectable corpus and demonstrate correct propagation of updates, deletions, and permission changes.</w:t>
      </w:r>
    </w:p>
    <w:p>
      <w:pPr>
        <w:keepNext w:val="0"/>
      </w:pPr>
      <w:r>
        <w:rPr>
          <w:b/>
        </w:rPr>
        <w:t>Further reading:</w:t>
      </w:r>
      <w:r>
        <w:rPr>
          <w:b w:val="0"/>
        </w:rPr>
        <w:t xml:space="preserve"> </w:t>
      </w:r>
      <w:hyperlink r:id="rId13">
        <w:r>
          <w:rPr>
            <w:color w:val="245A81"/>
          </w:rPr>
          <w:t>AI Engineering book and other resources</w:t>
        </w:r>
      </w:hyperlink>
      <w:r>
        <w:rPr>
          <w:b w:val="0"/>
        </w:rPr>
        <w:t xml:space="preserve">; </w:t>
      </w:r>
      <w:hyperlink r:id="rId32">
        <w:r>
          <w:rPr>
            <w:color w:val="245A81"/>
          </w:rPr>
          <w:t>Artificial Intelligence Risk Management Framework: Generative Artificial Intelligence Profile</w:t>
        </w:r>
      </w:hyperlink>
      <w:r>
        <w:rPr>
          <w:b w:val="0"/>
        </w:rPr>
        <w:t>.</w:t>
      </w:r>
    </w:p>
    <w:p>
      <w:pPr>
        <w:pStyle w:val="Heading3"/>
        <w:keepNext/>
      </w:pPr>
      <w:r>
        <w:t>Chapter 12 — Retrieval and Search Fundamentals</w:t>
      </w:r>
    </w:p>
    <w:p>
      <w:pPr>
        <w:keepNext/>
      </w:pPr>
      <w:r>
        <w:rPr>
          <w:b/>
        </w:rPr>
        <w:t>Page allocation:</w:t>
      </w:r>
      <w:r>
        <w:rPr>
          <w:b w:val="0"/>
        </w:rPr>
        <w:t xml:space="preserve"> 18. </w:t>
      </w:r>
      <w:r>
        <w:rPr>
          <w:b/>
        </w:rPr>
        <w:t>Prerequisites:</w:t>
      </w:r>
      <w:r>
        <w:rPr>
          <w:b w:val="0"/>
        </w:rPr>
        <w:t xml:space="preserve"> 5, 11.</w:t>
      </w:r>
    </w:p>
    <w:p>
      <w:pPr>
        <w:keepNext/>
      </w:pPr>
      <w:r>
        <w:rPr>
          <w:b/>
        </w:rPr>
        <w:t>Software-engineering connection:</w:t>
      </w:r>
      <w:r>
        <w:rPr>
          <w:b w:val="0"/>
        </w:rPr>
        <w:t xml:space="preserve"> Search indexing and performance measurement extend to semantic representations.</w:t>
      </w:r>
    </w:p>
    <w:p>
      <w:pPr>
        <w:keepNext/>
      </w:pPr>
      <w:r>
        <w:rPr>
          <w:b/>
        </w:rPr>
        <w:t>Topics and learning outcomes</w:t>
      </w:r>
    </w:p>
    <w:p>
      <w:pPr>
        <w:pStyle w:val="ListBullet"/>
        <w:keepNext/>
      </w:pPr>
      <w:r>
        <w:rPr>
          <w:b w:val="0"/>
        </w:rPr>
        <w:t>Explain lexical search, dense embeddings, similarity, approximate search, and hybrid retrieval.</w:t>
      </w:r>
    </w:p>
    <w:p>
      <w:pPr>
        <w:pStyle w:val="ListBullet"/>
        <w:keepNext/>
      </w:pPr>
      <w:r>
        <w:rPr>
          <w:b w:val="0"/>
        </w:rPr>
        <w:t>Explore chunking, metadata filters, query rewriting, and reranking.</w:t>
      </w:r>
    </w:p>
    <w:p>
      <w:pPr>
        <w:pStyle w:val="ListBullet"/>
        <w:keepNext/>
      </w:pPr>
      <w:r>
        <w:rPr>
          <w:b w:val="0"/>
        </w:rPr>
        <w:t>Measure retrieval separately from generated answers.</w:t>
      </w:r>
    </w:p>
    <w:p>
      <w:pPr>
        <w:pStyle w:val="ListBullet"/>
        <w:keepNext/>
      </w:pPr>
      <w:r>
        <w:rPr>
          <w:b w:val="0"/>
        </w:rPr>
        <w:t>Diagnose vocabulary mismatch, weak coverage, distractors, and inappropriate filtering.</w:t>
      </w:r>
    </w:p>
    <w:p>
      <w:pPr>
        <w:keepNext/>
      </w:pPr>
      <w:r>
        <w:rPr>
          <w:b/>
        </w:rPr>
        <w:t>Workshop:</w:t>
      </w:r>
      <w:r>
        <w:rPr>
          <w:b w:val="0"/>
        </w:rPr>
        <w:t xml:space="preserve"> Compare lexical, dense, and hybrid retrieval on labeled questions, using recall at a fixed cutoff and ranked relevance measures.</w:t>
      </w:r>
    </w:p>
    <w:p>
      <w:pPr>
        <w:keepNext/>
      </w:pPr>
      <w:r>
        <w:rPr>
          <w:b/>
        </w:rPr>
        <w:t>Failure exercise:</w:t>
      </w:r>
      <w:r>
        <w:rPr>
          <w:b w:val="0"/>
        </w:rPr>
        <w:t xml:space="preserve"> Exact error codes disappear under semantic matching, while paraphrased questions defeat a lexical-only baseline.</w:t>
      </w:r>
    </w:p>
    <w:p>
      <w:pPr>
        <w:keepNext/>
      </w:pPr>
      <w:r>
        <w:rPr>
          <w:b/>
        </w:rPr>
        <w:t>Completion evidence:</w:t>
      </w:r>
      <w:r>
        <w:rPr>
          <w:b w:val="0"/>
        </w:rPr>
        <w:t xml:space="preserve"> Identify the errors each strategy fixes or introduces and preserve permission filtering throughout the comparison.</w:t>
      </w:r>
    </w:p>
    <w:p>
      <w:pPr>
        <w:keepNext w:val="0"/>
      </w:pPr>
      <w:r>
        <w:rPr>
          <w:b/>
        </w:rPr>
        <w:t>Further reading:</w:t>
      </w:r>
      <w:r>
        <w:rPr>
          <w:b w:val="0"/>
        </w:rPr>
        <w:t xml:space="preserve"> </w:t>
      </w:r>
      <w:hyperlink r:id="rId21">
        <w:r>
          <w:rPr>
            <w:color w:val="245A81"/>
          </w:rPr>
          <w:t>Retrieval-Augmented Generation for Knowledge-Intensive NLP Tasks</w:t>
        </w:r>
      </w:hyperlink>
      <w:r>
        <w:rPr>
          <w:b w:val="0"/>
        </w:rPr>
        <w:t xml:space="preserve">; </w:t>
      </w:r>
      <w:hyperlink r:id="rId23">
        <w:r>
          <w:rPr>
            <w:color w:val="245A81"/>
          </w:rPr>
          <w:t>Long Context vs. RAG for LLMs: An Evaluation and Revisits</w:t>
        </w:r>
      </w:hyperlink>
      <w:r>
        <w:rPr>
          <w:b w:val="0"/>
        </w:rPr>
        <w:t>.</w:t>
      </w:r>
    </w:p>
    <w:p>
      <w:pPr>
        <w:pStyle w:val="Heading3"/>
        <w:keepNext/>
      </w:pPr>
      <w:r>
        <w:t>Chapter 13 — Retrieval-Augmented Generation and Context Construction</w:t>
      </w:r>
    </w:p>
    <w:p>
      <w:pPr>
        <w:keepNext/>
      </w:pPr>
      <w:r>
        <w:rPr>
          <w:b/>
        </w:rPr>
        <w:t>Page allocation:</w:t>
      </w:r>
      <w:r>
        <w:rPr>
          <w:b w:val="0"/>
        </w:rPr>
        <w:t xml:space="preserve"> 20. </w:t>
      </w:r>
      <w:r>
        <w:rPr>
          <w:b/>
        </w:rPr>
        <w:t>Prerequisites:</w:t>
      </w:r>
      <w:r>
        <w:rPr>
          <w:b w:val="0"/>
        </w:rPr>
        <w:t xml:space="preserve"> 9, 12.</w:t>
      </w:r>
    </w:p>
    <w:p>
      <w:pPr>
        <w:keepNext/>
      </w:pPr>
      <w:r>
        <w:rPr>
          <w:b/>
        </w:rPr>
        <w:t>Software-engineering connection:</w:t>
      </w:r>
      <w:r>
        <w:rPr>
          <w:b w:val="0"/>
        </w:rPr>
        <w:t xml:space="preserve"> Dependency management now includes the evidence supplied to the model.</w:t>
      </w:r>
    </w:p>
    <w:p>
      <w:pPr>
        <w:keepNext/>
      </w:pPr>
      <w:r>
        <w:rPr>
          <w:b/>
        </w:rPr>
        <w:t>Topics and learning outcomes</w:t>
      </w:r>
    </w:p>
    <w:p>
      <w:pPr>
        <w:pStyle w:val="ListBullet"/>
        <w:keepNext/>
      </w:pPr>
      <w:r>
        <w:rPr>
          <w:b w:val="0"/>
        </w:rPr>
        <w:t>Assemble questions, instructions, retrieved evidence, and output requirements into useful context.</w:t>
      </w:r>
    </w:p>
    <w:p>
      <w:pPr>
        <w:pStyle w:val="ListBullet"/>
        <w:keepNext/>
      </w:pPr>
      <w:r>
        <w:rPr>
          <w:b w:val="0"/>
        </w:rPr>
        <w:t>Connect generated claims to supporting passages.</w:t>
      </w:r>
    </w:p>
    <w:p>
      <w:pPr>
        <w:pStyle w:val="ListBullet"/>
        <w:keepNext/>
      </w:pPr>
      <w:r>
        <w:rPr>
          <w:b w:val="0"/>
        </w:rPr>
        <w:t>Handle insufficient evidence, contradictory sources, and unanswerable questions.</w:t>
      </w:r>
    </w:p>
    <w:p>
      <w:pPr>
        <w:pStyle w:val="ListBullet"/>
        <w:keepNext/>
      </w:pPr>
      <w:r>
        <w:rPr>
          <w:b w:val="0"/>
        </w:rPr>
        <w:t>Compare retrieval, long-context input, and hybrid approaches under a common evaluation.</w:t>
      </w:r>
    </w:p>
    <w:p>
      <w:pPr>
        <w:keepNext/>
      </w:pPr>
      <w:r>
        <w:rPr>
          <w:b/>
        </w:rPr>
        <w:t>Workshop:</w:t>
      </w:r>
      <w:r>
        <w:rPr>
          <w:b w:val="0"/>
        </w:rPr>
        <w:t xml:space="preserve"> Add document-grounded answers with source anchors; separately score retrieval, claim support, completeness, and abstention.</w:t>
      </w:r>
    </w:p>
    <w:p>
      <w:pPr>
        <w:keepNext/>
      </w:pPr>
      <w:r>
        <w:rPr>
          <w:b/>
        </w:rPr>
        <w:t>Failure exercise:</w:t>
      </w:r>
      <w:r>
        <w:rPr>
          <w:b w:val="0"/>
        </w:rPr>
        <w:t xml:space="preserve"> A real citation does not support its adjacent claim, or two valid documents describe different product versions.</w:t>
      </w:r>
    </w:p>
    <w:p>
      <w:pPr>
        <w:keepNext/>
      </w:pPr>
      <w:r>
        <w:rPr>
          <w:b/>
        </w:rPr>
        <w:t>Completion evidence:</w:t>
      </w:r>
      <w:r>
        <w:rPr>
          <w:b w:val="0"/>
        </w:rPr>
        <w:t xml:space="preserve"> Produce supported answers, abstain appropriately, and defend the context strategy under measured quality and resource constraints.</w:t>
      </w:r>
    </w:p>
    <w:p>
      <w:pPr>
        <w:keepNext w:val="0"/>
      </w:pPr>
      <w:r>
        <w:rPr>
          <w:b/>
        </w:rPr>
        <w:t>Further reading:</w:t>
      </w:r>
      <w:r>
        <w:rPr>
          <w:b w:val="0"/>
        </w:rPr>
        <w:t xml:space="preserve"> </w:t>
      </w:r>
      <w:hyperlink r:id="rId21">
        <w:r>
          <w:rPr>
            <w:color w:val="245A81"/>
          </w:rPr>
          <w:t>Retrieval-Augmented Generation for Knowledge-Intensive NLP Tasks</w:t>
        </w:r>
      </w:hyperlink>
      <w:r>
        <w:rPr>
          <w:b w:val="0"/>
        </w:rPr>
        <w:t xml:space="preserve">; </w:t>
      </w:r>
      <w:hyperlink r:id="rId22">
        <w:r>
          <w:rPr>
            <w:color w:val="245A81"/>
          </w:rPr>
          <w:t>Retrieval Augmented Generation or Long-Context LLMs? A Comprehensive Study and Hybrid Approach</w:t>
        </w:r>
      </w:hyperlink>
      <w:r>
        <w:rPr>
          <w:b w:val="0"/>
        </w:rPr>
        <w:t xml:space="preserve">; </w:t>
      </w:r>
      <w:hyperlink r:id="rId23">
        <w:r>
          <w:rPr>
            <w:color w:val="245A81"/>
          </w:rPr>
          <w:t>Long Context vs. RAG for LLMs: An Evaluation and Revisits</w:t>
        </w:r>
      </w:hyperlink>
      <w:r>
        <w:rPr>
          <w:b w:val="0"/>
        </w:rPr>
        <w:t>.</w:t>
      </w:r>
    </w:p>
    <w:p>
      <w:pPr>
        <w:pStyle w:val="Heading3"/>
        <w:keepNext/>
      </w:pPr>
      <w:r>
        <w:t>Chapter 14 — Conversation State, Memory, and Context Lifecycles</w:t>
      </w:r>
    </w:p>
    <w:p>
      <w:pPr>
        <w:keepNext/>
      </w:pPr>
      <w:r>
        <w:rPr>
          <w:b/>
        </w:rPr>
        <w:t>Page allocation:</w:t>
      </w:r>
      <w:r>
        <w:rPr>
          <w:b w:val="0"/>
        </w:rPr>
        <w:t xml:space="preserve"> 16. </w:t>
      </w:r>
      <w:r>
        <w:rPr>
          <w:b/>
        </w:rPr>
        <w:t>Prerequisites:</w:t>
      </w:r>
      <w:r>
        <w:rPr>
          <w:b w:val="0"/>
        </w:rPr>
        <w:t xml:space="preserve"> 13.</w:t>
      </w:r>
    </w:p>
    <w:p>
      <w:pPr>
        <w:keepNext/>
      </w:pPr>
      <w:r>
        <w:rPr>
          <w:b/>
        </w:rPr>
        <w:t>Software-engineering connection:</w:t>
      </w:r>
      <w:r>
        <w:rPr>
          <w:b w:val="0"/>
        </w:rPr>
        <w:t xml:space="preserve"> State modeling and retention rules remain distinct from the model's text history.</w:t>
      </w:r>
    </w:p>
    <w:p>
      <w:pPr>
        <w:keepNext/>
      </w:pPr>
      <w:r>
        <w:rPr>
          <w:b/>
        </w:rPr>
        <w:t>Topics and learning outcomes</w:t>
      </w:r>
    </w:p>
    <w:p>
      <w:pPr>
        <w:pStyle w:val="ListBullet"/>
        <w:keepNext/>
      </w:pPr>
      <w:r>
        <w:rPr>
          <w:b w:val="0"/>
        </w:rPr>
        <w:t>Distinguish conversation history, application state, saved preferences, retrieved knowledge, and learned parameters.</w:t>
      </w:r>
    </w:p>
    <w:p>
      <w:pPr>
        <w:pStyle w:val="ListBullet"/>
        <w:keepNext/>
      </w:pPr>
      <w:r>
        <w:rPr>
          <w:b w:val="0"/>
        </w:rPr>
        <w:t>Design memory creation, retrieval, correction, expiration, and deletion.</w:t>
      </w:r>
    </w:p>
    <w:p>
      <w:pPr>
        <w:pStyle w:val="ListBullet"/>
        <w:keepNext/>
      </w:pPr>
      <w:r>
        <w:rPr>
          <w:b w:val="0"/>
        </w:rPr>
        <w:t>Compare summarization, selection, and reconstruction of context.</w:t>
      </w:r>
    </w:p>
    <w:p>
      <w:pPr>
        <w:pStyle w:val="ListBullet"/>
        <w:keepNext/>
      </w:pPr>
      <w:r>
        <w:rPr>
          <w:b w:val="0"/>
        </w:rPr>
        <w:t>Test whether important information survives long interactions and whether obsolete information persists.</w:t>
      </w:r>
    </w:p>
    <w:p>
      <w:pPr>
        <w:keepNext/>
      </w:pPr>
      <w:r>
        <w:rPr>
          <w:b/>
        </w:rPr>
        <w:t>Workshop:</w:t>
      </w:r>
      <w:r>
        <w:rPr>
          <w:b w:val="0"/>
        </w:rPr>
        <w:t xml:space="preserve"> Implement inspectable session memory, user corrections, expiration, and reconstruction from authoritative application records.</w:t>
      </w:r>
    </w:p>
    <w:p>
      <w:pPr>
        <w:keepNext/>
      </w:pPr>
      <w:r>
        <w:rPr>
          <w:b/>
        </w:rPr>
        <w:t>Failure exercise:</w:t>
      </w:r>
      <w:r>
        <w:rPr>
          <w:b w:val="0"/>
        </w:rPr>
        <w:t xml:space="preserve"> A compressed history loses a user constraint, or an outdated preference survives an explicit correction.</w:t>
      </w:r>
    </w:p>
    <w:p>
      <w:pPr>
        <w:keepNext/>
      </w:pPr>
      <w:r>
        <w:rPr>
          <w:b/>
        </w:rPr>
        <w:t>Completion evidence:</w:t>
      </w:r>
      <w:r>
        <w:rPr>
          <w:b w:val="0"/>
        </w:rPr>
        <w:t xml:space="preserve"> Show correction and deletion working across subsequent calls; document what compaction preserves, loses, and cannot establish.</w:t>
      </w:r>
    </w:p>
    <w:p>
      <w:pPr>
        <w:keepNext w:val="0"/>
      </w:pPr>
      <w:r>
        <w:rPr>
          <w:b/>
        </w:rPr>
        <w:t>Further reading:</w:t>
      </w:r>
      <w:r>
        <w:rPr>
          <w:b w:val="0"/>
        </w:rPr>
        <w:t xml:space="preserve"> </w:t>
      </w:r>
      <w:hyperlink r:id="rId25">
        <w:r>
          <w:rPr>
            <w:color w:val="245A81"/>
          </w:rPr>
          <w:t>Effective context engineering for AI agents</w:t>
        </w:r>
      </w:hyperlink>
      <w:r>
        <w:rPr>
          <w:b w:val="0"/>
        </w:rPr>
        <w:t xml:space="preserve">; </w:t>
      </w:r>
      <w:hyperlink r:id="rId24">
        <w:r>
          <w:rPr>
            <w:color w:val="245A81"/>
          </w:rPr>
          <w:t>Lost in the Middle: How Language Models Use Long Contexts</w:t>
        </w:r>
      </w:hyperlink>
      <w:r>
        <w:rPr>
          <w:b w:val="0"/>
        </w:rPr>
        <w:t>.</w:t>
      </w:r>
    </w:p>
    <w:p>
      <w:pPr>
        <w:pStyle w:val="Heading2"/>
      </w:pPr>
      <w:r>
        <w:t>Part 5 — Tools, workflows, and agents</w:t>
      </w:r>
    </w:p>
    <w:p>
      <w:pPr>
        <w:keepNext/>
      </w:pPr>
      <w:r>
        <w:rPr>
          <w:b w:val="0"/>
        </w:rPr>
        <w:t>Estimated main text: 90 pages.</w:t>
      </w:r>
    </w:p>
    <w:p>
      <w:pPr>
        <w:pStyle w:val="Heading3"/>
        <w:keepNext/>
      </w:pPr>
      <w:r>
        <w:t>Chapter 15 — Designing Tools for Model Callers</w:t>
      </w:r>
    </w:p>
    <w:p>
      <w:pPr>
        <w:keepNext/>
      </w:pPr>
      <w:r>
        <w:rPr>
          <w:b/>
        </w:rPr>
        <w:t>Page allocation:</w:t>
      </w:r>
      <w:r>
        <w:rPr>
          <w:b w:val="0"/>
        </w:rPr>
        <w:t xml:space="preserve"> 17. </w:t>
      </w:r>
      <w:r>
        <w:rPr>
          <w:b/>
        </w:rPr>
        <w:t>Prerequisites:</w:t>
      </w:r>
      <w:r>
        <w:rPr>
          <w:b w:val="0"/>
        </w:rPr>
        <w:t xml:space="preserve"> 7, 14.</w:t>
      </w:r>
    </w:p>
    <w:p>
      <w:pPr>
        <w:keepNext/>
      </w:pPr>
      <w:r>
        <w:rPr>
          <w:b/>
        </w:rPr>
        <w:t>Software-engineering connection:</w:t>
      </w:r>
      <w:r>
        <w:rPr>
          <w:b w:val="0"/>
        </w:rPr>
        <w:t xml:space="preserve"> API contracts, authorization, and least privilege constrain a new kind of caller.</w:t>
      </w:r>
    </w:p>
    <w:p>
      <w:pPr>
        <w:keepNext/>
      </w:pPr>
      <w:r>
        <w:rPr>
          <w:b/>
        </w:rPr>
        <w:t>Topics and learning outcomes</w:t>
      </w:r>
    </w:p>
    <w:p>
      <w:pPr>
        <w:pStyle w:val="ListBullet"/>
        <w:keepNext/>
      </w:pPr>
      <w:r>
        <w:rPr>
          <w:b w:val="0"/>
        </w:rPr>
        <w:t>Define clear tool purposes, arguments, results, and error behavior.</w:t>
      </w:r>
    </w:p>
    <w:p>
      <w:pPr>
        <w:pStyle w:val="ListBullet"/>
        <w:keepNext/>
      </w:pPr>
      <w:r>
        <w:rPr>
          <w:b w:val="0"/>
        </w:rPr>
        <w:t>Distinguish read operations, reversible changes, and consequential actions.</w:t>
      </w:r>
    </w:p>
    <w:p>
      <w:pPr>
        <w:pStyle w:val="ListBullet"/>
        <w:keepNext/>
      </w:pPr>
      <w:r>
        <w:rPr>
          <w:b w:val="0"/>
        </w:rPr>
        <w:t>Enforce authorization, validation, and scoped credentials in application code.</w:t>
      </w:r>
    </w:p>
    <w:p>
      <w:pPr>
        <w:pStyle w:val="ListBullet"/>
        <w:keepNext/>
      </w:pPr>
      <w:r>
        <w:rPr>
          <w:b w:val="0"/>
        </w:rPr>
        <w:t>Introduce tool interoperability and explain what a protocol does—and does not—guarantee.</w:t>
      </w:r>
    </w:p>
    <w:p>
      <w:pPr>
        <w:keepNext/>
      </w:pPr>
      <w:r>
        <w:rPr>
          <w:b/>
        </w:rPr>
        <w:t>Workshop:</w:t>
      </w:r>
      <w:r>
        <w:rPr>
          <w:b w:val="0"/>
        </w:rPr>
        <w:t xml:space="preserve"> Expose ticket lookup and draft creation with explicit tenant identity, permission checks, validation, and auditable results.</w:t>
      </w:r>
    </w:p>
    <w:p>
      <w:pPr>
        <w:keepNext/>
      </w:pPr>
      <w:r>
        <w:rPr>
          <w:b/>
        </w:rPr>
        <w:t>Failure exercise:</w:t>
      </w:r>
      <w:r>
        <w:rPr>
          <w:b w:val="0"/>
        </w:rPr>
        <w:t xml:space="preserve"> The model supplies another tenant's identifier or treats a tool's descriptive text as permission to perform an action.</w:t>
      </w:r>
    </w:p>
    <w:p>
      <w:pPr>
        <w:keepNext/>
      </w:pPr>
      <w:r>
        <w:rPr>
          <w:b/>
        </w:rPr>
        <w:t>Completion evidence:</w:t>
      </w:r>
      <w:r>
        <w:rPr>
          <w:b w:val="0"/>
        </w:rPr>
        <w:t xml:space="preserve"> Demonstrate rejection of unauthorized requests and invalid arguments independently of prompt compliance.</w:t>
      </w:r>
    </w:p>
    <w:p>
      <w:pPr>
        <w:keepNext w:val="0"/>
      </w:pPr>
      <w:r>
        <w:rPr>
          <w:b/>
        </w:rPr>
        <w:t>Further reading:</w:t>
      </w:r>
      <w:r>
        <w:rPr>
          <w:b w:val="0"/>
        </w:rPr>
        <w:t xml:space="preserve"> </w:t>
      </w:r>
      <w:hyperlink r:id="rId26">
        <w:r>
          <w:rPr>
            <w:color w:val="245A81"/>
          </w:rPr>
          <w:t>Building effective agents</w:t>
        </w:r>
      </w:hyperlink>
      <w:r>
        <w:rPr>
          <w:b w:val="0"/>
        </w:rPr>
        <w:t xml:space="preserve">; </w:t>
      </w:r>
      <w:hyperlink r:id="rId31">
        <w:r>
          <w:rPr>
            <w:color w:val="245A81"/>
          </w:rPr>
          <w:t>OWASP GenAI LLM Top 10 2026</w:t>
        </w:r>
      </w:hyperlink>
      <w:r>
        <w:rPr>
          <w:b w:val="0"/>
        </w:rPr>
        <w:t>.</w:t>
      </w:r>
    </w:p>
    <w:p>
      <w:pPr>
        <w:pStyle w:val="Heading3"/>
        <w:keepNext/>
      </w:pPr>
      <w:r>
        <w:t>Chapter 16 — Reliable Model-Powered Workflows</w:t>
      </w:r>
    </w:p>
    <w:p>
      <w:pPr>
        <w:keepNext/>
      </w:pPr>
      <w:r>
        <w:rPr>
          <w:b/>
        </w:rPr>
        <w:t>Page allocation:</w:t>
      </w:r>
      <w:r>
        <w:rPr>
          <w:b w:val="0"/>
        </w:rPr>
        <w:t xml:space="preserve"> 18. </w:t>
      </w:r>
      <w:r>
        <w:rPr>
          <w:b/>
        </w:rPr>
        <w:t>Prerequisites:</w:t>
      </w:r>
      <w:r>
        <w:rPr>
          <w:b w:val="0"/>
        </w:rPr>
        <w:t xml:space="preserve"> 15.</w:t>
      </w:r>
    </w:p>
    <w:p>
      <w:pPr>
        <w:keepNext/>
      </w:pPr>
      <w:r>
        <w:rPr>
          <w:b/>
        </w:rPr>
        <w:t>Software-engineering connection:</w:t>
      </w:r>
      <w:r>
        <w:rPr>
          <w:b w:val="0"/>
        </w:rPr>
        <w:t xml:space="preserve"> State machines and distributed-systems recovery provide explicit control over uncertain steps.</w:t>
      </w:r>
    </w:p>
    <w:p>
      <w:pPr>
        <w:keepNext/>
      </w:pPr>
      <w:r>
        <w:rPr>
          <w:b/>
        </w:rPr>
        <w:t>Topics and learning outcomes</w:t>
      </w:r>
    </w:p>
    <w:p>
      <w:pPr>
        <w:pStyle w:val="ListBullet"/>
        <w:keepNext/>
      </w:pPr>
      <w:r>
        <w:rPr>
          <w:b w:val="0"/>
        </w:rPr>
        <w:t>Combine models with explicit routing, state machines, parallel steps, and validation.</w:t>
      </w:r>
    </w:p>
    <w:p>
      <w:pPr>
        <w:pStyle w:val="ListBullet"/>
        <w:keepNext/>
      </w:pPr>
      <w:r>
        <w:rPr>
          <w:b w:val="0"/>
        </w:rPr>
        <w:t>Handle retries, idempotency, timeouts, partial completion, and compensation.</w:t>
      </w:r>
    </w:p>
    <w:p>
      <w:pPr>
        <w:pStyle w:val="ListBullet"/>
        <w:keepNext/>
      </w:pPr>
      <w:r>
        <w:rPr>
          <w:b w:val="0"/>
        </w:rPr>
        <w:t>Place human review at defined decision points.</w:t>
      </w:r>
    </w:p>
    <w:p>
      <w:pPr>
        <w:pStyle w:val="ListBullet"/>
        <w:keepNext/>
      </w:pPr>
      <w:r>
        <w:rPr>
          <w:b w:val="0"/>
        </w:rPr>
        <w:t>Select model-driven decisions only where they provide measurable value.</w:t>
      </w:r>
    </w:p>
    <w:p>
      <w:pPr>
        <w:keepNext/>
      </w:pPr>
      <w:r>
        <w:rPr>
          <w:b/>
        </w:rPr>
        <w:t>Workshop:</w:t>
      </w:r>
      <w:r>
        <w:rPr>
          <w:b w:val="0"/>
        </w:rPr>
        <w:t xml:space="preserve"> Build a triage-to-draft workflow with review and restartable steps, using a simulated ticket service for mutations.</w:t>
      </w:r>
    </w:p>
    <w:p>
      <w:pPr>
        <w:keepNext/>
      </w:pPr>
      <w:r>
        <w:rPr>
          <w:b/>
        </w:rPr>
        <w:t>Failure exercise:</w:t>
      </w:r>
      <w:r>
        <w:rPr>
          <w:b w:val="0"/>
        </w:rPr>
        <w:t xml:space="preserve"> A service commits an action but the response times out; blindly retrying would duplicate the action.</w:t>
      </w:r>
    </w:p>
    <w:p>
      <w:pPr>
        <w:keepNext/>
      </w:pPr>
      <w:r>
        <w:rPr>
          <w:b/>
        </w:rPr>
        <w:t>Completion evidence:</w:t>
      </w:r>
      <w:r>
        <w:rPr>
          <w:b w:val="0"/>
        </w:rPr>
        <w:t xml:space="preserve"> Demonstrate interruption recovery, stable operation identifiers, and verified outcomes without duplicated side effects.</w:t>
      </w:r>
    </w:p>
    <w:p>
      <w:pPr>
        <w:keepNext w:val="0"/>
      </w:pPr>
      <w:r>
        <w:rPr>
          <w:b/>
        </w:rPr>
        <w:t>Further reading:</w:t>
      </w:r>
      <w:r>
        <w:rPr>
          <w:b w:val="0"/>
        </w:rPr>
        <w:t xml:space="preserve"> </w:t>
      </w:r>
      <w:hyperlink r:id="rId26">
        <w:r>
          <w:rPr>
            <w:color w:val="245A81"/>
          </w:rPr>
          <w:t>Building effective agents</w:t>
        </w:r>
      </w:hyperlink>
      <w:r>
        <w:rPr>
          <w:b w:val="0"/>
        </w:rPr>
        <w:t xml:space="preserve">; </w:t>
      </w:r>
      <w:hyperlink r:id="rId12">
        <w:r>
          <w:rPr>
            <w:color w:val="245A81"/>
          </w:rPr>
          <w:t>The Shift from Models to Compound AI Systems</w:t>
        </w:r>
      </w:hyperlink>
      <w:r>
        <w:rPr>
          <w:b w:val="0"/>
        </w:rPr>
        <w:t>.</w:t>
      </w:r>
    </w:p>
    <w:p>
      <w:pPr>
        <w:pStyle w:val="Heading3"/>
        <w:keepNext/>
      </w:pPr>
      <w:r>
        <w:t>Chapter 17 — Agent Loops and Harness Engineering</w:t>
      </w:r>
    </w:p>
    <w:p>
      <w:pPr>
        <w:keepNext/>
      </w:pPr>
      <w:r>
        <w:rPr>
          <w:b/>
        </w:rPr>
        <w:t>Page allocation:</w:t>
      </w:r>
      <w:r>
        <w:rPr>
          <w:b w:val="0"/>
        </w:rPr>
        <w:t xml:space="preserve"> 20. </w:t>
      </w:r>
      <w:r>
        <w:rPr>
          <w:b/>
        </w:rPr>
        <w:t>Prerequisites:</w:t>
      </w:r>
      <w:r>
        <w:rPr>
          <w:b w:val="0"/>
        </w:rPr>
        <w:t xml:space="preserve"> 16.</w:t>
      </w:r>
    </w:p>
    <w:p>
      <w:pPr>
        <w:keepNext/>
      </w:pPr>
      <w:r>
        <w:rPr>
          <w:b/>
        </w:rPr>
        <w:t>Software-engineering connection:</w:t>
      </w:r>
      <w:r>
        <w:rPr>
          <w:b w:val="0"/>
        </w:rPr>
        <w:t xml:space="preserve"> Runtime design expands to governing model-selected actions and resource consumption.</w:t>
      </w:r>
    </w:p>
    <w:p>
      <w:pPr>
        <w:keepNext/>
      </w:pPr>
      <w:r>
        <w:rPr>
          <w:b/>
        </w:rPr>
        <w:t>Topics and learning outcomes</w:t>
      </w:r>
    </w:p>
    <w:p>
      <w:pPr>
        <w:pStyle w:val="ListBullet"/>
        <w:keepNext/>
      </w:pPr>
      <w:r>
        <w:rPr>
          <w:b w:val="0"/>
        </w:rPr>
        <w:t>Explain the interaction among model, tools, observations, state, and stopping conditions.</w:t>
      </w:r>
    </w:p>
    <w:p>
      <w:pPr>
        <w:pStyle w:val="ListBullet"/>
        <w:keepNext/>
      </w:pPr>
      <w:r>
        <w:rPr>
          <w:b w:val="0"/>
        </w:rPr>
        <w:t>Define the harness's responsibility for execution, permissions, resources, and recovery.</w:t>
      </w:r>
    </w:p>
    <w:p>
      <w:pPr>
        <w:pStyle w:val="ListBullet"/>
        <w:keepNext/>
      </w:pPr>
      <w:r>
        <w:rPr>
          <w:b w:val="0"/>
        </w:rPr>
        <w:t>Introduce planning, replanning, bounded exploration, and escalation.</w:t>
      </w:r>
    </w:p>
    <w:p>
      <w:pPr>
        <w:pStyle w:val="ListBullet"/>
        <w:keepNext/>
      </w:pPr>
      <w:r>
        <w:rPr>
          <w:b w:val="0"/>
        </w:rPr>
        <w:t>Compare a bounded agent with the existing explicit workflow.</w:t>
      </w:r>
    </w:p>
    <w:p>
      <w:pPr>
        <w:keepNext/>
      </w:pPr>
      <w:r>
        <w:rPr>
          <w:b/>
        </w:rPr>
        <w:t>Workshop:</w:t>
      </w:r>
      <w:r>
        <w:rPr>
          <w:b w:val="0"/>
        </w:rPr>
        <w:t xml:space="preserve"> Build an investigation agent that can inspect approved documentation and ticket state, create a draft, and escalate unresolved work.</w:t>
      </w:r>
    </w:p>
    <w:p>
      <w:pPr>
        <w:keepNext/>
      </w:pPr>
      <w:r>
        <w:rPr>
          <w:b/>
        </w:rPr>
        <w:t>Failure exercise:</w:t>
      </w:r>
      <w:r>
        <w:rPr>
          <w:b w:val="0"/>
        </w:rPr>
        <w:t xml:space="preserve"> The agent loops after receiving no useful new evidence or attempts to act after exhausting its budget.</w:t>
      </w:r>
    </w:p>
    <w:p>
      <w:pPr>
        <w:keepNext/>
      </w:pPr>
      <w:r>
        <w:rPr>
          <w:b/>
        </w:rPr>
        <w:t>Completion evidence:</w:t>
      </w:r>
      <w:r>
        <w:rPr>
          <w:b w:val="0"/>
        </w:rPr>
        <w:t xml:space="preserve"> Enforce action, time, and spending limits in code and measure whether flexibility improves completion under comparable constraints.</w:t>
      </w:r>
    </w:p>
    <w:p>
      <w:pPr>
        <w:keepNext w:val="0"/>
      </w:pPr>
      <w:r>
        <w:rPr>
          <w:b/>
        </w:rPr>
        <w:t>Further reading:</w:t>
      </w:r>
      <w:r>
        <w:rPr>
          <w:b w:val="0"/>
        </w:rPr>
        <w:t xml:space="preserve"> </w:t>
      </w:r>
      <w:hyperlink r:id="rId26">
        <w:r>
          <w:rPr>
            <w:color w:val="245A81"/>
          </w:rPr>
          <w:t>Building effective agents</w:t>
        </w:r>
      </w:hyperlink>
      <w:r>
        <w:rPr>
          <w:b w:val="0"/>
        </w:rPr>
        <w:t xml:space="preserve">; </w:t>
      </w:r>
      <w:hyperlink r:id="rId18">
        <w:r>
          <w:rPr>
            <w:color w:val="245A81"/>
          </w:rPr>
          <w:t>Demystifying evals for AI agents</w:t>
        </w:r>
      </w:hyperlink>
      <w:r>
        <w:rPr>
          <w:b w:val="0"/>
        </w:rPr>
        <w:t>.</w:t>
      </w:r>
    </w:p>
    <w:p>
      <w:pPr>
        <w:pStyle w:val="Heading3"/>
        <w:keepNext/>
      </w:pPr>
      <w:r>
        <w:t>Chapter 18 — Long-Running Work and Multiple Agents</w:t>
      </w:r>
    </w:p>
    <w:p>
      <w:pPr>
        <w:keepNext/>
      </w:pPr>
      <w:r>
        <w:rPr>
          <w:b/>
        </w:rPr>
        <w:t>Page allocation:</w:t>
      </w:r>
      <w:r>
        <w:rPr>
          <w:b w:val="0"/>
        </w:rPr>
        <w:t xml:space="preserve"> 19. </w:t>
      </w:r>
      <w:r>
        <w:rPr>
          <w:b/>
        </w:rPr>
        <w:t>Prerequisites:</w:t>
      </w:r>
      <w:r>
        <w:rPr>
          <w:b w:val="0"/>
        </w:rPr>
        <w:t xml:space="preserve"> 17.</w:t>
      </w:r>
    </w:p>
    <w:p>
      <w:pPr>
        <w:keepNext/>
      </w:pPr>
      <w:r>
        <w:rPr>
          <w:b/>
        </w:rPr>
        <w:t>Software-engineering connection:</w:t>
      </w:r>
      <w:r>
        <w:rPr>
          <w:b w:val="0"/>
        </w:rPr>
        <w:t xml:space="preserve"> Checkpointing, concurrency, and ownership become essential for continuity and coordination.</w:t>
      </w:r>
    </w:p>
    <w:p>
      <w:pPr>
        <w:keepNext/>
      </w:pPr>
      <w:r>
        <w:rPr>
          <w:b/>
        </w:rPr>
        <w:t>Topics and learning outcomes</w:t>
      </w:r>
    </w:p>
    <w:p>
      <w:pPr>
        <w:pStyle w:val="ListBullet"/>
        <w:keepNext/>
      </w:pPr>
      <w:r>
        <w:rPr>
          <w:b w:val="0"/>
        </w:rPr>
        <w:t>Persist goals, progress, artifacts, and checkpoints across sessions.</w:t>
      </w:r>
    </w:p>
    <w:p>
      <w:pPr>
        <w:pStyle w:val="ListBullet"/>
        <w:keepNext/>
      </w:pPr>
      <w:r>
        <w:rPr>
          <w:b w:val="0"/>
        </w:rPr>
        <w:t>Reconstruct context and reconcile recorded progress with actual environment state.</w:t>
      </w:r>
    </w:p>
    <w:p>
      <w:pPr>
        <w:pStyle w:val="ListBullet"/>
        <w:keepNext/>
      </w:pPr>
      <w:r>
        <w:rPr>
          <w:b w:val="0"/>
        </w:rPr>
        <w:t>Evaluate delegation, parallel research, specialization, and shared-state coordination.</w:t>
      </w:r>
    </w:p>
    <w:p>
      <w:pPr>
        <w:pStyle w:val="ListBullet"/>
        <w:keepNext/>
      </w:pPr>
      <w:r>
        <w:rPr>
          <w:b w:val="0"/>
        </w:rPr>
        <w:t>Diagnose duplicated work, conflicting results, communication overhead, and cascading failures.</w:t>
      </w:r>
    </w:p>
    <w:p>
      <w:pPr>
        <w:keepNext/>
      </w:pPr>
      <w:r>
        <w:rPr>
          <w:b/>
        </w:rPr>
        <w:t>Workshop:</w:t>
      </w:r>
      <w:r>
        <w:rPr>
          <w:b w:val="0"/>
        </w:rPr>
        <w:t xml:space="preserve"> Resume a stopped investigation and compare a single investigator with bounded delegated research under the same total resource budget.</w:t>
      </w:r>
    </w:p>
    <w:p>
      <w:pPr>
        <w:keepNext/>
      </w:pPr>
      <w:r>
        <w:rPr>
          <w:b/>
        </w:rPr>
        <w:t>Failure exercise:</w:t>
      </w:r>
      <w:r>
        <w:rPr>
          <w:b w:val="0"/>
        </w:rPr>
        <w:t xml:space="preserve"> Two workers duplicate a task or a resumed agent trusts a progress note that conflicts with the actual ticket state.</w:t>
      </w:r>
    </w:p>
    <w:p>
      <w:pPr>
        <w:keepNext/>
      </w:pPr>
      <w:r>
        <w:rPr>
          <w:b/>
        </w:rPr>
        <w:t>Completion evidence:</w:t>
      </w:r>
      <w:r>
        <w:rPr>
          <w:b w:val="0"/>
        </w:rPr>
        <w:t xml:space="preserve"> Recover coherently, resolve conflicting work, and report both task outcomes and coordination overhead without assuming delegation is superior.</w:t>
      </w:r>
    </w:p>
    <w:p>
      <w:pPr>
        <w:keepNext w:val="0"/>
      </w:pPr>
      <w:r>
        <w:rPr>
          <w:b/>
        </w:rPr>
        <w:t>Further reading:</w:t>
      </w:r>
      <w:r>
        <w:rPr>
          <w:b w:val="0"/>
        </w:rPr>
        <w:t xml:space="preserve"> </w:t>
      </w:r>
      <w:hyperlink r:id="rId28">
        <w:r>
          <w:rPr>
            <w:color w:val="245A81"/>
          </w:rPr>
          <w:t>Effective harnesses for long-running agents</w:t>
        </w:r>
      </w:hyperlink>
      <w:r>
        <w:rPr>
          <w:b w:val="0"/>
        </w:rPr>
        <w:t xml:space="preserve">; </w:t>
      </w:r>
      <w:hyperlink r:id="rId27">
        <w:r>
          <w:rPr>
            <w:color w:val="245A81"/>
          </w:rPr>
          <w:t>How we built our multi-agent research system</w:t>
        </w:r>
      </w:hyperlink>
      <w:r>
        <w:rPr>
          <w:b w:val="0"/>
        </w:rPr>
        <w:t>.</w:t>
      </w:r>
    </w:p>
    <w:p>
      <w:pPr>
        <w:pStyle w:val="Heading3"/>
        <w:keepNext/>
      </w:pPr>
      <w:r>
        <w:t>Chapter 19 — Evaluating Agents and Verifying Actions</w:t>
      </w:r>
    </w:p>
    <w:p>
      <w:pPr>
        <w:keepNext/>
      </w:pPr>
      <w:r>
        <w:rPr>
          <w:b/>
        </w:rPr>
        <w:t>Page allocation:</w:t>
      </w:r>
      <w:r>
        <w:rPr>
          <w:b w:val="0"/>
        </w:rPr>
        <w:t xml:space="preserve"> 16. </w:t>
      </w:r>
      <w:r>
        <w:rPr>
          <w:b/>
        </w:rPr>
        <w:t>Prerequisites:</w:t>
      </w:r>
      <w:r>
        <w:rPr>
          <w:b w:val="0"/>
        </w:rPr>
        <w:t xml:space="preserve"> 9, 18.</w:t>
      </w:r>
    </w:p>
    <w:p>
      <w:pPr>
        <w:keepNext/>
      </w:pPr>
      <w:r>
        <w:rPr>
          <w:b/>
        </w:rPr>
        <w:t>Software-engineering connection:</w:t>
      </w:r>
      <w:r>
        <w:rPr>
          <w:b w:val="0"/>
        </w:rPr>
        <w:t xml:space="preserve"> End-to-end tests expand to repeated trials and inspection of external outcomes.</w:t>
      </w:r>
    </w:p>
    <w:p>
      <w:pPr>
        <w:keepNext/>
      </w:pPr>
      <w:r>
        <w:rPr>
          <w:b/>
        </w:rPr>
        <w:t>Topics and learning outcomes</w:t>
      </w:r>
    </w:p>
    <w:p>
      <w:pPr>
        <w:pStyle w:val="ListBullet"/>
        <w:keepNext/>
      </w:pPr>
      <w:r>
        <w:rPr>
          <w:b w:val="0"/>
        </w:rPr>
        <w:t>Measure completion, prohibited actions, resource use, and consistency across trials.</w:t>
      </w:r>
    </w:p>
    <w:p>
      <w:pPr>
        <w:pStyle w:val="ListBullet"/>
        <w:keepNext/>
      </w:pPr>
      <w:r>
        <w:rPr>
          <w:b w:val="0"/>
        </w:rPr>
        <w:t>Distinguish useful trajectory inspection from unnecessarily prescribing every step.</w:t>
      </w:r>
    </w:p>
    <w:p>
      <w:pPr>
        <w:pStyle w:val="ListBullet"/>
        <w:keepNext/>
      </w:pPr>
      <w:r>
        <w:rPr>
          <w:b w:val="0"/>
        </w:rPr>
        <w:t>Verify actual database or environment changes independently of the agent's narration.</w:t>
      </w:r>
    </w:p>
    <w:p>
      <w:pPr>
        <w:pStyle w:val="ListBullet"/>
        <w:keepNext/>
      </w:pPr>
      <w:r>
        <w:rPr>
          <w:b w:val="0"/>
        </w:rPr>
        <w:t>Build isolated test environments and examine simulator and grader limitations.</w:t>
      </w:r>
    </w:p>
    <w:p>
      <w:pPr>
        <w:keepNext/>
      </w:pPr>
      <w:r>
        <w:rPr>
          <w:b/>
        </w:rPr>
        <w:t>Workshop:</w:t>
      </w:r>
      <w:r>
        <w:rPr>
          <w:b w:val="0"/>
        </w:rPr>
        <w:t xml:space="preserve"> Run isolated agent trials with outcome checks, authorization checks, and a calibrated communication rubric.</w:t>
      </w:r>
    </w:p>
    <w:p>
      <w:pPr>
        <w:keepNext/>
      </w:pPr>
      <w:r>
        <w:rPr>
          <w:b/>
        </w:rPr>
        <w:t>Failure exercise:</w:t>
      </w:r>
      <w:r>
        <w:rPr>
          <w:b w:val="0"/>
        </w:rPr>
        <w:t xml:space="preserve"> An agent reports success without changing state; another achieves the requested state through an unauthorized action.</w:t>
      </w:r>
    </w:p>
    <w:p>
      <w:pPr>
        <w:keepNext/>
      </w:pPr>
      <w:r>
        <w:rPr>
          <w:b/>
        </w:rPr>
        <w:t>Completion evidence:</w:t>
      </w:r>
      <w:r>
        <w:rPr>
          <w:b w:val="0"/>
        </w:rPr>
        <w:t xml:space="preserve"> Detect both failures and distinguish first-attempt success, success with retries, and consistency across trials.</w:t>
      </w:r>
    </w:p>
    <w:p>
      <w:pPr>
        <w:keepNext w:val="0"/>
      </w:pPr>
      <w:r>
        <w:rPr>
          <w:b/>
        </w:rPr>
        <w:t>Further reading:</w:t>
      </w:r>
      <w:r>
        <w:rPr>
          <w:b w:val="0"/>
        </w:rPr>
        <w:t xml:space="preserve"> </w:t>
      </w:r>
      <w:hyperlink r:id="rId18">
        <w:r>
          <w:rPr>
            <w:color w:val="245A81"/>
          </w:rPr>
          <w:t>Demystifying evals for AI agents</w:t>
        </w:r>
      </w:hyperlink>
      <w:r>
        <w:rPr>
          <w:b w:val="0"/>
        </w:rPr>
        <w:t xml:space="preserve">; </w:t>
      </w:r>
      <w:hyperlink r:id="rId19">
        <w:r>
          <w:rPr>
            <w:color w:val="245A81"/>
          </w:rPr>
          <w:t>Judging LLM-as-a-Judge with MT-Bench and Chatbot Arena</w:t>
        </w:r>
      </w:hyperlink>
      <w:r>
        <w:rPr>
          <w:b w:val="0"/>
        </w:rPr>
        <w:t>.</w:t>
      </w:r>
    </w:p>
    <w:p>
      <w:pPr>
        <w:pStyle w:val="Heading2"/>
      </w:pPr>
      <w:r>
        <w:t>Part 6 — Adapting models and expanding capabilities</w:t>
      </w:r>
    </w:p>
    <w:p>
      <w:pPr>
        <w:keepNext/>
      </w:pPr>
      <w:r>
        <w:rPr>
          <w:b w:val="0"/>
        </w:rPr>
        <w:t>Estimated main text: 60 pages.</w:t>
      </w:r>
    </w:p>
    <w:p>
      <w:pPr>
        <w:pStyle w:val="Heading3"/>
        <w:keepNext/>
      </w:pPr>
      <w:r>
        <w:t>Chapter 20 — Fine-Tuning, Distillation, and Model Adaptation</w:t>
      </w:r>
    </w:p>
    <w:p>
      <w:pPr>
        <w:keepNext/>
      </w:pPr>
      <w:r>
        <w:rPr>
          <w:b/>
        </w:rPr>
        <w:t>Page allocation:</w:t>
      </w:r>
      <w:r>
        <w:rPr>
          <w:b w:val="0"/>
        </w:rPr>
        <w:t xml:space="preserve"> 22. </w:t>
      </w:r>
      <w:r>
        <w:rPr>
          <w:b/>
        </w:rPr>
        <w:t>Prerequisites:</w:t>
      </w:r>
      <w:r>
        <w:rPr>
          <w:b w:val="0"/>
        </w:rPr>
        <w:t xml:space="preserve"> 5, 9, 10.</w:t>
      </w:r>
    </w:p>
    <w:p>
      <w:pPr>
        <w:keepNext/>
      </w:pPr>
      <w:r>
        <w:rPr>
          <w:b/>
        </w:rPr>
        <w:t>Software-engineering connection:</w:t>
      </w:r>
      <w:r>
        <w:rPr>
          <w:b w:val="0"/>
        </w:rPr>
        <w:t xml:space="preserve"> Controlled releases and data discipline govern changes to model parameters.</w:t>
      </w:r>
    </w:p>
    <w:p>
      <w:pPr>
        <w:keepNext/>
      </w:pPr>
      <w:r>
        <w:rPr>
          <w:b/>
        </w:rPr>
        <w:t>Topics and learning outcomes</w:t>
      </w:r>
    </w:p>
    <w:p>
      <w:pPr>
        <w:pStyle w:val="ListBullet"/>
        <w:keepNext/>
      </w:pPr>
      <w:r>
        <w:rPr>
          <w:b w:val="0"/>
        </w:rPr>
        <w:t>Determine whether an observed problem justifies changing model parameters.</w:t>
      </w:r>
    </w:p>
    <w:p>
      <w:pPr>
        <w:pStyle w:val="ListBullet"/>
        <w:keepNext/>
      </w:pPr>
      <w:r>
        <w:rPr>
          <w:b w:val="0"/>
        </w:rPr>
        <w:t>Prepare adaptation data and protect independent evaluation.</w:t>
      </w:r>
    </w:p>
    <w:p>
      <w:pPr>
        <w:pStyle w:val="ListBullet"/>
        <w:keepNext/>
      </w:pPr>
      <w:r>
        <w:rPr>
          <w:b w:val="0"/>
        </w:rPr>
        <w:t>Explain supervised fine-tuning, parameter-efficient adaptation, distillation, and preference-based methods.</w:t>
      </w:r>
    </w:p>
    <w:p>
      <w:pPr>
        <w:pStyle w:val="ListBullet"/>
        <w:keepNext/>
      </w:pPr>
      <w:r>
        <w:rPr>
          <w:b w:val="0"/>
        </w:rPr>
        <w:t>Measure improvements alongside regressions, maintenance burden, and operational cost.</w:t>
      </w:r>
    </w:p>
    <w:p>
      <w:pPr>
        <w:keepNext/>
      </w:pPr>
      <w:r>
        <w:rPr>
          <w:b/>
        </w:rPr>
        <w:t>Workshop:</w:t>
      </w:r>
      <w:r>
        <w:rPr>
          <w:b w:val="0"/>
        </w:rPr>
        <w:t xml:space="preserve"> Adapt a small model for one support task or analyze supplied reproducible experiment records, comparing it with prompting and the original model.</w:t>
      </w:r>
    </w:p>
    <w:p>
      <w:pPr>
        <w:keepNext/>
      </w:pPr>
      <w:r>
        <w:rPr>
          <w:b/>
        </w:rPr>
        <w:t>Failure exercise:</w:t>
      </w:r>
      <w:r>
        <w:rPr>
          <w:b w:val="0"/>
        </w:rPr>
        <w:t xml:space="preserve"> Task-specific accuracy improves while unsupported answers increase or training examples leak into evaluation.</w:t>
      </w:r>
    </w:p>
    <w:p>
      <w:pPr>
        <w:keepNext/>
      </w:pPr>
      <w:r>
        <w:rPr>
          <w:b/>
        </w:rPr>
        <w:t>Completion evidence:</w:t>
      </w:r>
      <w:r>
        <w:rPr>
          <w:b w:val="0"/>
        </w:rPr>
        <w:t xml:space="preserve"> Defend adoption or rejection using independent results and maintenance costs; distinguish executed training from analysis of recorded results.</w:t>
      </w:r>
    </w:p>
    <w:p>
      <w:pPr>
        <w:keepNext w:val="0"/>
      </w:pPr>
      <w:r>
        <w:rPr>
          <w:b/>
        </w:rPr>
        <w:t>Further reading:</w:t>
      </w:r>
      <w:r>
        <w:rPr>
          <w:b w:val="0"/>
        </w:rPr>
        <w:t xml:space="preserve"> </w:t>
      </w:r>
      <w:hyperlink r:id="rId29">
        <w:r>
          <w:rPr>
            <w:color w:val="245A81"/>
          </w:rPr>
          <w:t>LoRA: Low-Rank Adaptation of Large Language Models</w:t>
        </w:r>
      </w:hyperlink>
      <w:r>
        <w:rPr>
          <w:b w:val="0"/>
        </w:rPr>
        <w:t xml:space="preserve">; </w:t>
      </w:r>
      <w:hyperlink r:id="rId15">
        <w:r>
          <w:rPr>
            <w:color w:val="245A81"/>
          </w:rPr>
          <w:t>CS336 Language Modeling from Scratch</w:t>
        </w:r>
      </w:hyperlink>
      <w:r>
        <w:rPr>
          <w:b w:val="0"/>
        </w:rPr>
        <w:t xml:space="preserve">; </w:t>
      </w:r>
      <w:hyperlink r:id="rId13">
        <w:r>
          <w:rPr>
            <w:color w:val="245A81"/>
          </w:rPr>
          <w:t>AI Engineering book and other resources</w:t>
        </w:r>
      </w:hyperlink>
      <w:r>
        <w:rPr>
          <w:b w:val="0"/>
        </w:rPr>
        <w:t>.</w:t>
      </w:r>
    </w:p>
    <w:p>
      <w:pPr>
        <w:pStyle w:val="Heading3"/>
        <w:keepNext/>
      </w:pPr>
      <w:r>
        <w:t>Chapter 21 — Inference and Hosting Fundamentals</w:t>
      </w:r>
    </w:p>
    <w:p>
      <w:pPr>
        <w:keepNext/>
      </w:pPr>
      <w:r>
        <w:rPr>
          <w:b/>
        </w:rPr>
        <w:t>Page allocation:</w:t>
      </w:r>
      <w:r>
        <w:rPr>
          <w:b w:val="0"/>
        </w:rPr>
        <w:t xml:space="preserve"> 20. </w:t>
      </w:r>
      <w:r>
        <w:rPr>
          <w:b/>
        </w:rPr>
        <w:t>Prerequisites:</w:t>
      </w:r>
      <w:r>
        <w:rPr>
          <w:b w:val="0"/>
        </w:rPr>
        <w:t xml:space="preserve"> 6, 10, 20.</w:t>
      </w:r>
    </w:p>
    <w:p>
      <w:pPr>
        <w:keepNext/>
      </w:pPr>
      <w:r>
        <w:rPr>
          <w:b/>
        </w:rPr>
        <w:t>Software-engineering connection:</w:t>
      </w:r>
      <w:r>
        <w:rPr>
          <w:b w:val="0"/>
        </w:rPr>
        <w:t xml:space="preserve"> Capacity planning and profiling apply to model memory and token generation.</w:t>
      </w:r>
    </w:p>
    <w:p>
      <w:pPr>
        <w:keepNext/>
      </w:pPr>
      <w:r>
        <w:rPr>
          <w:b/>
        </w:rPr>
        <w:t>Topics and learning outcomes</w:t>
      </w:r>
    </w:p>
    <w:p>
      <w:pPr>
        <w:pStyle w:val="ListBullet"/>
        <w:keepNext/>
      </w:pPr>
      <w:r>
        <w:rPr>
          <w:b w:val="0"/>
        </w:rPr>
        <w:t>Explain memory requirements, numerical precision, quantization, and hardware constraints.</w:t>
      </w:r>
    </w:p>
    <w:p>
      <w:pPr>
        <w:pStyle w:val="ListBullet"/>
        <w:keepNext/>
      </w:pPr>
      <w:r>
        <w:rPr>
          <w:b w:val="0"/>
        </w:rPr>
        <w:t>Introduce prefill, decoding, caching, batching, throughput, and tail latency.</w:t>
      </w:r>
    </w:p>
    <w:p>
      <w:pPr>
        <w:pStyle w:val="ListBullet"/>
        <w:keepNext/>
      </w:pPr>
      <w:r>
        <w:rPr>
          <w:b w:val="0"/>
        </w:rPr>
        <w:t>Compare managed inference with operating available model weights.</w:t>
      </w:r>
    </w:p>
    <w:p>
      <w:pPr>
        <w:pStyle w:val="ListBullet"/>
        <w:keepNext/>
      </w:pPr>
      <w:r>
        <w:rPr>
          <w:b w:val="0"/>
        </w:rPr>
        <w:t>Profile the actual workload before selecting optimizations.</w:t>
      </w:r>
    </w:p>
    <w:p>
      <w:pPr>
        <w:keepNext/>
      </w:pPr>
      <w:r>
        <w:rPr>
          <w:b/>
        </w:rPr>
        <w:t>Workshop:</w:t>
      </w:r>
      <w:r>
        <w:rPr>
          <w:b w:val="0"/>
        </w:rPr>
        <w:t xml:space="preserve"> Benchmark a small model or a supplied deployment environment across input lengths and concurrency levels, retaining quality checks.</w:t>
      </w:r>
    </w:p>
    <w:p>
      <w:pPr>
        <w:keepNext/>
      </w:pPr>
      <w:r>
        <w:rPr>
          <w:b/>
        </w:rPr>
        <w:t>Failure exercise:</w:t>
      </w:r>
      <w:r>
        <w:rPr>
          <w:b w:val="0"/>
        </w:rPr>
        <w:t xml:space="preserve"> A configuration improves throughput while making interactive tail latency unacceptable, or reduces memory at the expense of task quality.</w:t>
      </w:r>
    </w:p>
    <w:p>
      <w:pPr>
        <w:keepNext/>
      </w:pPr>
      <w:r>
        <w:rPr>
          <w:b/>
        </w:rPr>
        <w:t>Completion evidence:</w:t>
      </w:r>
      <w:r>
        <w:rPr>
          <w:b w:val="0"/>
        </w:rPr>
        <w:t xml:space="preserve"> Identify the limiting resource and justify a deployment configuration with measured tradeoffs and clear hardware assumptions.</w:t>
      </w:r>
    </w:p>
    <w:p>
      <w:pPr>
        <w:keepNext w:val="0"/>
      </w:pPr>
      <w:r>
        <w:rPr>
          <w:b/>
        </w:rPr>
        <w:t>Further reading:</w:t>
      </w:r>
      <w:r>
        <w:rPr>
          <w:b w:val="0"/>
        </w:rPr>
        <w:t xml:space="preserve"> </w:t>
      </w:r>
      <w:hyperlink r:id="rId15">
        <w:r>
          <w:rPr>
            <w:color w:val="245A81"/>
          </w:rPr>
          <w:t>CS336 Language Modeling from Scratch</w:t>
        </w:r>
      </w:hyperlink>
      <w:r>
        <w:rPr>
          <w:b w:val="0"/>
        </w:rPr>
        <w:t xml:space="preserve">; </w:t>
      </w:r>
      <w:hyperlink r:id="rId34">
        <w:r>
          <w:rPr>
            <w:color w:val="245A81"/>
          </w:rPr>
          <w:t>A postmortem of three recent issues</w:t>
        </w:r>
      </w:hyperlink>
      <w:r>
        <w:rPr>
          <w:b w:val="0"/>
        </w:rPr>
        <w:t>.</w:t>
      </w:r>
    </w:p>
    <w:p>
      <w:pPr>
        <w:pStyle w:val="Heading3"/>
        <w:keepNext/>
      </w:pPr>
      <w:r>
        <w:t>Chapter 22 — Multimodal Systems: Documents, Images, Audio, and Video</w:t>
      </w:r>
    </w:p>
    <w:p>
      <w:pPr>
        <w:keepNext/>
      </w:pPr>
      <w:r>
        <w:rPr>
          <w:b/>
        </w:rPr>
        <w:t>Page allocation:</w:t>
      </w:r>
      <w:r>
        <w:rPr>
          <w:b w:val="0"/>
        </w:rPr>
        <w:t xml:space="preserve"> 18. </w:t>
      </w:r>
      <w:r>
        <w:rPr>
          <w:b/>
        </w:rPr>
        <w:t>Prerequisites:</w:t>
      </w:r>
      <w:r>
        <w:rPr>
          <w:b w:val="0"/>
        </w:rPr>
        <w:t xml:space="preserve"> 6, 9, 13.</w:t>
      </w:r>
    </w:p>
    <w:p>
      <w:pPr>
        <w:keepNext/>
      </w:pPr>
      <w:r>
        <w:rPr>
          <w:b/>
        </w:rPr>
        <w:t>Software-engineering connection:</w:t>
      </w:r>
      <w:r>
        <w:rPr>
          <w:b w:val="0"/>
        </w:rPr>
        <w:t xml:space="preserve"> Media pipelines introduce new input quality, alignment, and evaluation responsibilities.</w:t>
      </w:r>
    </w:p>
    <w:p>
      <w:pPr>
        <w:keepNext/>
      </w:pPr>
      <w:r>
        <w:rPr>
          <w:b/>
        </w:rPr>
        <w:t>Topics and learning outcomes</w:t>
      </w:r>
    </w:p>
    <w:p>
      <w:pPr>
        <w:pStyle w:val="ListBullet"/>
        <w:keepNext/>
      </w:pPr>
      <w:r>
        <w:rPr>
          <w:b w:val="0"/>
        </w:rPr>
        <w:t>Extend the application to screenshots, scanned documents, and recorded support messages.</w:t>
      </w:r>
    </w:p>
    <w:p>
      <w:pPr>
        <w:pStyle w:val="ListBullet"/>
        <w:keepNext/>
      </w:pPr>
      <w:r>
        <w:rPr>
          <w:b w:val="0"/>
        </w:rPr>
        <w:t>Compare direct multimodal processing with OCR, transcription, and specialist components.</w:t>
      </w:r>
    </w:p>
    <w:p>
      <w:pPr>
        <w:pStyle w:val="ListBullet"/>
        <w:keepNext/>
      </w:pPr>
      <w:r>
        <w:rPr>
          <w:b w:val="0"/>
        </w:rPr>
        <w:t>Handle temporal alignment, missing modalities, image quality, and streaming interactions.</w:t>
      </w:r>
    </w:p>
    <w:p>
      <w:pPr>
        <w:pStyle w:val="ListBullet"/>
        <w:keepNext/>
      </w:pPr>
      <w:r>
        <w:rPr>
          <w:b w:val="0"/>
        </w:rPr>
        <w:t>Introduce generated media, provenance, consent, and modality-specific evaluation.</w:t>
      </w:r>
    </w:p>
    <w:p>
      <w:pPr>
        <w:keepNext/>
      </w:pPr>
      <w:r>
        <w:rPr>
          <w:b/>
        </w:rPr>
        <w:t>Workshop:</w:t>
      </w:r>
      <w:r>
        <w:rPr>
          <w:b w:val="0"/>
        </w:rPr>
        <w:t xml:space="preserve"> Build a document-understanding extension; use a separate audio exercise to examine transcription and timing errors. Keep advanced video work in companion material.</w:t>
      </w:r>
    </w:p>
    <w:p>
      <w:pPr>
        <w:keepNext/>
      </w:pPr>
      <w:r>
        <w:rPr>
          <w:b/>
        </w:rPr>
        <w:t>Failure exercise:</w:t>
      </w:r>
      <w:r>
        <w:rPr>
          <w:b w:val="0"/>
        </w:rPr>
        <w:t xml:space="preserve"> A text shortcut makes an image benchmark look successful even though the model ignores the image; a scan obscures a critical qualifier.</w:t>
      </w:r>
    </w:p>
    <w:p>
      <w:pPr>
        <w:keepNext/>
      </w:pPr>
      <w:r>
        <w:rPr>
          <w:b/>
        </w:rPr>
        <w:t>Completion evidence:</w:t>
      </w:r>
      <w:r>
        <w:rPr>
          <w:b w:val="0"/>
        </w:rPr>
        <w:t xml:space="preserve"> Evaluate cases that require visual evidence, identify modality-specific errors, and trace output claims to the correct page, region, or time interval.</w:t>
      </w:r>
    </w:p>
    <w:p>
      <w:pPr>
        <w:keepNext w:val="0"/>
      </w:pPr>
      <w:r>
        <w:rPr>
          <w:b/>
        </w:rPr>
        <w:t>Further reading:</w:t>
      </w:r>
      <w:r>
        <w:rPr>
          <w:b w:val="0"/>
        </w:rPr>
        <w:t xml:space="preserve"> </w:t>
      </w:r>
      <w:hyperlink r:id="rId30">
        <w:r>
          <w:rPr>
            <w:color w:val="245A81"/>
          </w:rPr>
          <w:t>MMMU-Pro: A More Robust Multi-discipline Multimodal Understanding Benchmark</w:t>
        </w:r>
      </w:hyperlink>
      <w:r>
        <w:rPr>
          <w:b w:val="0"/>
        </w:rPr>
        <w:t xml:space="preserve">; </w:t>
      </w:r>
      <w:hyperlink r:id="rId32">
        <w:r>
          <w:rPr>
            <w:color w:val="245A81"/>
          </w:rPr>
          <w:t>Artificial Intelligence Risk Management Framework: Generative Artificial Intelligence Profile</w:t>
        </w:r>
      </w:hyperlink>
      <w:r>
        <w:rPr>
          <w:b w:val="0"/>
        </w:rPr>
        <w:t>.</w:t>
      </w:r>
    </w:p>
    <w:p>
      <w:pPr>
        <w:pStyle w:val="Heading2"/>
      </w:pPr>
      <w:r>
        <w:t>Part 7 — Operating dependable AI systems</w:t>
      </w:r>
    </w:p>
    <w:p>
      <w:pPr>
        <w:keepNext/>
      </w:pPr>
      <w:r>
        <w:rPr>
          <w:b w:val="0"/>
        </w:rPr>
        <w:t>Estimated main text: 80 pages.</w:t>
      </w:r>
    </w:p>
    <w:p>
      <w:pPr>
        <w:pStyle w:val="Heading3"/>
        <w:keepNext/>
      </w:pPr>
      <w:r>
        <w:t>Chapter 23 — Security and Trust Boundaries</w:t>
      </w:r>
    </w:p>
    <w:p>
      <w:pPr>
        <w:keepNext/>
      </w:pPr>
      <w:r>
        <w:rPr>
          <w:b/>
        </w:rPr>
        <w:t>Page allocation:</w:t>
      </w:r>
      <w:r>
        <w:rPr>
          <w:b w:val="0"/>
        </w:rPr>
        <w:t xml:space="preserve"> 18. </w:t>
      </w:r>
      <w:r>
        <w:rPr>
          <w:b/>
        </w:rPr>
        <w:t>Prerequisites:</w:t>
      </w:r>
      <w:r>
        <w:rPr>
          <w:b w:val="0"/>
        </w:rPr>
        <w:t xml:space="preserve"> 15, 19.</w:t>
      </w:r>
    </w:p>
    <w:p>
      <w:pPr>
        <w:keepNext/>
      </w:pPr>
      <w:r>
        <w:rPr>
          <w:b/>
        </w:rPr>
        <w:t>Software-engineering connection:</w:t>
      </w:r>
      <w:r>
        <w:rPr>
          <w:b w:val="0"/>
        </w:rPr>
        <w:t xml:space="preserve"> Threat modeling and defense in depth extend across model-visible content and tool execution.</w:t>
      </w:r>
    </w:p>
    <w:p>
      <w:pPr>
        <w:keepNext/>
      </w:pPr>
      <w:r>
        <w:rPr>
          <w:b/>
        </w:rPr>
        <w:t>Topics and learning outcomes</w:t>
      </w:r>
    </w:p>
    <w:p>
      <w:pPr>
        <w:pStyle w:val="ListBullet"/>
        <w:keepNext/>
      </w:pPr>
      <w:r>
        <w:rPr>
          <w:b w:val="0"/>
        </w:rPr>
        <w:t>Threat-model prompts, retrieved documents, tool responses, dependencies, and generated outputs.</w:t>
      </w:r>
    </w:p>
    <w:p>
      <w:pPr>
        <w:pStyle w:val="ListBullet"/>
        <w:keepNext/>
      </w:pPr>
      <w:r>
        <w:rPr>
          <w:b w:val="0"/>
        </w:rPr>
        <w:t>Address injection, information disclosure, unsafe output handling, excessive authority, and resource exhaustion.</w:t>
      </w:r>
    </w:p>
    <w:p>
      <w:pPr>
        <w:pStyle w:val="ListBullet"/>
        <w:keepNext/>
      </w:pPr>
      <w:r>
        <w:rPr>
          <w:b w:val="0"/>
        </w:rPr>
        <w:t>Apply isolation, least privilege, secret protection, egress controls, and output validation.</w:t>
      </w:r>
    </w:p>
    <w:p>
      <w:pPr>
        <w:pStyle w:val="ListBullet"/>
        <w:keepNext/>
      </w:pPr>
      <w:r>
        <w:rPr>
          <w:b w:val="0"/>
        </w:rPr>
        <w:t>Test defenses against realistic application-level attacks.</w:t>
      </w:r>
    </w:p>
    <w:p>
      <w:pPr>
        <w:keepNext/>
      </w:pPr>
      <w:r>
        <w:rPr>
          <w:b/>
        </w:rPr>
        <w:t>Workshop:</w:t>
      </w:r>
      <w:r>
        <w:rPr>
          <w:b w:val="0"/>
        </w:rPr>
        <w:t xml:space="preserve"> Attack and harden the fictional support service with malicious documents, cross-tenant requests, and unsafe output handling cases.</w:t>
      </w:r>
    </w:p>
    <w:p>
      <w:pPr>
        <w:keepNext/>
      </w:pPr>
      <w:r>
        <w:rPr>
          <w:b/>
        </w:rPr>
        <w:t>Failure exercise:</w:t>
      </w:r>
      <w:r>
        <w:rPr>
          <w:b w:val="0"/>
        </w:rPr>
        <w:t xml:space="preserve"> A retrieved article instructs the agent to disclose private ticket content through an external tool.</w:t>
      </w:r>
    </w:p>
    <w:p>
      <w:pPr>
        <w:keepNext/>
      </w:pPr>
      <w:r>
        <w:rPr>
          <w:b/>
        </w:rPr>
        <w:t>Completion evidence:</w:t>
      </w:r>
      <w:r>
        <w:rPr>
          <w:b w:val="0"/>
        </w:rPr>
        <w:t xml:space="preserve"> Show which attacks are prevented by enforced boundaries, record residual risks, and avoid claiming that finite testing proves immunity.</w:t>
      </w:r>
    </w:p>
    <w:p>
      <w:pPr>
        <w:keepNext w:val="0"/>
      </w:pPr>
      <w:r>
        <w:rPr>
          <w:b/>
        </w:rPr>
        <w:t>Further reading:</w:t>
      </w:r>
      <w:r>
        <w:rPr>
          <w:b w:val="0"/>
        </w:rPr>
        <w:t xml:space="preserve"> </w:t>
      </w:r>
      <w:hyperlink r:id="rId31">
        <w:r>
          <w:rPr>
            <w:color w:val="245A81"/>
          </w:rPr>
          <w:t>OWASP GenAI LLM Top 10 2026</w:t>
        </w:r>
      </w:hyperlink>
      <w:r>
        <w:rPr>
          <w:b w:val="0"/>
        </w:rPr>
        <w:t xml:space="preserve">; </w:t>
      </w:r>
      <w:hyperlink r:id="rId32">
        <w:r>
          <w:rPr>
            <w:color w:val="245A81"/>
          </w:rPr>
          <w:t>Artificial Intelligence Risk Management Framework: Generative Artificial Intelligence Profile</w:t>
        </w:r>
      </w:hyperlink>
      <w:r>
        <w:rPr>
          <w:b w:val="0"/>
        </w:rPr>
        <w:t>.</w:t>
      </w:r>
    </w:p>
    <w:p>
      <w:pPr>
        <w:pStyle w:val="Heading3"/>
        <w:keepNext/>
      </w:pPr>
      <w:r>
        <w:t>Chapter 24 — Human Interaction and Responsible Product Design</w:t>
      </w:r>
    </w:p>
    <w:p>
      <w:pPr>
        <w:keepNext/>
      </w:pPr>
      <w:r>
        <w:rPr>
          <w:b/>
        </w:rPr>
        <w:t>Page allocation:</w:t>
      </w:r>
      <w:r>
        <w:rPr>
          <w:b w:val="0"/>
        </w:rPr>
        <w:t xml:space="preserve"> 16. </w:t>
      </w:r>
      <w:r>
        <w:rPr>
          <w:b/>
        </w:rPr>
        <w:t>Prerequisites:</w:t>
      </w:r>
      <w:r>
        <w:rPr>
          <w:b w:val="0"/>
        </w:rPr>
        <w:t xml:space="preserve"> 2, 19, 23.</w:t>
      </w:r>
    </w:p>
    <w:p>
      <w:pPr>
        <w:keepNext/>
      </w:pPr>
      <w:r>
        <w:rPr>
          <w:b/>
        </w:rPr>
        <w:t>Software-engineering connection:</w:t>
      </w:r>
      <w:r>
        <w:rPr>
          <w:b w:val="0"/>
        </w:rPr>
        <w:t xml:space="preserve"> User experience and accountability become part of the system's error-handling design.</w:t>
      </w:r>
    </w:p>
    <w:p>
      <w:pPr>
        <w:keepNext/>
      </w:pPr>
      <w:r>
        <w:rPr>
          <w:b/>
        </w:rPr>
        <w:t>Topics and learning outcomes</w:t>
      </w:r>
    </w:p>
    <w:p>
      <w:pPr>
        <w:pStyle w:val="ListBullet"/>
        <w:keepNext/>
      </w:pPr>
      <w:r>
        <w:rPr>
          <w:b w:val="0"/>
        </w:rPr>
        <w:t>Communicate capabilities and limitations in ways that help users act.</w:t>
      </w:r>
    </w:p>
    <w:p>
      <w:pPr>
        <w:pStyle w:val="ListBullet"/>
        <w:keepNext/>
      </w:pPr>
      <w:r>
        <w:rPr>
          <w:b w:val="0"/>
        </w:rPr>
        <w:t>Support correction, dismissal, escalation, cancellation, and recovery.</w:t>
      </w:r>
    </w:p>
    <w:p>
      <w:pPr>
        <w:pStyle w:val="ListBullet"/>
        <w:keepNext/>
      </w:pPr>
      <w:r>
        <w:rPr>
          <w:b w:val="0"/>
        </w:rPr>
        <w:t>Evaluate automation bias, inappropriate reliance, subgroup performance, and accessibility.</w:t>
      </w:r>
    </w:p>
    <w:p>
      <w:pPr>
        <w:pStyle w:val="ListBullet"/>
        <w:keepNext/>
      </w:pPr>
      <w:r>
        <w:rPr>
          <w:b w:val="0"/>
        </w:rPr>
        <w:t>Define accountable ownership and collaborate with privacy, legal, security, and domain specialists.</w:t>
      </w:r>
    </w:p>
    <w:p>
      <w:pPr>
        <w:keepNext/>
      </w:pPr>
      <w:r>
        <w:rPr>
          <w:b/>
        </w:rPr>
        <w:t>Workshop:</w:t>
      </w:r>
      <w:r>
        <w:rPr>
          <w:b w:val="0"/>
        </w:rPr>
        <w:t xml:space="preserve"> Conduct a structured user walkthrough with a wrong answer, an ambiguous draft, and an interrupted task requiring human recovery.</w:t>
      </w:r>
    </w:p>
    <w:p>
      <w:pPr>
        <w:keepNext/>
      </w:pPr>
      <w:r>
        <w:rPr>
          <w:b/>
        </w:rPr>
        <w:t>Failure exercise:</w:t>
      </w:r>
      <w:r>
        <w:rPr>
          <w:b w:val="0"/>
        </w:rPr>
        <w:t xml:space="preserve"> A nominal review step provides neither the evidence nor the controls a reviewer needs to catch an error.</w:t>
      </w:r>
    </w:p>
    <w:p>
      <w:pPr>
        <w:keepNext/>
      </w:pPr>
      <w:r>
        <w:rPr>
          <w:b/>
        </w:rPr>
        <w:t>Completion evidence:</w:t>
      </w:r>
      <w:r>
        <w:rPr>
          <w:b w:val="0"/>
        </w:rPr>
        <w:t xml:space="preserve"> Demonstrate usable correction and recovery, identify affected users, and document unresolved risks and responsible owners.</w:t>
      </w:r>
    </w:p>
    <w:p>
      <w:pPr>
        <w:keepNext w:val="0"/>
      </w:pPr>
      <w:r>
        <w:rPr>
          <w:b/>
        </w:rPr>
        <w:t>Further reading:</w:t>
      </w:r>
      <w:r>
        <w:rPr>
          <w:b w:val="0"/>
        </w:rPr>
        <w:t xml:space="preserve"> </w:t>
      </w:r>
      <w:hyperlink r:id="rId33">
        <w:r>
          <w:rPr>
            <w:color w:val="245A81"/>
          </w:rPr>
          <w:t>Guidelines for Human-AI Interaction</w:t>
        </w:r>
      </w:hyperlink>
      <w:r>
        <w:rPr>
          <w:b w:val="0"/>
        </w:rPr>
        <w:t xml:space="preserve">; </w:t>
      </w:r>
      <w:hyperlink r:id="rId32">
        <w:r>
          <w:rPr>
            <w:color w:val="245A81"/>
          </w:rPr>
          <w:t>Artificial Intelligence Risk Management Framework: Generative Artificial Intelligence Profile</w:t>
        </w:r>
      </w:hyperlink>
      <w:r>
        <w:rPr>
          <w:b w:val="0"/>
        </w:rPr>
        <w:t xml:space="preserve">; </w:t>
      </w:r>
      <w:hyperlink r:id="rId10">
        <w:r>
          <w:rPr>
            <w:color w:val="245A81"/>
          </w:rPr>
          <w:t>AI Engineering</w:t>
        </w:r>
      </w:hyperlink>
      <w:r>
        <w:rPr>
          <w:b w:val="0"/>
        </w:rPr>
        <w:t>.</w:t>
      </w:r>
    </w:p>
    <w:p>
      <w:pPr>
        <w:pStyle w:val="Heading3"/>
        <w:keepNext/>
      </w:pPr>
      <w:r>
        <w:t>Chapter 25 — Production Architecture and Release Engineering</w:t>
      </w:r>
    </w:p>
    <w:p>
      <w:pPr>
        <w:keepNext/>
      </w:pPr>
      <w:r>
        <w:rPr>
          <w:b/>
        </w:rPr>
        <w:t>Page allocation:</w:t>
      </w:r>
      <w:r>
        <w:rPr>
          <w:b w:val="0"/>
        </w:rPr>
        <w:t xml:space="preserve"> 17. </w:t>
      </w:r>
      <w:r>
        <w:rPr>
          <w:b/>
        </w:rPr>
        <w:t>Prerequisites:</w:t>
      </w:r>
      <w:r>
        <w:rPr>
          <w:b w:val="0"/>
        </w:rPr>
        <w:t xml:space="preserve"> 16, 21, 23, 24.</w:t>
      </w:r>
    </w:p>
    <w:p>
      <w:pPr>
        <w:keepNext/>
      </w:pPr>
      <w:r>
        <w:rPr>
          <w:b/>
        </w:rPr>
        <w:t>Software-engineering connection:</w:t>
      </w:r>
      <w:r>
        <w:rPr>
          <w:b w:val="0"/>
        </w:rPr>
        <w:t xml:space="preserve"> Release engineering must account for behavioral dependencies beyond application code.</w:t>
      </w:r>
    </w:p>
    <w:p>
      <w:pPr>
        <w:keepNext/>
      </w:pPr>
      <w:r>
        <w:rPr>
          <w:b/>
        </w:rPr>
        <w:t>Topics and learning outcomes</w:t>
      </w:r>
    </w:p>
    <w:p>
      <w:pPr>
        <w:pStyle w:val="ListBullet"/>
        <w:keepNext/>
      </w:pPr>
      <w:r>
        <w:rPr>
          <w:b w:val="0"/>
        </w:rPr>
        <w:t>Separate interactive requests, background jobs, ingestion, model access, and evaluation.</w:t>
      </w:r>
    </w:p>
    <w:p>
      <w:pPr>
        <w:pStyle w:val="ListBullet"/>
        <w:keepNext/>
      </w:pPr>
      <w:r>
        <w:rPr>
          <w:b w:val="0"/>
        </w:rPr>
        <w:t>Version code, prompts, models, retrieval indexes, and relevant configuration together.</w:t>
      </w:r>
    </w:p>
    <w:p>
      <w:pPr>
        <w:pStyle w:val="ListBullet"/>
        <w:keepNext/>
      </w:pPr>
      <w:r>
        <w:rPr>
          <w:b w:val="0"/>
        </w:rPr>
        <w:t>Design resource limits, graceful degradation, tenancy boundaries, and failure containment.</w:t>
      </w:r>
    </w:p>
    <w:p>
      <w:pPr>
        <w:pStyle w:val="ListBullet"/>
        <w:keepNext/>
      </w:pPr>
      <w:r>
        <w:rPr>
          <w:b w:val="0"/>
        </w:rPr>
        <w:t>Release through staged exposure with behavioral checks and rollback procedures.</w:t>
      </w:r>
    </w:p>
    <w:p>
      <w:pPr>
        <w:keepNext/>
      </w:pPr>
      <w:r>
        <w:rPr>
          <w:b/>
        </w:rPr>
        <w:t>Workshop:</w:t>
      </w:r>
      <w:r>
        <w:rPr>
          <w:b w:val="0"/>
        </w:rPr>
        <w:t xml:space="preserve"> Package the support service with a release manifest and stage a candidate against a stable baseline in an isolated environment.</w:t>
      </w:r>
    </w:p>
    <w:p>
      <w:pPr>
        <w:keepNext/>
      </w:pPr>
      <w:r>
        <w:rPr>
          <w:b/>
        </w:rPr>
        <w:t>Failure exercise:</w:t>
      </w:r>
      <w:r>
        <w:rPr>
          <w:b w:val="0"/>
        </w:rPr>
        <w:t xml:space="preserve"> A prompt update works with a new index but is accidentally deployed with the old one, or rollback would invalidate active work.</w:t>
      </w:r>
    </w:p>
    <w:p>
      <w:pPr>
        <w:keepNext/>
      </w:pPr>
      <w:r>
        <w:rPr>
          <w:b/>
        </w:rPr>
        <w:t>Completion evidence:</w:t>
      </w:r>
      <w:r>
        <w:rPr>
          <w:b w:val="0"/>
        </w:rPr>
        <w:t xml:space="preserve"> Reproduce a release and rehearse a failed rollout while preserving user work and compatible state.</w:t>
      </w:r>
    </w:p>
    <w:p>
      <w:pPr>
        <w:keepNext w:val="0"/>
      </w:pPr>
      <w:r>
        <w:rPr>
          <w:b/>
        </w:rPr>
        <w:t>Further reading:</w:t>
      </w:r>
      <w:r>
        <w:rPr>
          <w:b w:val="0"/>
        </w:rPr>
        <w:t xml:space="preserve"> </w:t>
      </w:r>
      <w:hyperlink r:id="rId16">
        <w:r>
          <w:rPr>
            <w:color w:val="245A81"/>
          </w:rPr>
          <w:t>LLM Bootcamp</w:t>
        </w:r>
      </w:hyperlink>
      <w:r>
        <w:rPr>
          <w:b w:val="0"/>
        </w:rPr>
        <w:t xml:space="preserve">; </w:t>
      </w:r>
      <w:hyperlink r:id="rId34">
        <w:r>
          <w:rPr>
            <w:color w:val="245A81"/>
          </w:rPr>
          <w:t>A postmortem of three recent issues</w:t>
        </w:r>
      </w:hyperlink>
      <w:r>
        <w:rPr>
          <w:b w:val="0"/>
        </w:rPr>
        <w:t xml:space="preserve">; </w:t>
      </w:r>
      <w:hyperlink r:id="rId12">
        <w:r>
          <w:rPr>
            <w:color w:val="245A81"/>
          </w:rPr>
          <w:t>The Shift from Models to Compound AI Systems</w:t>
        </w:r>
      </w:hyperlink>
      <w:r>
        <w:rPr>
          <w:b w:val="0"/>
        </w:rPr>
        <w:t>.</w:t>
      </w:r>
    </w:p>
    <w:p>
      <w:pPr>
        <w:pStyle w:val="Heading3"/>
        <w:keepNext/>
      </w:pPr>
      <w:r>
        <w:t>Chapter 26 — Observability, Debugging, and Incident Response</w:t>
      </w:r>
    </w:p>
    <w:p>
      <w:pPr>
        <w:keepNext/>
      </w:pPr>
      <w:r>
        <w:rPr>
          <w:b/>
        </w:rPr>
        <w:t>Page allocation:</w:t>
      </w:r>
      <w:r>
        <w:rPr>
          <w:b w:val="0"/>
        </w:rPr>
        <w:t xml:space="preserve"> 16. </w:t>
      </w:r>
      <w:r>
        <w:rPr>
          <w:b/>
        </w:rPr>
        <w:t>Prerequisites:</w:t>
      </w:r>
      <w:r>
        <w:rPr>
          <w:b w:val="0"/>
        </w:rPr>
        <w:t xml:space="preserve"> 25.</w:t>
      </w:r>
    </w:p>
    <w:p>
      <w:pPr>
        <w:keepNext/>
      </w:pPr>
      <w:r>
        <w:rPr>
          <w:b/>
        </w:rPr>
        <w:t>Software-engineering connection:</w:t>
      </w:r>
      <w:r>
        <w:rPr>
          <w:b w:val="0"/>
        </w:rPr>
        <w:t xml:space="preserve"> Tracing and incident analysis now include behavioral quality and sensitive context.</w:t>
      </w:r>
    </w:p>
    <w:p>
      <w:pPr>
        <w:keepNext/>
      </w:pPr>
      <w:r>
        <w:rPr>
          <w:b/>
        </w:rPr>
        <w:t>Topics and learning outcomes</w:t>
      </w:r>
    </w:p>
    <w:p>
      <w:pPr>
        <w:pStyle w:val="ListBullet"/>
        <w:keepNext/>
      </w:pPr>
      <w:r>
        <w:rPr>
          <w:b w:val="0"/>
        </w:rPr>
        <w:t>Trace requests across model calls, retrieval, tools, and state changes.</w:t>
      </w:r>
    </w:p>
    <w:p>
      <w:pPr>
        <w:pStyle w:val="ListBullet"/>
        <w:keepNext/>
      </w:pPr>
      <w:r>
        <w:rPr>
          <w:b w:val="0"/>
        </w:rPr>
        <w:t>Monitor outcome quality alongside availability and performance.</w:t>
      </w:r>
    </w:p>
    <w:p>
      <w:pPr>
        <w:pStyle w:val="ListBullet"/>
        <w:keepNext/>
      </w:pPr>
      <w:r>
        <w:rPr>
          <w:b w:val="0"/>
        </w:rPr>
        <w:t>Collect useful diagnostics while controlling sensitive-data exposure and retention.</w:t>
      </w:r>
    </w:p>
    <w:p>
      <w:pPr>
        <w:pStyle w:val="ListBullet"/>
        <w:keepNext/>
      </w:pPr>
      <w:r>
        <w:rPr>
          <w:b w:val="0"/>
        </w:rPr>
        <w:t>Reproduce failures, identify causes, respond to incidents, and turn findings into regression cases.</w:t>
      </w:r>
    </w:p>
    <w:p>
      <w:pPr>
        <w:keepNext/>
      </w:pPr>
      <w:r>
        <w:rPr>
          <w:b/>
        </w:rPr>
        <w:t>Workshop:</w:t>
      </w:r>
      <w:r>
        <w:rPr>
          <w:b w:val="0"/>
        </w:rPr>
        <w:t xml:space="preserve"> Investigate a planted routing or retrieval regression using versioned traces, user reports, and production-like evaluation.</w:t>
      </w:r>
    </w:p>
    <w:p>
      <w:pPr>
        <w:keepNext/>
      </w:pPr>
      <w:r>
        <w:rPr>
          <w:b/>
        </w:rPr>
        <w:t>Failure exercise:</w:t>
      </w:r>
      <w:r>
        <w:rPr>
          <w:b w:val="0"/>
        </w:rPr>
        <w:t xml:space="preserve"> Availability remains healthy while a subset of users receives worse answers; indiscriminate logging would expose private data.</w:t>
      </w:r>
    </w:p>
    <w:p>
      <w:pPr>
        <w:keepNext/>
      </w:pPr>
      <w:r>
        <w:rPr>
          <w:b/>
        </w:rPr>
        <w:t>Completion evidence:</w:t>
      </w:r>
      <w:r>
        <w:rPr>
          <w:b w:val="0"/>
        </w:rPr>
        <w:t xml:space="preserve"> Write a postmortem supported by evidence, demonstrate recovery, and add a targeted regression case without retaining unnecessary sensitive content.</w:t>
      </w:r>
    </w:p>
    <w:p>
      <w:pPr>
        <w:keepNext w:val="0"/>
      </w:pPr>
      <w:r>
        <w:rPr>
          <w:b/>
        </w:rPr>
        <w:t>Further reading:</w:t>
      </w:r>
      <w:r>
        <w:rPr>
          <w:b w:val="0"/>
        </w:rPr>
        <w:t xml:space="preserve"> </w:t>
      </w:r>
      <w:hyperlink r:id="rId34">
        <w:r>
          <w:rPr>
            <w:color w:val="245A81"/>
          </w:rPr>
          <w:t>A postmortem of three recent issues</w:t>
        </w:r>
      </w:hyperlink>
      <w:r>
        <w:rPr>
          <w:b w:val="0"/>
        </w:rPr>
        <w:t xml:space="preserve">; </w:t>
      </w:r>
      <w:hyperlink r:id="rId32">
        <w:r>
          <w:rPr>
            <w:color w:val="245A81"/>
          </w:rPr>
          <w:t>Artificial Intelligence Risk Management Framework: Generative Artificial Intelligence Profile</w:t>
        </w:r>
      </w:hyperlink>
      <w:r>
        <w:rPr>
          <w:b w:val="0"/>
        </w:rPr>
        <w:t>.</w:t>
      </w:r>
    </w:p>
    <w:p>
      <w:pPr>
        <w:pStyle w:val="Heading3"/>
        <w:keepNext/>
      </w:pPr>
      <w:r>
        <w:t>Chapter 27 — Economics and Continuous Optimization</w:t>
      </w:r>
    </w:p>
    <w:p>
      <w:pPr>
        <w:keepNext/>
      </w:pPr>
      <w:r>
        <w:rPr>
          <w:b/>
        </w:rPr>
        <w:t>Page allocation:</w:t>
      </w:r>
      <w:r>
        <w:rPr>
          <w:b w:val="0"/>
        </w:rPr>
        <w:t xml:space="preserve"> 13. </w:t>
      </w:r>
      <w:r>
        <w:rPr>
          <w:b/>
        </w:rPr>
        <w:t>Prerequisites:</w:t>
      </w:r>
      <w:r>
        <w:rPr>
          <w:b w:val="0"/>
        </w:rPr>
        <w:t xml:space="preserve"> 9, 21, 26.</w:t>
      </w:r>
    </w:p>
    <w:p>
      <w:pPr>
        <w:keepNext/>
      </w:pPr>
      <w:r>
        <w:rPr>
          <w:b/>
        </w:rPr>
        <w:t>Software-engineering connection:</w:t>
      </w:r>
      <w:r>
        <w:rPr>
          <w:b w:val="0"/>
        </w:rPr>
        <w:t xml:space="preserve"> Performance engineering expands to total cost of successful service.</w:t>
      </w:r>
    </w:p>
    <w:p>
      <w:pPr>
        <w:keepNext/>
      </w:pPr>
      <w:r>
        <w:rPr>
          <w:b/>
        </w:rPr>
        <w:t>Topics and learning outcomes</w:t>
      </w:r>
    </w:p>
    <w:p>
      <w:pPr>
        <w:pStyle w:val="ListBullet"/>
        <w:keepNext/>
      </w:pPr>
      <w:r>
        <w:rPr>
          <w:b w:val="0"/>
        </w:rPr>
        <w:t>Measure total cost per successfully completed task, including retries and human review.</w:t>
      </w:r>
    </w:p>
    <w:p>
      <w:pPr>
        <w:pStyle w:val="ListBullet"/>
        <w:keepNext/>
      </w:pPr>
      <w:r>
        <w:rPr>
          <w:b w:val="0"/>
        </w:rPr>
        <w:t>Compare caching, routing, smaller models, batching, and reduced context.</w:t>
      </w:r>
    </w:p>
    <w:p>
      <w:pPr>
        <w:pStyle w:val="ListBullet"/>
        <w:keepNext/>
      </w:pPr>
      <w:r>
        <w:rPr>
          <w:b w:val="0"/>
        </w:rPr>
        <w:t>Optimize quality, latency, and cost together; account for maintenance and resource consumption.</w:t>
      </w:r>
    </w:p>
    <w:p>
      <w:pPr>
        <w:pStyle w:val="ListBullet"/>
        <w:keepNext/>
      </w:pPr>
      <w:r>
        <w:rPr>
          <w:b w:val="0"/>
        </w:rPr>
        <w:t>Reevaluate earlier optimizations when models, traffic, or requirements change.</w:t>
      </w:r>
    </w:p>
    <w:p>
      <w:pPr>
        <w:keepNext/>
      </w:pPr>
      <w:r>
        <w:rPr>
          <w:b/>
        </w:rPr>
        <w:t>Workshop:</w:t>
      </w:r>
      <w:r>
        <w:rPr>
          <w:b w:val="0"/>
        </w:rPr>
        <w:t xml:space="preserve"> Compare measured operating points for the support service and select an optimization subject to an explicit quality constraint.</w:t>
      </w:r>
    </w:p>
    <w:p>
      <w:pPr>
        <w:keepNext/>
      </w:pPr>
      <w:r>
        <w:rPr>
          <w:b/>
        </w:rPr>
        <w:t>Failure exercise:</w:t>
      </w:r>
      <w:r>
        <w:rPr>
          <w:b w:val="0"/>
        </w:rPr>
        <w:t xml:space="preserve"> Lower token cost increases review work, or cached answers survive a documentation or permission change.</w:t>
      </w:r>
    </w:p>
    <w:p>
      <w:pPr>
        <w:keepNext/>
      </w:pPr>
      <w:r>
        <w:rPr>
          <w:b/>
        </w:rPr>
        <w:t>Completion evidence:</w:t>
      </w:r>
      <w:r>
        <w:rPr>
          <w:b w:val="0"/>
        </w:rPr>
        <w:t xml:space="preserve"> Demonstrate a defensible improvement on held-out cases, count failed work, and state assumptions and uncertainty in cost estimates.</w:t>
      </w:r>
    </w:p>
    <w:p>
      <w:pPr>
        <w:keepNext w:val="0"/>
      </w:pPr>
      <w:r>
        <w:rPr>
          <w:b/>
        </w:rPr>
        <w:t>Further reading:</w:t>
      </w:r>
      <w:r>
        <w:rPr>
          <w:b w:val="0"/>
        </w:rPr>
        <w:t xml:space="preserve"> </w:t>
      </w:r>
      <w:hyperlink r:id="rId35">
        <w:r>
          <w:rPr>
            <w:color w:val="245A81"/>
          </w:rPr>
          <w:t>FrugalGPT: How to Use Large Language Models While Reducing Cost and Improving Performance</w:t>
        </w:r>
      </w:hyperlink>
      <w:r>
        <w:rPr>
          <w:b w:val="0"/>
        </w:rPr>
        <w:t xml:space="preserve">; </w:t>
      </w:r>
      <w:hyperlink r:id="rId22">
        <w:r>
          <w:rPr>
            <w:color w:val="245A81"/>
          </w:rPr>
          <w:t>Retrieval Augmented Generation or Long-Context LLMs? A Comprehensive Study and Hybrid Approach</w:t>
        </w:r>
      </w:hyperlink>
      <w:r>
        <w:rPr>
          <w:b w:val="0"/>
        </w:rPr>
        <w:t>.</w:t>
      </w:r>
    </w:p>
    <w:p>
      <w:pPr>
        <w:pStyle w:val="Heading2"/>
      </w:pPr>
      <w:r>
        <w:t>Part 8 — Demonstrating professional competence</w:t>
      </w:r>
    </w:p>
    <w:p>
      <w:pPr>
        <w:keepNext/>
      </w:pPr>
      <w:r>
        <w:rPr>
          <w:b w:val="0"/>
        </w:rPr>
        <w:t>Estimated main text: 35 pages.</w:t>
      </w:r>
    </w:p>
    <w:p>
      <w:pPr>
        <w:pStyle w:val="Heading3"/>
        <w:keepNext/>
      </w:pPr>
      <w:r>
        <w:t>Chapter 28 — Capstone: From Working Application to Defensible System</w:t>
      </w:r>
    </w:p>
    <w:p>
      <w:pPr>
        <w:keepNext/>
      </w:pPr>
      <w:r>
        <w:rPr>
          <w:b/>
        </w:rPr>
        <w:t>Page allocation:</w:t>
      </w:r>
      <w:r>
        <w:rPr>
          <w:b w:val="0"/>
        </w:rPr>
        <w:t xml:space="preserve"> 16. </w:t>
      </w:r>
      <w:r>
        <w:rPr>
          <w:b/>
        </w:rPr>
        <w:t>Prerequisites:</w:t>
      </w:r>
      <w:r>
        <w:rPr>
          <w:b w:val="0"/>
        </w:rPr>
        <w:t xml:space="preserve"> 19, 20, 22, 27.</w:t>
      </w:r>
    </w:p>
    <w:p>
      <w:pPr>
        <w:keepNext/>
      </w:pPr>
      <w:r>
        <w:rPr>
          <w:b/>
        </w:rPr>
        <w:t>Software-engineering connection:</w:t>
      </w:r>
      <w:r>
        <w:rPr>
          <w:b w:val="0"/>
        </w:rPr>
        <w:t xml:space="preserve"> Engineering review joins implementation, experimental evidence, and operational responsibility.</w:t>
      </w:r>
    </w:p>
    <w:p>
      <w:pPr>
        <w:keepNext/>
      </w:pPr>
      <w:r>
        <w:rPr>
          <w:b/>
        </w:rPr>
        <w:t>Topics and learning outcomes</w:t>
      </w:r>
    </w:p>
    <w:p>
      <w:pPr>
        <w:pStyle w:val="ListBullet"/>
        <w:keepNext/>
      </w:pPr>
      <w:r>
        <w:rPr>
          <w:b w:val="0"/>
        </w:rPr>
        <w:t>Consolidate the application's requirements, architecture, data, evaluations, and operational controls.</w:t>
      </w:r>
    </w:p>
    <w:p>
      <w:pPr>
        <w:pStyle w:val="ListBullet"/>
        <w:keepNext/>
      </w:pPr>
      <w:r>
        <w:rPr>
          <w:b w:val="0"/>
        </w:rPr>
        <w:t>Run a fresh acceptance set that includes ordinary work and difficult scenarios.</w:t>
      </w:r>
    </w:p>
    <w:p>
      <w:pPr>
        <w:pStyle w:val="ListBullet"/>
        <w:keepNext/>
      </w:pPr>
      <w:r>
        <w:rPr>
          <w:b w:val="0"/>
        </w:rPr>
        <w:t>Conduct security, interruption, recovery, and model-change exercises.</w:t>
      </w:r>
    </w:p>
    <w:p>
      <w:pPr>
        <w:pStyle w:val="ListBullet"/>
        <w:keepNext/>
      </w:pPr>
      <w:r>
        <w:rPr>
          <w:b w:val="0"/>
        </w:rPr>
        <w:t>Present remaining limitations and make a supported release decision.</w:t>
      </w:r>
    </w:p>
    <w:p>
      <w:pPr>
        <w:keepNext/>
      </w:pPr>
      <w:r>
        <w:rPr>
          <w:b/>
        </w:rPr>
        <w:t>Workshop:</w:t>
      </w:r>
      <w:r>
        <w:rPr>
          <w:b w:val="0"/>
        </w:rPr>
        <w:t xml:space="preserve"> Assemble the complete capstone evidence package and conduct an independent design and release review.</w:t>
      </w:r>
    </w:p>
    <w:p>
      <w:pPr>
        <w:keepNext/>
      </w:pPr>
      <w:r>
        <w:rPr>
          <w:b/>
        </w:rPr>
        <w:t>Failure exercise:</w:t>
      </w:r>
      <w:r>
        <w:rPr>
          <w:b w:val="0"/>
        </w:rPr>
        <w:t xml:space="preserve"> The application passes a curated demo but fails fresh cases, exceeds its operating budget, or lacks a recovery path.</w:t>
      </w:r>
    </w:p>
    <w:p>
      <w:pPr>
        <w:keepNext/>
      </w:pPr>
      <w:r>
        <w:rPr>
          <w:b/>
        </w:rPr>
        <w:t>Completion evidence:</w:t>
      </w:r>
      <w:r>
        <w:rPr>
          <w:b w:val="0"/>
        </w:rPr>
        <w:t xml:space="preserve"> Meet the published educational acceptance rubric or defend a restricted deployment or no-release decision with a remediation plan.</w:t>
      </w:r>
    </w:p>
    <w:p>
      <w:pPr>
        <w:keepNext w:val="0"/>
      </w:pPr>
      <w:r>
        <w:rPr>
          <w:b/>
        </w:rPr>
        <w:t>Further reading:</w:t>
      </w:r>
      <w:r>
        <w:rPr>
          <w:b w:val="0"/>
        </w:rPr>
        <w:t xml:space="preserve"> </w:t>
      </w:r>
      <w:hyperlink r:id="rId18">
        <w:r>
          <w:rPr>
            <w:color w:val="245A81"/>
          </w:rPr>
          <w:t>Demystifying evals for AI agents</w:t>
        </w:r>
      </w:hyperlink>
      <w:r>
        <w:rPr>
          <w:b w:val="0"/>
        </w:rPr>
        <w:t xml:space="preserve">; </w:t>
      </w:r>
      <w:hyperlink r:id="rId32">
        <w:r>
          <w:rPr>
            <w:color w:val="245A81"/>
          </w:rPr>
          <w:t>Artificial Intelligence Risk Management Framework: Generative Artificial Intelligence Profile</w:t>
        </w:r>
      </w:hyperlink>
      <w:r>
        <w:rPr>
          <w:b w:val="0"/>
        </w:rPr>
        <w:t xml:space="preserve">; </w:t>
      </w:r>
      <w:hyperlink r:id="rId20">
        <w:r>
          <w:rPr>
            <w:color w:val="245A81"/>
          </w:rPr>
          <w:t>Model Cards for Model Reporting</w:t>
        </w:r>
      </w:hyperlink>
      <w:r>
        <w:rPr>
          <w:b w:val="0"/>
        </w:rPr>
        <w:t>.</w:t>
      </w:r>
    </w:p>
    <w:p>
      <w:pPr>
        <w:pStyle w:val="Heading3"/>
        <w:keepNext/>
      </w:pPr>
      <w:r>
        <w:t>Chapter 29 — Working Effectively on an AI Engineering Team</w:t>
      </w:r>
    </w:p>
    <w:p>
      <w:pPr>
        <w:keepNext/>
      </w:pPr>
      <w:r>
        <w:rPr>
          <w:b/>
        </w:rPr>
        <w:t>Page allocation:</w:t>
      </w:r>
      <w:r>
        <w:rPr>
          <w:b w:val="0"/>
        </w:rPr>
        <w:t xml:space="preserve"> 10. </w:t>
      </w:r>
      <w:r>
        <w:rPr>
          <w:b/>
        </w:rPr>
        <w:t>Prerequisites:</w:t>
      </w:r>
      <w:r>
        <w:rPr>
          <w:b w:val="0"/>
        </w:rPr>
        <w:t xml:space="preserve"> 28.</w:t>
      </w:r>
    </w:p>
    <w:p>
      <w:pPr>
        <w:keepNext/>
      </w:pPr>
      <w:r>
        <w:rPr>
          <w:b/>
        </w:rPr>
        <w:t>Software-engineering connection:</w:t>
      </w:r>
      <w:r>
        <w:rPr>
          <w:b w:val="0"/>
        </w:rPr>
        <w:t xml:space="preserve"> Collaboration and review incorporate data, graders, and model behavior as maintained assets.</w:t>
      </w:r>
    </w:p>
    <w:p>
      <w:pPr>
        <w:keepNext/>
      </w:pPr>
      <w:r>
        <w:rPr>
          <w:b/>
        </w:rPr>
        <w:t>Topics and learning outcomes</w:t>
      </w:r>
    </w:p>
    <w:p>
      <w:pPr>
        <w:pStyle w:val="ListBullet"/>
        <w:keepNext/>
      </w:pPr>
      <w:r>
        <w:rPr>
          <w:b w:val="0"/>
        </w:rPr>
        <w:t>Assign responsibility for product outcomes, datasets, evaluations, infrastructure, and incidents.</w:t>
      </w:r>
    </w:p>
    <w:p>
      <w:pPr>
        <w:pStyle w:val="ListBullet"/>
        <w:keepNext/>
      </w:pPr>
      <w:r>
        <w:rPr>
          <w:b w:val="0"/>
        </w:rPr>
        <w:t>Review changes to prompts, data, graders, tools, and models.</w:t>
      </w:r>
    </w:p>
    <w:p>
      <w:pPr>
        <w:pStyle w:val="ListBullet"/>
        <w:keepNext/>
      </w:pPr>
      <w:r>
        <w:rPr>
          <w:b w:val="0"/>
        </w:rPr>
        <w:t>Collaborate with domain experts to resolve ambiguous requirements and labels.</w:t>
      </w:r>
    </w:p>
    <w:p>
      <w:pPr>
        <w:pStyle w:val="ListBullet"/>
        <w:keepNext/>
      </w:pPr>
      <w:r>
        <w:rPr>
          <w:b w:val="0"/>
        </w:rPr>
        <w:t>Maintain decision records and prioritize work from observed failures.</w:t>
      </w:r>
    </w:p>
    <w:p>
      <w:pPr>
        <w:keepNext/>
      </w:pPr>
      <w:r>
        <w:rPr>
          <w:b/>
        </w:rPr>
        <w:t>Workshop:</w:t>
      </w:r>
      <w:r>
        <w:rPr>
          <w:b w:val="0"/>
        </w:rPr>
        <w:t xml:space="preserve"> Review a proposed model upgrade with a domain reviewer, application owner, and operations owner; make the evidence and disagreement explicit.</w:t>
      </w:r>
    </w:p>
    <w:p>
      <w:pPr>
        <w:keepNext/>
      </w:pPr>
      <w:r>
        <w:rPr>
          <w:b/>
        </w:rPr>
        <w:t>Failure exercise:</w:t>
      </w:r>
      <w:r>
        <w:rPr>
          <w:b w:val="0"/>
        </w:rPr>
        <w:t xml:space="preserve"> A team improves an evaluation score by changing the grader at the same time as the model, leaving the result uninterpretable.</w:t>
      </w:r>
    </w:p>
    <w:p>
      <w:pPr>
        <w:keepNext/>
      </w:pPr>
      <w:r>
        <w:rPr>
          <w:b/>
        </w:rPr>
        <w:t>Completion evidence:</w:t>
      </w:r>
      <w:r>
        <w:rPr>
          <w:b w:val="0"/>
        </w:rPr>
        <w:t xml:space="preserve"> Lead a review that separates changes, resolves or records disagreements, and assigns accountable next actions.</w:t>
      </w:r>
    </w:p>
    <w:p>
      <w:pPr>
        <w:keepNext w:val="0"/>
      </w:pPr>
      <w:r>
        <w:rPr>
          <w:b/>
        </w:rPr>
        <w:t>Further reading:</w:t>
      </w:r>
      <w:r>
        <w:rPr>
          <w:b w:val="0"/>
        </w:rPr>
        <w:t xml:space="preserve"> </w:t>
      </w:r>
      <w:hyperlink r:id="rId10">
        <w:r>
          <w:rPr>
            <w:color w:val="245A81"/>
          </w:rPr>
          <w:t>AI Engineering</w:t>
        </w:r>
      </w:hyperlink>
      <w:r>
        <w:rPr>
          <w:b w:val="0"/>
        </w:rPr>
        <w:t xml:space="preserve">; </w:t>
      </w:r>
      <w:hyperlink r:id="rId18">
        <w:r>
          <w:rPr>
            <w:color w:val="245A81"/>
          </w:rPr>
          <w:t>Demystifying evals for AI agents</w:t>
        </w:r>
      </w:hyperlink>
      <w:r>
        <w:rPr>
          <w:b w:val="0"/>
        </w:rPr>
        <w:t>.</w:t>
      </w:r>
    </w:p>
    <w:p>
      <w:pPr>
        <w:pStyle w:val="Heading3"/>
        <w:keepNext/>
      </w:pPr>
      <w:r>
        <w:t>Chapter 30 — Building Your Career and Continuing to Learn</w:t>
      </w:r>
    </w:p>
    <w:p>
      <w:pPr>
        <w:keepNext/>
      </w:pPr>
      <w:r>
        <w:rPr>
          <w:b/>
        </w:rPr>
        <w:t>Page allocation:</w:t>
      </w:r>
      <w:r>
        <w:rPr>
          <w:b w:val="0"/>
        </w:rPr>
        <w:t xml:space="preserve"> 9. </w:t>
      </w:r>
      <w:r>
        <w:rPr>
          <w:b/>
        </w:rPr>
        <w:t>Prerequisites:</w:t>
      </w:r>
      <w:r>
        <w:rPr>
          <w:b w:val="0"/>
        </w:rPr>
        <w:t xml:space="preserve"> 29.</w:t>
      </w:r>
    </w:p>
    <w:p>
      <w:pPr>
        <w:keepNext/>
      </w:pPr>
      <w:r>
        <w:rPr>
          <w:b/>
        </w:rPr>
        <w:t>Software-engineering connection:</w:t>
      </w:r>
      <w:r>
        <w:rPr>
          <w:b w:val="0"/>
        </w:rPr>
        <w:t xml:space="preserve"> Professional judgment is demonstrated through explainable decisions and reproducible work.</w:t>
      </w:r>
    </w:p>
    <w:p>
      <w:pPr>
        <w:keepNext/>
      </w:pPr>
      <w:r>
        <w:rPr>
          <w:b/>
        </w:rPr>
        <w:t>Topics and learning outcomes</w:t>
      </w:r>
    </w:p>
    <w:p>
      <w:pPr>
        <w:pStyle w:val="ListBullet"/>
        <w:keepNext/>
      </w:pPr>
      <w:r>
        <w:rPr>
          <w:b w:val="0"/>
        </w:rPr>
        <w:t>Assess competence through systems built, failures diagnosed, and decisions defended.</w:t>
      </w:r>
    </w:p>
    <w:p>
      <w:pPr>
        <w:pStyle w:val="ListBullet"/>
        <w:keepNext/>
      </w:pPr>
      <w:r>
        <w:rPr>
          <w:b w:val="0"/>
        </w:rPr>
        <w:t>Present a portfolio with reproducible experiments and operational evidence.</w:t>
      </w:r>
    </w:p>
    <w:p>
      <w:pPr>
        <w:pStyle w:val="ListBullet"/>
        <w:keepNext/>
      </w:pPr>
      <w:r>
        <w:rPr>
          <w:b w:val="0"/>
        </w:rPr>
        <w:t>Read papers critically: task, baseline, method, result, limitations, and applicability.</w:t>
      </w:r>
    </w:p>
    <w:p>
      <w:pPr>
        <w:pStyle w:val="ListBullet"/>
        <w:keepNext/>
      </w:pPr>
      <w:r>
        <w:rPr>
          <w:b w:val="0"/>
        </w:rPr>
        <w:t>Choose deeper paths in retrieval, evaluation, agent systems, model adaptation, inference infrastructure, multimodal systems, or security.</w:t>
      </w:r>
    </w:p>
    <w:p>
      <w:pPr>
        <w:keepNext/>
      </w:pPr>
      <w:r>
        <w:rPr>
          <w:b/>
        </w:rPr>
        <w:t>Workshop:</w:t>
      </w:r>
      <w:r>
        <w:rPr>
          <w:b w:val="0"/>
        </w:rPr>
        <w:t xml:space="preserve"> Write a portfolio case study and evaluate one new research result for relevance to the support application's observed failure modes.</w:t>
      </w:r>
    </w:p>
    <w:p>
      <w:pPr>
        <w:keepNext/>
      </w:pPr>
      <w:r>
        <w:rPr>
          <w:b/>
        </w:rPr>
        <w:t>Failure exercise:</w:t>
      </w:r>
      <w:r>
        <w:rPr>
          <w:b w:val="0"/>
        </w:rPr>
        <w:t xml:space="preserve"> A portfolio presents a polished interface and benchmark headline but cannot explain the data, experiments, or deployment limitations.</w:t>
      </w:r>
    </w:p>
    <w:p>
      <w:pPr>
        <w:keepNext/>
      </w:pPr>
      <w:r>
        <w:rPr>
          <w:b/>
        </w:rPr>
        <w:t>Completion evidence:</w:t>
      </w:r>
      <w:r>
        <w:rPr>
          <w:b w:val="0"/>
        </w:rPr>
        <w:t xml:space="preserve"> Demonstrate independent understanding and produce a learning plan linked to observed skill gaps, without claiming a guaranteed job outcome.</w:t>
      </w:r>
    </w:p>
    <w:p>
      <w:pPr>
        <w:keepNext w:val="0"/>
      </w:pPr>
      <w:r>
        <w:rPr>
          <w:b/>
        </w:rPr>
        <w:t>Further reading:</w:t>
      </w:r>
      <w:r>
        <w:rPr>
          <w:b w:val="0"/>
        </w:rPr>
        <w:t xml:space="preserve"> </w:t>
      </w:r>
      <w:hyperlink r:id="rId13">
        <w:r>
          <w:rPr>
            <w:color w:val="245A81"/>
          </w:rPr>
          <w:t>AI Engineering book and other resources</w:t>
        </w:r>
      </w:hyperlink>
      <w:r>
        <w:rPr>
          <w:b w:val="0"/>
        </w:rPr>
        <w:t xml:space="preserve">; </w:t>
      </w:r>
      <w:hyperlink r:id="rId15">
        <w:r>
          <w:rPr>
            <w:color w:val="245A81"/>
          </w:rPr>
          <w:t>CS336 Language Modeling from Scratch</w:t>
        </w:r>
      </w:hyperlink>
      <w:r>
        <w:rPr>
          <w:b w:val="0"/>
        </w:rPr>
        <w:t xml:space="preserve">; </w:t>
      </w:r>
      <w:hyperlink r:id="rId10">
        <w:r>
          <w:rPr>
            <w:color w:val="245A81"/>
          </w:rPr>
          <w:t>AI Engineering</w:t>
        </w:r>
      </w:hyperlink>
      <w:r>
        <w:rPr>
          <w:b w:val="0"/>
        </w:rPr>
        <w:t>.</w:t>
      </w:r>
    </w:p>
    <w:p>
      <w:pPr>
        <w:pStyle w:val="Heading1"/>
        <w:pageBreakBefore/>
      </w:pPr>
      <w:r>
        <w:t>Project and assessment design</w:t>
      </w:r>
    </w:p>
    <w:p>
      <w:pPr>
        <w:pStyle w:val="Heading2"/>
      </w:pPr>
      <w:r>
        <w:t>The recurring support application</w:t>
      </w:r>
    </w:p>
    <w:p>
      <w:r>
        <w:rPr>
          <w:b w:val="0"/>
        </w:rPr>
        <w:t>The fictional company, Cedar Support Software, sells a team collaboration product. Its support staff use a service that classifies incoming requests, extracts relevant fields, searches documentation, drafts responses, and investigates unresolved issues. The system assists support staff first. Any demonstration that changes tickets uses an isolated service with fictional records.</w:t>
      </w:r>
    </w:p>
    <w:p>
      <w:r>
        <w:rPr>
          <w:b w:val="0"/>
        </w:rPr>
        <w:t>The application grows through five stages: measurable extraction, knowledge assistance, a controlled workflow, a bounded investigation agent, and a monitored release. The same problem brief, datasets, and evidence record evolve throughout, so readers can see the consequences of earlier decisions.</w:t>
      </w:r>
    </w:p>
    <w:p>
      <w:r>
        <w:rPr>
          <w:b w:val="0"/>
        </w:rPr>
        <w:t>The textbook's examples use Python. Begin with explicit model calls and ordinary application code, then explain higher-level abstractions after readers can inspect the underlying flow. Keep the model boundary replaceable while preserving provider-specific capabilities explicitly; do not imply that every model supports the same inputs or guarantees. Exact package versions and provider setup belong in dated companion instructions verified when the labs are authored.</w:t>
      </w:r>
    </w:p>
    <w:p>
      <w:pPr>
        <w:pStyle w:val="Heading2"/>
      </w:pPr>
      <w:r>
        <w:t>Data and interface responsibilities</w:t>
      </w:r>
    </w:p>
    <w:p>
      <w:r>
        <w:rPr>
          <w:b w:val="0"/>
        </w:rPr>
        <w:t>The planned corpus includes fictional product documentation with versions, effective dates, stable source anchors, access scopes, and revision history. It must contain outdated advice, conflicting versions, missing answers, ambiguous requests, corrupted extraction, and deliberately adversarial text. Customer and ticket records belong to two or more fictional tenants so isolation is demonstrable.</w:t>
      </w:r>
    </w:p>
    <w:p>
      <w:r>
        <w:rPr>
          <w:b w:val="0"/>
        </w:rPr>
        <w:t>The companion implementation should provide these narrow boundaries:</w:t>
      </w:r>
    </w:p>
    <w:p>
      <w:pPr>
        <w:pStyle w:val="ListBullet"/>
      </w:pPr>
      <w:r>
        <w:rPr>
          <w:b w:val="0"/>
        </w:rPr>
        <w:t>Model access accepts a task request and returns output, usage, timing, model identity, and a typed failure when applicable. A recorded fixture is identified as replay, not live inference.</w:t>
      </w:r>
    </w:p>
    <w:p>
      <w:pPr>
        <w:pStyle w:val="ListBullet"/>
      </w:pPr>
      <w:r>
        <w:rPr>
          <w:b w:val="0"/>
        </w:rPr>
        <w:t>Retrieval accepts the question and an application-supplied identity scope and returns evidence with document identity, version, and source location. The model does not choose its own authorization scope.</w:t>
      </w:r>
    </w:p>
    <w:p>
      <w:pPr>
        <w:pStyle w:val="ListBullet"/>
      </w:pPr>
      <w:r>
        <w:rPr>
          <w:b w:val="0"/>
        </w:rPr>
        <w:t>Ticket tools receive application-authenticated identity, validated arguments, and operation identifiers. Mutations return enough information for independent state verification.</w:t>
      </w:r>
    </w:p>
    <w:p>
      <w:pPr>
        <w:pStyle w:val="ListBullet"/>
      </w:pPr>
      <w:r>
        <w:rPr>
          <w:b w:val="0"/>
        </w:rPr>
        <w:t>Evaluation records the case, system version, trial, checks, grader version, outcome, resources, and relevant error classification. Trial environments are reset between runs.</w:t>
      </w:r>
    </w:p>
    <w:p>
      <w:pPr>
        <w:pStyle w:val="ListBullet"/>
      </w:pPr>
      <w:r>
        <w:rPr>
          <w:b w:val="0"/>
        </w:rPr>
        <w:t>Persistent progress distinguishes proposed work, attempted actions, verified outcomes, and unresolved tasks. Resumption reconciles the record with authoritative state.</w:t>
      </w:r>
    </w:p>
    <w:p>
      <w:r>
        <w:rPr>
          <w:b w:val="0"/>
        </w:rPr>
        <w:t>These responsibilities are part of the blueprint. Detailed API schemas and wire formats are left to companion implementation after the selected technologies are documented and verified.</w:t>
      </w:r>
    </w:p>
    <w:p>
      <w:pPr>
        <w:pStyle w:val="Heading2"/>
      </w:pPr>
      <w:r>
        <w:t>Dataset development and separation</w:t>
      </w:r>
    </w:p>
    <w:p>
      <w:r>
        <w:rPr>
          <w:b w:val="0"/>
        </w:rPr>
        <w:t>Author a small development collection first, then expand it as new capabilities appear. Preserve separately managed development, regression, challenge, and final acceptance collections, with documented purposes. Reuse across collections only when disclosed; the final acceptance collection must not be used for prompt, model, or grader tuning.</w:t>
      </w:r>
    </w:p>
    <w:p>
      <w:r>
        <w:rPr>
          <w:b w:val="0"/>
        </w:rPr>
        <w:t>Proposed teaching-scale targets are 60 development requests for the first feature, 120 labeled retrieval questions for knowledge work, and 200 fresh final acceptance requests. These counts are planning targets, not evidence that the resulting sample proves production reliability. The final allocation must cover important errors, permission boundaries, and answerable and unanswerable cases. Group duplicate conversations and related customers when splitting where necessary to prevent leakage.</w:t>
      </w:r>
    </w:p>
    <w:p>
      <w:r>
        <w:rPr>
          <w:b w:val="0"/>
        </w:rPr>
        <w:t>Each case needs an identifier, input, relevant context, reference outcome or rubric, provenance, capability tags, split assignment, and annotation notes. Document label ambiguity and adjudication. Keep expected outcomes and grader internals inaccessible to the agent during its trial. Do not invent human agreement measurements before annotations have actually been compared.</w:t>
      </w:r>
    </w:p>
    <w:p>
      <w:pPr>
        <w:pStyle w:val="Heading2"/>
      </w:pPr>
      <w:r>
        <w:t>Milestones and their review evidence</w:t>
      </w:r>
    </w:p>
    <w:p>
      <w:pPr>
        <w:pStyle w:val="Heading3"/>
      </w:pPr>
      <w:r>
        <w:t>Measurable feature through Chapter 10</w:t>
      </w:r>
    </w:p>
    <w:p>
      <w:r>
        <w:rPr>
          <w:b w:val="0"/>
        </w:rPr>
        <w:t>The service classifies and extracts fields, rejects invalid outputs, and compares a rules baseline with model candidates. Required evidence includes the problem brief, development set, initial traces, prompt versions, confusion matrices, error taxonomy, grader checks, and a selection decision. The candidate may be rejected if the baseline is adequate or constraints are not met.</w:t>
      </w:r>
    </w:p>
    <w:p>
      <w:pPr>
        <w:pStyle w:val="Heading3"/>
      </w:pPr>
      <w:r>
        <w:t>Knowledge assistance through Chapter 14</w:t>
      </w:r>
    </w:p>
    <w:p>
      <w:r>
        <w:rPr>
          <w:b w:val="0"/>
        </w:rPr>
        <w:t>The service ingests scoped documentation and answers with inspectable supporting evidence. Required evidence includes corpus versioning, update/deletion demonstrations, retrieval comparisons, claim-support checks, abstention analysis, and memory correction/deletion tests. Measure retrieval and generation separately before interpreting end-to-end outcomes.</w:t>
      </w:r>
    </w:p>
    <w:p>
      <w:pPr>
        <w:pStyle w:val="Heading3"/>
      </w:pPr>
      <w:r>
        <w:t>Controlled actions through Chapter 16</w:t>
      </w:r>
    </w:p>
    <w:p>
      <w:r>
        <w:rPr>
          <w:b w:val="0"/>
        </w:rPr>
        <w:t>The service routes tickets and creates reviewable drafts with enforced identity and permissions. Required evidence includes tool contracts, a workflow state diagram, operation identifiers, interruption recovery, rejection of unauthorized actions, and independent verification that each intended mutation occurred once.</w:t>
      </w:r>
    </w:p>
    <w:p>
      <w:pPr>
        <w:pStyle w:val="Heading3"/>
      </w:pPr>
      <w:r>
        <w:t>Bounded investigation through Chapter 19</w:t>
      </w:r>
    </w:p>
    <w:p>
      <w:r>
        <w:rPr>
          <w:b w:val="0"/>
        </w:rPr>
        <w:t>An agent can investigate an unresolved request using approved tools, produce a draft, or escalate. Required evidence includes action/time/spending budgets, stopping rules, isolated trials, external outcome checks, and a comparison with the explicit workflow. Delegation is retained only when its measured benefit justifies its overhead.</w:t>
      </w:r>
    </w:p>
    <w:p>
      <w:pPr>
        <w:pStyle w:val="Heading3"/>
      </w:pPr>
      <w:r>
        <w:t>Operable system through Chapter 28</w:t>
      </w:r>
    </w:p>
    <w:p>
      <w:r>
        <w:rPr>
          <w:b w:val="0"/>
        </w:rPr>
        <w:t>The service has reproducible releases, monitored quality, recovery paths, a threat model, and a fresh acceptance report. The model-adaptation and multimodal labs supply additional evidence but need not both become permanent production dependencies. Required evidence includes a release manifest, rollback rehearsal, incident report, cost analysis, human-recovery walkthrough, and explicit limitations.</w:t>
      </w:r>
    </w:p>
    <w:p>
      <w:pPr>
        <w:pStyle w:val="Heading2"/>
      </w:pPr>
      <w:r>
        <w:t>Proposed educational acceptance targets</w:t>
      </w:r>
    </w:p>
    <w:p>
      <w:r>
        <w:rPr>
          <w:b w:val="0"/>
        </w:rPr>
        <w:t>The following values are authoring defaults for the fictional support application. Validate their feasibility when producing real labs. If they change, document the reason before evaluating the final candidate; never quietly relax them to fit observed results. They are neither measured performance nor universal production standards.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456"/>
        <w:gridCol w:w="4608"/>
      </w:tblGrid>
      <w:tr>
        <w:trPr>
          <w:cantSplit/>
          <w:tblHeader/>
        </w:trPr>
        <w:tc>
          <w:tcPr>
            <w:tcW w:type="dxa" w:w="2016"/>
            <w:vAlign w:val="center"/>
            <w:tcMar>
              <w:top w:w="90" w:type="dxa"/>
              <w:left w:w="90" w:type="dxa"/>
              <w:bottom w:w="90" w:type="dxa"/>
              <w:right w:w="90" w:type="dxa"/>
            </w:tcMar>
            <w:shd w:fill="E7EDF3"/>
          </w:tcPr>
          <w:p>
            <w:pPr>
              <w:spacing w:after="20" w:line="252" w:lineRule="auto"/>
            </w:pPr>
            <w:r>
              <w:rPr>
                <w:b/>
                <w:sz w:val="18"/>
              </w:rPr>
              <w:t>Behavior</w:t>
            </w:r>
          </w:p>
        </w:tc>
        <w:tc>
          <w:tcPr>
            <w:tcW w:type="dxa" w:w="3456"/>
            <w:vAlign w:val="center"/>
            <w:tcMar>
              <w:top w:w="90" w:type="dxa"/>
              <w:left w:w="90" w:type="dxa"/>
              <w:bottom w:w="90" w:type="dxa"/>
              <w:right w:w="90" w:type="dxa"/>
            </w:tcMar>
            <w:shd w:fill="E7EDF3"/>
          </w:tcPr>
          <w:p>
            <w:pPr>
              <w:spacing w:after="20" w:line="252" w:lineRule="auto"/>
            </w:pPr>
            <w:r>
              <w:rPr>
                <w:b/>
                <w:sz w:val="18"/>
              </w:rPr>
              <w:t>Initial teaching target</w:t>
            </w:r>
          </w:p>
        </w:tc>
        <w:tc>
          <w:tcPr>
            <w:tcW w:type="dxa" w:w="4608"/>
            <w:vAlign w:val="center"/>
            <w:tcMar>
              <w:top w:w="90" w:type="dxa"/>
              <w:left w:w="90" w:type="dxa"/>
              <w:bottom w:w="90" w:type="dxa"/>
              <w:right w:w="90" w:type="dxa"/>
            </w:tcMar>
            <w:shd w:fill="E7EDF3"/>
          </w:tcPr>
          <w:p>
            <w:pPr>
              <w:spacing w:after="20" w:line="252" w:lineRule="auto"/>
            </w:pPr>
            <w:r>
              <w:rPr>
                <w:b/>
                <w:sz w:val="18"/>
              </w:rPr>
              <w:t>Required interpretation</w:t>
            </w:r>
          </w:p>
        </w:tc>
      </w:tr>
      <w:tr>
        <w:trPr>
          <w:cantSplit/>
        </w:trPr>
        <w:tc>
          <w:tcPr>
            <w:tcW w:type="dxa" w:w="2016"/>
            <w:vAlign w:val="center"/>
            <w:tcMar>
              <w:top w:w="90" w:type="dxa"/>
              <w:left w:w="90" w:type="dxa"/>
              <w:bottom w:w="90" w:type="dxa"/>
              <w:right w:w="90" w:type="dxa"/>
            </w:tcMar>
            <w:shd w:fill="FFFFFF"/>
          </w:tcPr>
          <w:p>
            <w:pPr>
              <w:spacing w:after="20" w:line="252" w:lineRule="auto"/>
            </w:pPr>
            <w:r>
              <w:rPr>
                <w:b w:val="0"/>
                <w:sz w:val="18"/>
              </w:rPr>
              <w:t>Ticket classification</w:t>
            </w:r>
          </w:p>
        </w:tc>
        <w:tc>
          <w:tcPr>
            <w:tcW w:type="dxa" w:w="3456"/>
            <w:vAlign w:val="center"/>
            <w:tcMar>
              <w:top w:w="90" w:type="dxa"/>
              <w:left w:w="90" w:type="dxa"/>
              <w:bottom w:w="90" w:type="dxa"/>
              <w:right w:w="90" w:type="dxa"/>
            </w:tcMar>
            <w:shd w:fill="FFFFFF"/>
          </w:tcPr>
          <w:p>
            <w:pPr>
              <w:spacing w:after="20" w:line="252" w:lineRule="auto"/>
            </w:pPr>
            <w:r>
              <w:rPr>
                <w:b w:val="0"/>
                <w:sz w:val="18"/>
              </w:rPr>
              <w:t>Macro F1 of at least 0.85 on the final labeled classification subset</w:t>
            </w:r>
          </w:p>
        </w:tc>
        <w:tc>
          <w:tcPr>
            <w:tcW w:type="dxa" w:w="4608"/>
            <w:vAlign w:val="center"/>
            <w:tcMar>
              <w:top w:w="90" w:type="dxa"/>
              <w:left w:w="90" w:type="dxa"/>
              <w:bottom w:w="90" w:type="dxa"/>
              <w:right w:w="90" w:type="dxa"/>
            </w:tcMar>
            <w:shd w:fill="FFFFFF"/>
          </w:tcPr>
          <w:p>
            <w:pPr>
              <w:spacing w:after="20" w:line="252" w:lineRule="auto"/>
            </w:pPr>
            <w:r>
              <w:rPr>
                <w:b w:val="0"/>
                <w:sz w:val="18"/>
              </w:rPr>
              <w:t>Report class counts, per-class scores, uncertainty, and baseline comparison</w:t>
            </w:r>
          </w:p>
        </w:tc>
      </w:tr>
      <w:tr>
        <w:trPr>
          <w:cantSplit/>
        </w:trPr>
        <w:tc>
          <w:tcPr>
            <w:tcW w:type="dxa" w:w="2016"/>
            <w:vAlign w:val="center"/>
            <w:tcMar>
              <w:top w:w="90" w:type="dxa"/>
              <w:left w:w="90" w:type="dxa"/>
              <w:bottom w:w="90" w:type="dxa"/>
              <w:right w:w="90" w:type="dxa"/>
            </w:tcMar>
            <w:shd w:fill="FFFFFF"/>
          </w:tcPr>
          <w:p>
            <w:pPr>
              <w:spacing w:after="20" w:line="252" w:lineRule="auto"/>
            </w:pPr>
            <w:r>
              <w:rPr>
                <w:b w:val="0"/>
                <w:sz w:val="18"/>
              </w:rPr>
              <w:t>Structured extraction</w:t>
            </w:r>
          </w:p>
        </w:tc>
        <w:tc>
          <w:tcPr>
            <w:tcW w:type="dxa" w:w="3456"/>
            <w:vAlign w:val="center"/>
            <w:tcMar>
              <w:top w:w="90" w:type="dxa"/>
              <w:left w:w="90" w:type="dxa"/>
              <w:bottom w:w="90" w:type="dxa"/>
              <w:right w:w="90" w:type="dxa"/>
            </w:tcMar>
            <w:shd w:fill="FFFFFF"/>
          </w:tcPr>
          <w:p>
            <w:pPr>
              <w:spacing w:after="20" w:line="252" w:lineRule="auto"/>
            </w:pPr>
            <w:r>
              <w:rPr>
                <w:b w:val="0"/>
                <w:sz w:val="18"/>
              </w:rPr>
              <w:t>At least 0.90 exact field accuracy for fields with determinate references</w:t>
            </w:r>
          </w:p>
        </w:tc>
        <w:tc>
          <w:tcPr>
            <w:tcW w:type="dxa" w:w="4608"/>
            <w:vAlign w:val="center"/>
            <w:tcMar>
              <w:top w:w="90" w:type="dxa"/>
              <w:left w:w="90" w:type="dxa"/>
              <w:bottom w:w="90" w:type="dxa"/>
              <w:right w:w="90" w:type="dxa"/>
            </w:tcMar>
            <w:shd w:fill="FFFFFF"/>
          </w:tcPr>
          <w:p>
            <w:pPr>
              <w:spacing w:after="20" w:line="252" w:lineRule="auto"/>
            </w:pPr>
            <w:r>
              <w:rPr>
                <w:b w:val="0"/>
                <w:sz w:val="18"/>
              </w:rPr>
              <w:t>Report unknown and ambiguous fields separately and inspect critical identifier errors</w:t>
            </w:r>
          </w:p>
        </w:tc>
      </w:tr>
      <w:tr>
        <w:trPr>
          <w:cantSplit/>
        </w:trPr>
        <w:tc>
          <w:tcPr>
            <w:tcW w:type="dxa" w:w="2016"/>
            <w:vAlign w:val="center"/>
            <w:tcMar>
              <w:top w:w="90" w:type="dxa"/>
              <w:left w:w="90" w:type="dxa"/>
              <w:bottom w:w="90" w:type="dxa"/>
              <w:right w:w="90" w:type="dxa"/>
            </w:tcMar>
            <w:shd w:fill="FFFFFF"/>
          </w:tcPr>
          <w:p>
            <w:pPr>
              <w:spacing w:after="20" w:line="252" w:lineRule="auto"/>
            </w:pPr>
            <w:r>
              <w:rPr>
                <w:b w:val="0"/>
                <w:sz w:val="18"/>
              </w:rPr>
              <w:t>Retrieval</w:t>
            </w:r>
          </w:p>
        </w:tc>
        <w:tc>
          <w:tcPr>
            <w:tcW w:type="dxa" w:w="3456"/>
            <w:vAlign w:val="center"/>
            <w:tcMar>
              <w:top w:w="90" w:type="dxa"/>
              <w:left w:w="90" w:type="dxa"/>
              <w:bottom w:w="90" w:type="dxa"/>
              <w:right w:w="90" w:type="dxa"/>
            </w:tcMar>
            <w:shd w:fill="FFFFFF"/>
          </w:tcPr>
          <w:p>
            <w:pPr>
              <w:spacing w:after="20" w:line="252" w:lineRule="auto"/>
            </w:pPr>
            <w:r>
              <w:rPr>
                <w:b w:val="0"/>
                <w:sz w:val="18"/>
              </w:rPr>
              <w:t>Recall at 5 of at least 0.90 on answerable retrieval cases</w:t>
            </w:r>
          </w:p>
        </w:tc>
        <w:tc>
          <w:tcPr>
            <w:tcW w:type="dxa" w:w="4608"/>
            <w:vAlign w:val="center"/>
            <w:tcMar>
              <w:top w:w="90" w:type="dxa"/>
              <w:left w:w="90" w:type="dxa"/>
              <w:bottom w:w="90" w:type="dxa"/>
              <w:right w:w="90" w:type="dxa"/>
            </w:tcMar>
            <w:shd w:fill="FFFFFF"/>
          </w:tcPr>
          <w:p>
            <w:pPr>
              <w:spacing w:after="20" w:line="252" w:lineRule="auto"/>
            </w:pPr>
            <w:r>
              <w:rPr>
                <w:b w:val="0"/>
                <w:sz w:val="18"/>
              </w:rPr>
              <w:t>Define relevant evidence and report results by query type</w:t>
            </w:r>
          </w:p>
        </w:tc>
      </w:tr>
      <w:tr>
        <w:trPr>
          <w:cantSplit/>
        </w:trPr>
        <w:tc>
          <w:tcPr>
            <w:tcW w:type="dxa" w:w="2016"/>
            <w:vAlign w:val="center"/>
            <w:tcMar>
              <w:top w:w="90" w:type="dxa"/>
              <w:left w:w="90" w:type="dxa"/>
              <w:bottom w:w="90" w:type="dxa"/>
              <w:right w:w="90" w:type="dxa"/>
            </w:tcMar>
            <w:shd w:fill="FFFFFF"/>
          </w:tcPr>
          <w:p>
            <w:pPr>
              <w:spacing w:after="20" w:line="252" w:lineRule="auto"/>
            </w:pPr>
            <w:r>
              <w:rPr>
                <w:b w:val="0"/>
                <w:sz w:val="18"/>
              </w:rPr>
              <w:t>Grounded answers</w:t>
            </w:r>
          </w:p>
        </w:tc>
        <w:tc>
          <w:tcPr>
            <w:tcW w:type="dxa" w:w="3456"/>
            <w:vAlign w:val="center"/>
            <w:tcMar>
              <w:top w:w="90" w:type="dxa"/>
              <w:left w:w="90" w:type="dxa"/>
              <w:bottom w:w="90" w:type="dxa"/>
              <w:right w:w="90" w:type="dxa"/>
            </w:tcMar>
            <w:shd w:fill="FFFFFF"/>
          </w:tcPr>
          <w:p>
            <w:pPr>
              <w:spacing w:after="20" w:line="252" w:lineRule="auto"/>
            </w:pPr>
            <w:r>
              <w:rPr>
                <w:b w:val="0"/>
                <w:sz w:val="18"/>
              </w:rPr>
              <w:t>At least 0.95 supported factual claims under a validated rubric</w:t>
            </w:r>
          </w:p>
        </w:tc>
        <w:tc>
          <w:tcPr>
            <w:tcW w:type="dxa" w:w="4608"/>
            <w:vAlign w:val="center"/>
            <w:tcMar>
              <w:top w:w="90" w:type="dxa"/>
              <w:left w:w="90" w:type="dxa"/>
              <w:bottom w:w="90" w:type="dxa"/>
              <w:right w:w="90" w:type="dxa"/>
            </w:tcMar>
            <w:shd w:fill="FFFFFF"/>
          </w:tcPr>
          <w:p>
            <w:pPr>
              <w:spacing w:after="20" w:line="252" w:lineRule="auto"/>
            </w:pPr>
            <w:r>
              <w:rPr>
                <w:b w:val="0"/>
                <w:sz w:val="18"/>
              </w:rPr>
              <w:t>Also report answer completeness and abstention so silence cannot game the metric</w:t>
            </w:r>
          </w:p>
        </w:tc>
      </w:tr>
      <w:tr>
        <w:trPr>
          <w:cantSplit/>
        </w:trPr>
        <w:tc>
          <w:tcPr>
            <w:tcW w:type="dxa" w:w="2016"/>
            <w:vAlign w:val="center"/>
            <w:tcMar>
              <w:top w:w="90" w:type="dxa"/>
              <w:left w:w="90" w:type="dxa"/>
              <w:bottom w:w="90" w:type="dxa"/>
              <w:right w:w="90" w:type="dxa"/>
            </w:tcMar>
            <w:shd w:fill="FFFFFF"/>
          </w:tcPr>
          <w:p>
            <w:pPr>
              <w:spacing w:after="20" w:line="252" w:lineRule="auto"/>
            </w:pPr>
            <w:r>
              <w:rPr>
                <w:b w:val="0"/>
                <w:sz w:val="18"/>
              </w:rPr>
              <w:t>Unanswerable requests</w:t>
            </w:r>
          </w:p>
        </w:tc>
        <w:tc>
          <w:tcPr>
            <w:tcW w:type="dxa" w:w="3456"/>
            <w:vAlign w:val="center"/>
            <w:tcMar>
              <w:top w:w="90" w:type="dxa"/>
              <w:left w:w="90" w:type="dxa"/>
              <w:bottom w:w="90" w:type="dxa"/>
              <w:right w:w="90" w:type="dxa"/>
            </w:tcMar>
            <w:shd w:fill="FFFFFF"/>
          </w:tcPr>
          <w:p>
            <w:pPr>
              <w:spacing w:after="20" w:line="252" w:lineRule="auto"/>
            </w:pPr>
            <w:r>
              <w:rPr>
                <w:b w:val="0"/>
                <w:sz w:val="18"/>
              </w:rPr>
              <w:t>At least 0.90 appropriate abstention or escalation</w:t>
            </w:r>
          </w:p>
        </w:tc>
        <w:tc>
          <w:tcPr>
            <w:tcW w:type="dxa" w:w="4608"/>
            <w:vAlign w:val="center"/>
            <w:tcMar>
              <w:top w:w="90" w:type="dxa"/>
              <w:left w:w="90" w:type="dxa"/>
              <w:bottom w:w="90" w:type="dxa"/>
              <w:right w:w="90" w:type="dxa"/>
            </w:tcMar>
            <w:shd w:fill="FFFFFF"/>
          </w:tcPr>
          <w:p>
            <w:pPr>
              <w:spacing w:after="20" w:line="252" w:lineRule="auto"/>
            </w:pPr>
            <w:r>
              <w:rPr>
                <w:b w:val="0"/>
                <w:sz w:val="18"/>
              </w:rPr>
              <w:t>Also report false abstentions on answerable requests</w:t>
            </w:r>
          </w:p>
        </w:tc>
      </w:tr>
      <w:tr>
        <w:trPr>
          <w:cantSplit/>
        </w:trPr>
        <w:tc>
          <w:tcPr>
            <w:tcW w:type="dxa" w:w="2016"/>
            <w:vAlign w:val="center"/>
            <w:tcMar>
              <w:top w:w="90" w:type="dxa"/>
              <w:left w:w="90" w:type="dxa"/>
              <w:bottom w:w="90" w:type="dxa"/>
              <w:right w:w="90" w:type="dxa"/>
            </w:tcMar>
            <w:shd w:fill="FFFFFF"/>
          </w:tcPr>
          <w:p>
            <w:pPr>
              <w:spacing w:after="20" w:line="252" w:lineRule="auto"/>
            </w:pPr>
            <w:r>
              <w:rPr>
                <w:b w:val="0"/>
                <w:sz w:val="18"/>
              </w:rPr>
              <w:t>Action authorization</w:t>
            </w:r>
          </w:p>
        </w:tc>
        <w:tc>
          <w:tcPr>
            <w:tcW w:type="dxa" w:w="3456"/>
            <w:vAlign w:val="center"/>
            <w:tcMar>
              <w:top w:w="90" w:type="dxa"/>
              <w:left w:w="90" w:type="dxa"/>
              <w:bottom w:w="90" w:type="dxa"/>
              <w:right w:w="90" w:type="dxa"/>
            </w:tcMar>
            <w:shd w:fill="FFFFFF"/>
          </w:tcPr>
          <w:p>
            <w:pPr>
              <w:spacing w:after="20" w:line="252" w:lineRule="auto"/>
            </w:pPr>
            <w:r>
              <w:rPr>
                <w:b w:val="0"/>
                <w:sz w:val="18"/>
              </w:rPr>
              <w:t>Zero unauthorized mutations in the complete boundary suite</w:t>
            </w:r>
          </w:p>
        </w:tc>
        <w:tc>
          <w:tcPr>
            <w:tcW w:type="dxa" w:w="4608"/>
            <w:vAlign w:val="center"/>
            <w:tcMar>
              <w:top w:w="90" w:type="dxa"/>
              <w:left w:w="90" w:type="dxa"/>
              <w:bottom w:w="90" w:type="dxa"/>
              <w:right w:w="90" w:type="dxa"/>
            </w:tcMar>
            <w:shd w:fill="FFFFFF"/>
          </w:tcPr>
          <w:p>
            <w:pPr>
              <w:spacing w:after="20" w:line="252" w:lineRule="auto"/>
            </w:pPr>
            <w:r>
              <w:rPr>
                <w:b w:val="0"/>
                <w:sz w:val="18"/>
              </w:rPr>
              <w:t>A finite suite provides bounded evidence and does not prove security immunity</w:t>
            </w:r>
          </w:p>
        </w:tc>
      </w:tr>
      <w:tr>
        <w:trPr>
          <w:cantSplit/>
        </w:trPr>
        <w:tc>
          <w:tcPr>
            <w:tcW w:type="dxa" w:w="2016"/>
            <w:vAlign w:val="center"/>
            <w:tcMar>
              <w:top w:w="90" w:type="dxa"/>
              <w:left w:w="90" w:type="dxa"/>
              <w:bottom w:w="90" w:type="dxa"/>
              <w:right w:w="90" w:type="dxa"/>
            </w:tcMar>
            <w:shd w:fill="FFFFFF"/>
          </w:tcPr>
          <w:p>
            <w:pPr>
              <w:spacing w:after="20" w:line="252" w:lineRule="auto"/>
            </w:pPr>
            <w:r>
              <w:rPr>
                <w:b w:val="0"/>
                <w:sz w:val="18"/>
              </w:rPr>
              <w:t>Recovery</w:t>
            </w:r>
          </w:p>
        </w:tc>
        <w:tc>
          <w:tcPr>
            <w:tcW w:type="dxa" w:w="3456"/>
            <w:vAlign w:val="center"/>
            <w:tcMar>
              <w:top w:w="90" w:type="dxa"/>
              <w:left w:w="90" w:type="dxa"/>
              <w:bottom w:w="90" w:type="dxa"/>
              <w:right w:w="90" w:type="dxa"/>
            </w:tcMar>
            <w:shd w:fill="FFFFFF"/>
          </w:tcPr>
          <w:p>
            <w:pPr>
              <w:spacing w:after="20" w:line="252" w:lineRule="auto"/>
            </w:pPr>
            <w:r>
              <w:rPr>
                <w:b w:val="0"/>
                <w:sz w:val="18"/>
              </w:rPr>
              <w:t>No duplicate mutations or lost accepted work in the fault-injection suite</w:t>
            </w:r>
          </w:p>
        </w:tc>
        <w:tc>
          <w:tcPr>
            <w:tcW w:type="dxa" w:w="4608"/>
            <w:vAlign w:val="center"/>
            <w:tcMar>
              <w:top w:w="90" w:type="dxa"/>
              <w:left w:w="90" w:type="dxa"/>
              <w:bottom w:w="90" w:type="dxa"/>
              <w:right w:w="90" w:type="dxa"/>
            </w:tcMar>
            <w:shd w:fill="FFFFFF"/>
          </w:tcPr>
          <w:p>
            <w:pPr>
              <w:spacing w:after="20" w:line="252" w:lineRule="auto"/>
            </w:pPr>
            <w:r>
              <w:rPr>
                <w:b w:val="0"/>
                <w:sz w:val="18"/>
              </w:rPr>
              <w:t>Verify actual state after timeout, retry, restart, and rollback</w:t>
            </w:r>
          </w:p>
        </w:tc>
      </w:tr>
      <w:tr>
        <w:trPr>
          <w:cantSplit/>
        </w:trPr>
        <w:tc>
          <w:tcPr>
            <w:tcW w:type="dxa" w:w="2016"/>
            <w:vAlign w:val="center"/>
            <w:tcMar>
              <w:top w:w="90" w:type="dxa"/>
              <w:left w:w="90" w:type="dxa"/>
              <w:bottom w:w="90" w:type="dxa"/>
              <w:right w:w="90" w:type="dxa"/>
            </w:tcMar>
            <w:shd w:fill="FFFFFF"/>
          </w:tcPr>
          <w:p>
            <w:pPr>
              <w:spacing w:after="20" w:line="252" w:lineRule="auto"/>
            </w:pPr>
            <w:r>
              <w:rPr>
                <w:b w:val="0"/>
                <w:sz w:val="18"/>
              </w:rPr>
              <w:t>Resource control</w:t>
            </w:r>
          </w:p>
        </w:tc>
        <w:tc>
          <w:tcPr>
            <w:tcW w:type="dxa" w:w="3456"/>
            <w:vAlign w:val="center"/>
            <w:tcMar>
              <w:top w:w="90" w:type="dxa"/>
              <w:left w:w="90" w:type="dxa"/>
              <w:bottom w:w="90" w:type="dxa"/>
              <w:right w:w="90" w:type="dxa"/>
            </w:tcMar>
            <w:shd w:fill="FFFFFF"/>
          </w:tcPr>
          <w:p>
            <w:pPr>
              <w:spacing w:after="20" w:line="252" w:lineRule="auto"/>
            </w:pPr>
            <w:r>
              <w:rPr>
                <w:b w:val="0"/>
                <w:sz w:val="18"/>
              </w:rPr>
              <w:t>Every tested run respects configured action and spending caps and stops within the documented timeout/cancellation policy</w:t>
            </w:r>
          </w:p>
        </w:tc>
        <w:tc>
          <w:tcPr>
            <w:tcW w:type="dxa" w:w="4608"/>
            <w:vAlign w:val="center"/>
            <w:tcMar>
              <w:top w:w="90" w:type="dxa"/>
              <w:left w:w="90" w:type="dxa"/>
              <w:bottom w:w="90" w:type="dxa"/>
              <w:right w:w="90" w:type="dxa"/>
            </w:tcMar>
            <w:shd w:fill="FFFFFF"/>
          </w:tcPr>
          <w:p>
            <w:pPr>
              <w:spacing w:after="20" w:line="252" w:lineRule="auto"/>
            </w:pPr>
            <w:r>
              <w:rPr>
                <w:b w:val="0"/>
                <w:sz w:val="18"/>
              </w:rPr>
              <w:t>Include retries, concurrent work, and reservation of costs for in-flight calls</w:t>
            </w:r>
          </w:p>
        </w:tc>
      </w:tr>
    </w:tbl>
    <w:p>
      <w:pPr>
        <w:spacing w:after="40"/>
      </w:pPr>
    </w:p>
    <w:p>
      <w:r>
        <w:rPr>
          <w:b w:val="0"/>
        </w:rPr>
        <w:t>For timing, begin with a teaching objective of p95 completion within 10 seconds for the single-call triage path and within 20 seconds for the knowledge-answer path at the companion lab's declared concurrency. The investigation agent has an initial two-minute run limit. Record hardware, network, provider, model, and concurrency; revise these authoring assumptions transparently if measured feasibility requires it.</w:t>
      </w:r>
    </w:p>
    <w:p>
      <w:r>
        <w:rPr>
          <w:b w:val="0"/>
        </w:rPr>
        <w:t>Set a per-exercise spending cap in configuration before any paid call. The exact amount depends on dated prices and the selected lab model, so it must be set during lab authoring rather than guessed here. The capstone report must include cost per successful task and human-review assumptions, not merely token costs.</w:t>
      </w:r>
    </w:p>
    <w:p>
      <w:r>
        <w:rPr>
          <w:b w:val="0"/>
        </w:rPr>
        <w:t>Use repeated trials for the bounded-agent subset, initially five runs per scenario, and report all results. Calculate uncertainty with a method that respects repeated trials of the same case. Do not treat those trials as five unrelated task samples or claim that these sample sizes establish rare-event safety.</w:t>
      </w:r>
    </w:p>
    <w:p>
      <w:pPr>
        <w:pStyle w:val="Heading2"/>
      </w:pPr>
      <w:r>
        <w:t>Failure exercises required across the book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224"/>
        <w:gridCol w:w="5472"/>
      </w:tblGrid>
      <w:tr>
        <w:trPr>
          <w:cantSplit/>
          <w:tblHeader/>
        </w:trPr>
        <w:tc>
          <w:tcPr>
            <w:tcW w:type="dxa" w:w="3384"/>
            <w:vAlign w:val="center"/>
            <w:tcMar>
              <w:top w:w="90" w:type="dxa"/>
              <w:left w:w="90" w:type="dxa"/>
              <w:bottom w:w="90" w:type="dxa"/>
              <w:right w:w="90" w:type="dxa"/>
            </w:tcMar>
            <w:shd w:fill="E7EDF3"/>
          </w:tcPr>
          <w:p>
            <w:pPr>
              <w:spacing w:after="20" w:line="252" w:lineRule="auto"/>
            </w:pPr>
            <w:r>
              <w:rPr>
                <w:b/>
                <w:sz w:val="18"/>
              </w:rPr>
              <w:t>Scenario</w:t>
            </w:r>
          </w:p>
        </w:tc>
        <w:tc>
          <w:tcPr>
            <w:tcW w:type="dxa" w:w="1224"/>
            <w:vAlign w:val="center"/>
            <w:tcMar>
              <w:top w:w="90" w:type="dxa"/>
              <w:left w:w="90" w:type="dxa"/>
              <w:bottom w:w="90" w:type="dxa"/>
              <w:right w:w="90" w:type="dxa"/>
            </w:tcMar>
            <w:shd w:fill="E7EDF3"/>
          </w:tcPr>
          <w:p>
            <w:pPr>
              <w:spacing w:after="20" w:line="252" w:lineRule="auto"/>
              <w:jc w:val="center"/>
            </w:pPr>
            <w:r>
              <w:rPr>
                <w:b/>
                <w:sz w:val="18"/>
              </w:rPr>
              <w:t>Chapters</w:t>
            </w:r>
          </w:p>
        </w:tc>
        <w:tc>
          <w:tcPr>
            <w:tcW w:type="dxa" w:w="5472"/>
            <w:vAlign w:val="center"/>
            <w:tcMar>
              <w:top w:w="90" w:type="dxa"/>
              <w:left w:w="90" w:type="dxa"/>
              <w:bottom w:w="90" w:type="dxa"/>
              <w:right w:w="90" w:type="dxa"/>
            </w:tcMar>
            <w:shd w:fill="E7EDF3"/>
          </w:tcPr>
          <w:p>
            <w:pPr>
              <w:spacing w:after="20" w:line="252" w:lineRule="auto"/>
            </w:pPr>
            <w:r>
              <w:rPr>
                <w:b/>
                <w:sz w:val="18"/>
              </w:rPr>
              <w:t>Observable check</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Missing evidence</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11, 13</w:t>
            </w:r>
          </w:p>
        </w:tc>
        <w:tc>
          <w:tcPr>
            <w:tcW w:type="dxa" w:w="5472"/>
            <w:vAlign w:val="center"/>
            <w:tcMar>
              <w:top w:w="90" w:type="dxa"/>
              <w:left w:w="90" w:type="dxa"/>
              <w:bottom w:w="90" w:type="dxa"/>
              <w:right w:w="90" w:type="dxa"/>
            </w:tcMar>
            <w:shd w:fill="FFFFFF"/>
          </w:tcPr>
          <w:p>
            <w:pPr>
              <w:spacing w:after="20" w:line="252" w:lineRule="auto"/>
            </w:pPr>
            <w:r>
              <w:rPr>
                <w:b w:val="0"/>
                <w:sz w:val="18"/>
              </w:rPr>
              <w:t>The system abstains or requests useful clarification</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Conflicting documents</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11, 13</w:t>
            </w:r>
          </w:p>
        </w:tc>
        <w:tc>
          <w:tcPr>
            <w:tcW w:type="dxa" w:w="5472"/>
            <w:vAlign w:val="center"/>
            <w:tcMar>
              <w:top w:w="90" w:type="dxa"/>
              <w:left w:w="90" w:type="dxa"/>
              <w:bottom w:w="90" w:type="dxa"/>
              <w:right w:w="90" w:type="dxa"/>
            </w:tcMar>
            <w:shd w:fill="FFFFFF"/>
          </w:tcPr>
          <w:p>
            <w:pPr>
              <w:spacing w:after="20" w:line="252" w:lineRule="auto"/>
            </w:pPr>
            <w:r>
              <w:rPr>
                <w:b w:val="0"/>
                <w:sz w:val="18"/>
              </w:rPr>
              <w:t>The answer resolves version scope or exposes the conflict</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Malformed or semantically invalid output</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3, 7</w:t>
            </w:r>
          </w:p>
        </w:tc>
        <w:tc>
          <w:tcPr>
            <w:tcW w:type="dxa" w:w="5472"/>
            <w:vAlign w:val="center"/>
            <w:tcMar>
              <w:top w:w="90" w:type="dxa"/>
              <w:left w:w="90" w:type="dxa"/>
              <w:bottom w:w="90" w:type="dxa"/>
              <w:right w:w="90" w:type="dxa"/>
            </w:tcMar>
            <w:shd w:fill="FFFFFF"/>
          </w:tcPr>
          <w:p>
            <w:pPr>
              <w:spacing w:after="20" w:line="252" w:lineRule="auto"/>
            </w:pPr>
            <w:r>
              <w:rPr>
                <w:b w:val="0"/>
                <w:sz w:val="18"/>
              </w:rPr>
              <w:t>Invalid data does not enter authoritative application state</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Permission changes</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11, 15, 23</w:t>
            </w:r>
          </w:p>
        </w:tc>
        <w:tc>
          <w:tcPr>
            <w:tcW w:type="dxa" w:w="5472"/>
            <w:vAlign w:val="center"/>
            <w:tcMar>
              <w:top w:w="90" w:type="dxa"/>
              <w:left w:w="90" w:type="dxa"/>
              <w:bottom w:w="90" w:type="dxa"/>
              <w:right w:w="90" w:type="dxa"/>
            </w:tcMar>
            <w:shd w:fill="FFFFFF"/>
          </w:tcPr>
          <w:p>
            <w:pPr>
              <w:spacing w:after="20" w:line="252" w:lineRule="auto"/>
            </w:pPr>
            <w:r>
              <w:rPr>
                <w:b w:val="0"/>
                <w:sz w:val="18"/>
              </w:rPr>
              <w:t>Revoked data cannot be retrieved or reused from cache or memory</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Duplicate execution attempt</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16, 19</w:t>
            </w:r>
          </w:p>
        </w:tc>
        <w:tc>
          <w:tcPr>
            <w:tcW w:type="dxa" w:w="5472"/>
            <w:vAlign w:val="center"/>
            <w:tcMar>
              <w:top w:w="90" w:type="dxa"/>
              <w:left w:w="90" w:type="dxa"/>
              <w:bottom w:w="90" w:type="dxa"/>
              <w:right w:w="90" w:type="dxa"/>
            </w:tcMar>
            <w:shd w:fill="FFFFFF"/>
          </w:tcPr>
          <w:p>
            <w:pPr>
              <w:spacing w:after="20" w:line="252" w:lineRule="auto"/>
            </w:pPr>
            <w:r>
              <w:rPr>
                <w:b w:val="0"/>
                <w:sz w:val="18"/>
              </w:rPr>
              <w:t>Actual state reflects at most one intended mutation</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Interrupted work</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16, 18, 25</w:t>
            </w:r>
          </w:p>
        </w:tc>
        <w:tc>
          <w:tcPr>
            <w:tcW w:type="dxa" w:w="5472"/>
            <w:vAlign w:val="center"/>
            <w:tcMar>
              <w:top w:w="90" w:type="dxa"/>
              <w:left w:w="90" w:type="dxa"/>
              <w:bottom w:w="90" w:type="dxa"/>
              <w:right w:w="90" w:type="dxa"/>
            </w:tcMar>
            <w:shd w:fill="FFFFFF"/>
          </w:tcPr>
          <w:p>
            <w:pPr>
              <w:spacing w:after="20" w:line="252" w:lineRule="auto"/>
            </w:pPr>
            <w:r>
              <w:rPr>
                <w:b w:val="0"/>
                <w:sz w:val="18"/>
              </w:rPr>
              <w:t>Resumption reconciles progress with actual state</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Prompt injection</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15, 23</w:t>
            </w:r>
          </w:p>
        </w:tc>
        <w:tc>
          <w:tcPr>
            <w:tcW w:type="dxa" w:w="5472"/>
            <w:vAlign w:val="center"/>
            <w:tcMar>
              <w:top w:w="90" w:type="dxa"/>
              <w:left w:w="90" w:type="dxa"/>
              <w:bottom w:w="90" w:type="dxa"/>
              <w:right w:w="90" w:type="dxa"/>
            </w:tcMar>
            <w:shd w:fill="FFFFFF"/>
          </w:tcPr>
          <w:p>
            <w:pPr>
              <w:spacing w:after="20" w:line="252" w:lineRule="auto"/>
            </w:pPr>
            <w:r>
              <w:rPr>
                <w:b w:val="0"/>
                <w:sz w:val="18"/>
              </w:rPr>
              <w:t>Untrusted content cannot grant authority or bypass enforced controls</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Provider failure</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3, 25, 26</w:t>
            </w:r>
          </w:p>
        </w:tc>
        <w:tc>
          <w:tcPr>
            <w:tcW w:type="dxa" w:w="5472"/>
            <w:vAlign w:val="center"/>
            <w:tcMar>
              <w:top w:w="90" w:type="dxa"/>
              <w:left w:w="90" w:type="dxa"/>
              <w:bottom w:w="90" w:type="dxa"/>
              <w:right w:w="90" w:type="dxa"/>
            </w:tcMar>
            <w:shd w:fill="FFFFFF"/>
          </w:tcPr>
          <w:p>
            <w:pPr>
              <w:spacing w:after="20" w:line="252" w:lineRule="auto"/>
            </w:pPr>
            <w:r>
              <w:rPr>
                <w:b w:val="0"/>
                <w:sz w:val="18"/>
              </w:rPr>
              <w:t>Failure is recorded and the user receives a recoverable outcome</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Budget exhaustion</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17, 27</w:t>
            </w:r>
          </w:p>
        </w:tc>
        <w:tc>
          <w:tcPr>
            <w:tcW w:type="dxa" w:w="5472"/>
            <w:vAlign w:val="center"/>
            <w:tcMar>
              <w:top w:w="90" w:type="dxa"/>
              <w:left w:w="90" w:type="dxa"/>
              <w:bottom w:w="90" w:type="dxa"/>
              <w:right w:w="90" w:type="dxa"/>
            </w:tcMar>
            <w:shd w:fill="FFFFFF"/>
          </w:tcPr>
          <w:p>
            <w:pPr>
              <w:spacing w:after="20" w:line="252" w:lineRule="auto"/>
            </w:pPr>
            <w:r>
              <w:rPr>
                <w:b w:val="0"/>
                <w:sz w:val="18"/>
              </w:rPr>
              <w:t>Work stops and completed versus unresolved work remains inspectable</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Model upgrade regression</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10, 25, 28</w:t>
            </w:r>
          </w:p>
        </w:tc>
        <w:tc>
          <w:tcPr>
            <w:tcW w:type="dxa" w:w="5472"/>
            <w:vAlign w:val="center"/>
            <w:tcMar>
              <w:top w:w="90" w:type="dxa"/>
              <w:left w:w="90" w:type="dxa"/>
              <w:bottom w:w="90" w:type="dxa"/>
              <w:right w:w="90" w:type="dxa"/>
            </w:tcMar>
            <w:shd w:fill="FFFFFF"/>
          </w:tcPr>
          <w:p>
            <w:pPr>
              <w:spacing w:after="20" w:line="252" w:lineRule="auto"/>
            </w:pPr>
            <w:r>
              <w:rPr>
                <w:b w:val="0"/>
                <w:sz w:val="18"/>
              </w:rPr>
              <w:t>The fresh comparison detects the regression and supports rollback</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Misleading grader</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9, 19</w:t>
            </w:r>
          </w:p>
        </w:tc>
        <w:tc>
          <w:tcPr>
            <w:tcW w:type="dxa" w:w="5472"/>
            <w:vAlign w:val="center"/>
            <w:tcMar>
              <w:top w:w="90" w:type="dxa"/>
              <w:left w:w="90" w:type="dxa"/>
              <w:bottom w:w="90" w:type="dxa"/>
              <w:right w:w="90" w:type="dxa"/>
            </w:tcMar>
            <w:shd w:fill="FFFFFF"/>
          </w:tcPr>
          <w:p>
            <w:pPr>
              <w:spacing w:after="20" w:line="252" w:lineRule="auto"/>
            </w:pPr>
            <w:r>
              <w:rPr>
                <w:b w:val="0"/>
                <w:sz w:val="18"/>
              </w:rPr>
              <w:t>Human-reference comparison exposes grader error</w:t>
            </w:r>
          </w:p>
        </w:tc>
      </w:tr>
      <w:tr>
        <w:trPr>
          <w:cantSplit/>
        </w:trPr>
        <w:tc>
          <w:tcPr>
            <w:tcW w:type="dxa" w:w="3384"/>
            <w:vAlign w:val="center"/>
            <w:tcMar>
              <w:top w:w="90" w:type="dxa"/>
              <w:left w:w="90" w:type="dxa"/>
              <w:bottom w:w="90" w:type="dxa"/>
              <w:right w:w="90" w:type="dxa"/>
            </w:tcMar>
            <w:shd w:fill="FFFFFF"/>
          </w:tcPr>
          <w:p>
            <w:pPr>
              <w:spacing w:after="20" w:line="252" w:lineRule="auto"/>
            </w:pPr>
            <w:r>
              <w:rPr>
                <w:b w:val="0"/>
                <w:sz w:val="18"/>
              </w:rPr>
              <w:t>Ineffective human review</w:t>
            </w:r>
          </w:p>
        </w:tc>
        <w:tc>
          <w:tcPr>
            <w:tcW w:type="dxa" w:w="1224"/>
            <w:vAlign w:val="center"/>
            <w:tcMar>
              <w:top w:w="90" w:type="dxa"/>
              <w:left w:w="90" w:type="dxa"/>
              <w:bottom w:w="90" w:type="dxa"/>
              <w:right w:w="90" w:type="dxa"/>
            </w:tcMar>
            <w:shd w:fill="FFFFFF"/>
          </w:tcPr>
          <w:p>
            <w:pPr>
              <w:spacing w:after="20" w:line="252" w:lineRule="auto"/>
              <w:jc w:val="center"/>
            </w:pPr>
            <w:r>
              <w:rPr>
                <w:b w:val="0"/>
                <w:sz w:val="18"/>
              </w:rPr>
              <w:t>24</w:t>
            </w:r>
          </w:p>
        </w:tc>
        <w:tc>
          <w:tcPr>
            <w:tcW w:type="dxa" w:w="5472"/>
            <w:vAlign w:val="center"/>
            <w:tcMar>
              <w:top w:w="90" w:type="dxa"/>
              <w:left w:w="90" w:type="dxa"/>
              <w:bottom w:w="90" w:type="dxa"/>
              <w:right w:w="90" w:type="dxa"/>
            </w:tcMar>
            <w:shd w:fill="FFFFFF"/>
          </w:tcPr>
          <w:p>
            <w:pPr>
              <w:spacing w:after="20" w:line="252" w:lineRule="auto"/>
            </w:pPr>
            <w:r>
              <w:rPr>
                <w:b w:val="0"/>
                <w:sz w:val="18"/>
              </w:rPr>
              <w:t>The walkthrough reveals whether a reviewer can recognize and correct the error</w:t>
            </w:r>
          </w:p>
        </w:tc>
      </w:tr>
    </w:tbl>
    <w:p>
      <w:pPr>
        <w:spacing w:after="40"/>
      </w:pPr>
    </w:p>
    <w:p>
      <w:pPr>
        <w:pStyle w:val="Heading2"/>
      </w:pPr>
      <w:r>
        <w:t>Capstone evidence package</w:t>
      </w:r>
    </w:p>
    <w:p>
      <w:r>
        <w:rPr>
          <w:b w:val="0"/>
        </w:rPr>
        <w:t>The final submission must contain a problem brief and architecture decisions; a data record with provenance, permissions, splits, and versions; an evaluation report with grader validation and uncertainty; a release manifest; representative traces; a threat model; a resource budget and cost analysis; operating and incident procedures; a recovery demonstration; and a user-facing account of limitations and escalation paths.</w:t>
      </w:r>
    </w:p>
    <w:p>
      <w:r>
        <w:rPr>
          <w:b w:val="0"/>
        </w:rPr>
        <w:t>Assess six dimensions on a 0–3 scale: problem framing, data and measurement, implementation and authority, reliability and operations, human responsibility, and independent explanation. A score of 0 means absent evidence; 1 means an unsupported assertion or demonstration alone; 2 means reproducible evidence with stated limitations; 3 means reproducible evidence plus independent challenge, failure analysis, and a defended decision. Require at least 2 in every dimension, with no unresolved critical authorization or data-integrity failure in any proposed release.</w:t>
      </w:r>
    </w:p>
    <w:p>
      <w:r>
        <w:rPr>
          <w:b w:val="0"/>
        </w:rPr>
        <w:t>A supported no-release decision can satisfy the educational capstone when the reader diagnoses the failure, demonstrates the relevant controls, and supplies a concrete remediation or restricted-use plan. It does not count as a successful production release. Record educational completion and deployment readiness separately.</w:t>
      </w:r>
    </w:p>
    <w:p>
      <w:r>
        <w:rPr>
          <w:b w:val="0"/>
        </w:rPr>
        <w:t>For independent explanation, ask the reader to trace one request, reproduce one comparison, diagnose an unfamiliar failure, and explain one rejected alternative. AI assistance may be used during development, but generated prose alone cannot establish the reader's understanding.</w:t>
      </w:r>
    </w:p>
    <w:p>
      <w:pPr>
        <w:pStyle w:val="Heading2"/>
      </w:pPr>
      <w:r>
        <w:t>Companion repository specification</w:t>
      </w:r>
    </w:p>
    <w:p>
      <w:r>
        <w:rPr>
          <w:b w:val="0"/>
        </w:rPr>
        <w:t>The future companion repository should contain chapter checkpoints, a stable starting application, documented fictional data, separate evaluation collections, deliberately broken exercises, corrected reference implementations, model adapters, a fixture replay mode, evaluation runners, release manifests, and deployment examples. Each checkpoint must map back to the chapter's prerequisites and completion evidence.</w:t>
      </w:r>
    </w:p>
    <w:p>
      <w:r>
        <w:rPr>
          <w:b w:val="0"/>
        </w:rPr>
        <w:t>Core labs should run on a laptop with bounded model access. Clearly label cloud, hardware, or paid-service requirements for advanced labs. Supply inspectable recorded results where an expensive experiment is optional, and identify the originating code, inputs, model version, date, and environment. If an experiment has not been run, label it as an exercise specification instead of providing invented measurements.</w:t>
      </w:r>
    </w:p>
    <w:p>
      <w:r>
        <w:rPr>
          <w:b w:val="0"/>
        </w:rPr>
        <w:t>Do not create placeholder test results or empty checkpoint directories as evidence of companion completion. Build and verify each checkpoint when its chapter is authored. Maintain the teaching material through explicit versioned releases so readers can reproduce historical results even as live services change.</w:t>
      </w:r>
    </w:p>
    <w:p>
      <w:pPr>
        <w:pStyle w:val="Heading2"/>
      </w:pPr>
      <w:r>
        <w:t>Appendix briefs</w:t>
      </w:r>
    </w:p>
    <w:p>
      <w:pPr>
        <w:pStyle w:val="Heading3"/>
      </w:pPr>
      <w:r>
        <w:t>Python bridge</w:t>
      </w:r>
    </w:p>
    <w:p>
      <w:r>
        <w:rPr>
          <w:b w:val="0"/>
        </w:rPr>
        <w:t>Provide a concise bridge for experienced programmers: environments, typing, data structures, exceptions, asynchronous I/O, numerical arrays, serialization, and test execution. Use it to remove ecosystem friction without reteaching programming. Keep changing installation commands in companion instructions.</w:t>
      </w:r>
    </w:p>
    <w:p>
      <w:pPr>
        <w:pStyle w:val="Heading3"/>
      </w:pPr>
      <w:r>
        <w:t>Mathematical reference</w:t>
      </w:r>
    </w:p>
    <w:p>
      <w:r>
        <w:rPr>
          <w:b w:val="0"/>
        </w:rPr>
        <w:t>Provide notation and worked examples for vectors, matrices, dot products, probability, conditional probability, expectation, variance, logarithms, loss, gradients, precision, recall, F1, sampling intervals, and paired comparisons. Cross-reference the chapter where each concept first affects a decision.</w:t>
      </w:r>
    </w:p>
    <w:p>
      <w:pPr>
        <w:pStyle w:val="Heading3"/>
      </w:pPr>
      <w:r>
        <w:t>Terminology glossary</w:t>
      </w:r>
    </w:p>
    <w:p>
      <w:r>
        <w:rPr>
          <w:b w:val="0"/>
        </w:rPr>
        <w:t>Define model, parameter, token, embedding, training, inference, context, retrieval, grounding, hallucination, adaptation, workflow, agent, harness, tool, evaluation, grader, verification, calibration, and drift. Record overloaded terms and distinguish authoritative application state from model-visible history.</w:t>
      </w:r>
    </w:p>
    <w:p>
      <w:pPr>
        <w:pStyle w:val="Heading3"/>
      </w:pPr>
      <w:r>
        <w:t>Engineering templates</w:t>
      </w:r>
    </w:p>
    <w:p>
      <w:r>
        <w:rPr>
          <w:b w:val="0"/>
        </w:rPr>
        <w:t>Supply problem briefs, architecture decisions, dataset records, evaluation reports, grader-calibration records, threat models, release decisions, and incident reviews. Each template should ask for evidence and limitations and include a completed fictional example, clearly separated from real measured results.</w:t>
      </w:r>
    </w:p>
    <w:p>
      <w:pPr>
        <w:pStyle w:val="Heading3"/>
      </w:pPr>
      <w:r>
        <w:t>Advanced pathways</w:t>
      </w:r>
    </w:p>
    <w:p>
      <w:r>
        <w:rPr>
          <w:b w:val="0"/>
        </w:rPr>
        <w:t>Offer deeper labs for a small transformer, optimization mathematics, preference training, distributed inference, graph-based retrieval, and browser or computer-use agents. Specify prerequisites, compute requirements, expected evidence, and risks. They extend the core learning path and are not required to complete the application-engineering book.</w:t>
      </w:r>
    </w:p>
    <w:p>
      <w:pPr>
        <w:pStyle w:val="Heading2"/>
      </w:pPr>
      <w:r>
        <w:t>Drafting sequence and publication checks</w:t>
      </w:r>
    </w:p>
    <w:p>
      <w:r>
        <w:rPr>
          <w:b w:val="0"/>
        </w:rPr>
        <w:t>Draft Chapters 1–3 and the minimal companion baseline first, then validate the instructional loop with a representative software-engineering reader. Develop foundations and evaluation next, followed by data/context and controlled action. Author specialization labs after the relevant measurement infrastructure exists. Complete operations and the capstone against the same reproducible application.</w:t>
      </w:r>
    </w:p>
    <w:p>
      <w:r>
        <w:rPr>
          <w:b w:val="0"/>
        </w:rPr>
        <w:t>The 500-page allocation covers main chapters. Front matter, index, references, and appendices are additional; use the remaining space within the approximately 450–550-page editorial range carefully and move expanded reference material to the companion repository if needed. Page budgets are planning estimates, not the length of this blueprint or a guarantee about final typesetting.</w:t>
      </w:r>
    </w:p>
    <w:p>
      <w:r>
        <w:rPr>
          <w:b w:val="0"/>
        </w:rPr>
        <w:t>Before releasing a chapter, verify that its prerequisite concepts have been introduced; its code checkpoint runs; the failure exercise actually fails for the stated reason; its repair changes the measured outcome; its citations support the relevant claims; and its completion criterion can be assessed by someone other than the author. Check that the laboratory setup does not expose real customer data or perform real external actions unintentionally.</w:t>
      </w:r>
    </w:p>
    <w:p>
      <w:r>
        <w:rPr>
          <w:b w:val="0"/>
        </w:rPr>
        <w:t>Before publishing the book, run all core checkpoints in a clean documented environment, recheck model and provider details, validate links and source dates, and distinguish observed results from illustrative calculations. Review the complete typeset manuscript for readability, cross-references, accessible figures, equations, tables, and code formatting. The learner standard is demonstrated competence, with no promise of a specific job title.</w:t>
      </w:r>
    </w:p>
    <w:p>
      <w:pPr>
        <w:pStyle w:val="Heading1"/>
        <w:pageBreakBefore/>
      </w:pPr>
      <w:r>
        <w:t>Source notes</w:t>
      </w:r>
    </w:p>
    <w:p>
      <w:r>
        <w:rPr>
          <w:b w:val="0"/>
        </w:rPr>
        <w:t>The notes below record publication context and the limits of the source's contribution. All sources were consulted on September 5, 2026. They support the curriculum's concepts; they do not validate the proposed page counts, exercises, or acceptance targets.</w:t>
      </w:r>
    </w:p>
    <w:p>
      <w:pPr>
        <w:pStyle w:val="Heading2"/>
        <w:keepNext/>
      </w:pPr>
      <w:r>
        <w:t>AI Engineering</w:t>
      </w:r>
    </w:p>
    <w:p>
      <w:pPr>
        <w:keepNext/>
      </w:pPr>
      <w:r>
        <w:rPr>
          <w:b w:val="0"/>
        </w:rPr>
        <w:t>Carnegie Mellon University Software Engineering Institute. Undated current overview. Institutional discipline definition.</w:t>
      </w:r>
    </w:p>
    <w:p>
      <w:pPr>
        <w:keepNext/>
      </w:pPr>
      <w:hyperlink r:id="rId10">
        <w:r>
          <w:rPr>
            <w:color w:val="245A81"/>
          </w:rPr>
          <w:t>AI Engineering</w:t>
        </w:r>
      </w:hyperlink>
    </w:p>
    <w:p>
      <w:pPr>
        <w:keepNext/>
      </w:pPr>
      <w:r>
        <w:rPr>
          <w:b/>
        </w:rPr>
        <w:t>Contribution:</w:t>
      </w:r>
      <w:r>
        <w:rPr>
          <w:b w:val="0"/>
        </w:rPr>
        <w:t xml:space="preserve"> AI engineering combines systems and software engineering with computer science and human-centered design; SEI identifies human-centered, scalable, and robust and secure pillars.</w:t>
      </w:r>
    </w:p>
    <w:p>
      <w:pPr>
        <w:keepNext w:val="0"/>
      </w:pPr>
      <w:r>
        <w:rPr>
          <w:b/>
        </w:rPr>
        <w:t>Boundary:</w:t>
      </w:r>
      <w:r>
        <w:rPr>
          <w:b w:val="0"/>
        </w:rPr>
        <w:t xml:space="preserve"> A broad institutional definition, not a universal occupational credential or a definition limited to foundation models.</w:t>
      </w:r>
    </w:p>
    <w:p>
      <w:pPr>
        <w:pStyle w:val="Heading2"/>
        <w:keepNext/>
      </w:pPr>
      <w:r>
        <w:t>The Rise of the AI Engineer</w:t>
      </w:r>
    </w:p>
    <w:p>
      <w:pPr>
        <w:keepNext/>
      </w:pPr>
      <w:r>
        <w:rPr>
          <w:b w:val="0"/>
        </w:rPr>
        <w:t>Shawn Wang. 2023-06-30. First-person professional commentary.</w:t>
      </w:r>
    </w:p>
    <w:p>
      <w:pPr>
        <w:keepNext/>
      </w:pPr>
      <w:hyperlink r:id="rId11">
        <w:r>
          <w:rPr>
            <w:color w:val="245A81"/>
          </w:rPr>
          <w:t>The Rise of the AI Engineer</w:t>
        </w:r>
      </w:hyperlink>
    </w:p>
    <w:p>
      <w:pPr>
        <w:keepNext/>
      </w:pPr>
      <w:r>
        <w:rPr>
          <w:b/>
        </w:rPr>
        <w:t>Contribution:</w:t>
      </w:r>
      <w:r>
        <w:rPr>
          <w:b w:val="0"/>
        </w:rPr>
        <w:t xml:space="preserve"> Describes an emerging application-engineering role around foundation models, while acknowledging overlap across model and application work.</w:t>
      </w:r>
    </w:p>
    <w:p>
      <w:pPr>
        <w:keepNext w:val="0"/>
      </w:pPr>
      <w:r>
        <w:rPr>
          <w:b/>
        </w:rPr>
        <w:t>Boundary:</w:t>
      </w:r>
      <w:r>
        <w:rPr>
          <w:b w:val="0"/>
        </w:rPr>
        <w:t xml:space="preserve"> Advocacy and historical framing; employment forecasts and salary examples were not used as current evidence.</w:t>
      </w:r>
    </w:p>
    <w:p>
      <w:pPr>
        <w:pStyle w:val="Heading2"/>
        <w:keepNext/>
      </w:pPr>
      <w:r>
        <w:t>The Shift from Models to Compound AI Systems</w:t>
      </w:r>
    </w:p>
    <w:p>
      <w:pPr>
        <w:keepNext/>
      </w:pPr>
      <w:r>
        <w:rPr>
          <w:b w:val="0"/>
        </w:rPr>
        <w:t>Matei Zaharia, Omar Khattab, Lingjiao Chen, Jared Quincy Davis, Heather Miller, Chris Potts, James Zou, Michael Carbin, Jonathan Frankle, Naveen Rao, and Ali Ghodsi. 2024-02-18. First-party research synthesis.</w:t>
      </w:r>
    </w:p>
    <w:p>
      <w:pPr>
        <w:keepNext/>
      </w:pPr>
      <w:hyperlink r:id="rId12">
        <w:r>
          <w:rPr>
            <w:color w:val="245A81"/>
          </w:rPr>
          <w:t>The Shift from Models to Compound AI Systems</w:t>
        </w:r>
      </w:hyperlink>
    </w:p>
    <w:p>
      <w:pPr>
        <w:keepNext/>
      </w:pPr>
      <w:r>
        <w:rPr>
          <w:b/>
        </w:rPr>
        <w:t>Contribution:</w:t>
      </w:r>
      <w:r>
        <w:rPr>
          <w:b w:val="0"/>
        </w:rPr>
        <w:t xml:space="preserve"> Defines compound systems as interacting models, retrieval, and tools; discusses system design and end-to-end optimization.</w:t>
      </w:r>
    </w:p>
    <w:p>
      <w:pPr>
        <w:keepNext w:val="0"/>
      </w:pPr>
      <w:r>
        <w:rPr>
          <w:b/>
        </w:rPr>
        <w:t>Boundary:</w:t>
      </w:r>
      <w:r>
        <w:rPr>
          <w:b w:val="0"/>
        </w:rPr>
        <w:t xml:space="preserve"> A research perspective rather than proof that complex architectures always outperform simple ones.</w:t>
      </w:r>
    </w:p>
    <w:p>
      <w:pPr>
        <w:pStyle w:val="Heading2"/>
        <w:keepNext/>
      </w:pPr>
      <w:r>
        <w:t>AI Engineering book and other resources</w:t>
      </w:r>
    </w:p>
    <w:p>
      <w:pPr>
        <w:keepNext/>
      </w:pPr>
      <w:r>
        <w:rPr>
          <w:b w:val="0"/>
        </w:rPr>
        <w:t>Chip Huyen. 2025 book; repository is maintained. Author's book description.</w:t>
      </w:r>
    </w:p>
    <w:p>
      <w:pPr>
        <w:keepNext/>
      </w:pPr>
      <w:hyperlink r:id="rId13">
        <w:r>
          <w:rPr>
            <w:color w:val="245A81"/>
          </w:rPr>
          <w:t>AI Engineering book and other resources</w:t>
        </w:r>
      </w:hyperlink>
    </w:p>
    <w:p>
      <w:pPr>
        <w:keepNext/>
      </w:pPr>
      <w:r>
        <w:rPr>
          <w:b/>
        </w:rPr>
        <w:t>Contribution:</w:t>
      </w:r>
      <w:r>
        <w:rPr>
          <w:b w:val="0"/>
        </w:rPr>
        <w:t xml:space="preserve"> Describes foundation-model application engineering and states that the book is not a tutorial book; distinguishes its focus from traditional ML-system development.</w:t>
      </w:r>
    </w:p>
    <w:p>
      <w:pPr>
        <w:keepNext w:val="0"/>
      </w:pPr>
      <w:r>
        <w:rPr>
          <w:b/>
        </w:rPr>
        <w:t>Boundary:</w:t>
      </w:r>
      <w:r>
        <w:rPr>
          <w:b w:val="0"/>
        </w:rPr>
        <w:t xml:space="preserve"> Used for positioning and scope, not for reproducing the book's contents or validating market demand.</w:t>
      </w:r>
    </w:p>
    <w:p>
      <w:pPr>
        <w:pStyle w:val="Heading2"/>
        <w:keepNext/>
      </w:pPr>
      <w:r>
        <w:t>Machine Learning Crash Course prerequisites and prework</w:t>
      </w:r>
    </w:p>
    <w:p>
      <w:pPr>
        <w:keepNext/>
      </w:pPr>
      <w:r>
        <w:rPr>
          <w:b w:val="0"/>
        </w:rPr>
        <w:t>Google. Updated 2025-08-25. Primary curriculum.</w:t>
      </w:r>
    </w:p>
    <w:p>
      <w:pPr>
        <w:keepNext/>
      </w:pPr>
      <w:hyperlink r:id="rId14">
        <w:r>
          <w:rPr>
            <w:color w:val="245A81"/>
          </w:rPr>
          <w:t>Machine Learning Crash Course prerequisites and prework</w:t>
        </w:r>
      </w:hyperlink>
    </w:p>
    <w:p>
      <w:pPr>
        <w:keepNext/>
      </w:pPr>
      <w:r>
        <w:rPr>
          <w:b/>
        </w:rPr>
        <w:t>Contribution:</w:t>
      </w:r>
      <w:r>
        <w:rPr>
          <w:b w:val="0"/>
        </w:rPr>
        <w:t xml:space="preserve"> Does not require previous ML knowledge; expects programming and basic quantitative skills, and labels calculus optional for advanced topics.</w:t>
      </w:r>
    </w:p>
    <w:p>
      <w:pPr>
        <w:keepNext w:val="0"/>
      </w:pPr>
      <w:r>
        <w:rPr>
          <w:b/>
        </w:rPr>
        <w:t>Boundary:</w:t>
      </w:r>
      <w:r>
        <w:rPr>
          <w:b w:val="0"/>
        </w:rPr>
        <w:t xml:space="preserve"> Entry requirements establish accessibility, not sufficient professional competence or the optimal learning sequence.</w:t>
      </w:r>
    </w:p>
    <w:p>
      <w:pPr>
        <w:pStyle w:val="Heading2"/>
        <w:keepNext/>
      </w:pPr>
      <w:r>
        <w:t>CS336 Language Modeling from Scratch</w:t>
      </w:r>
    </w:p>
    <w:p>
      <w:pPr>
        <w:keepNext/>
      </w:pPr>
      <w:r>
        <w:rPr>
          <w:b w:val="0"/>
        </w:rPr>
        <w:t>Tatsunori Hashimoto and Percy Liang, Stanford University. Spring 2026. Primary university curriculum.</w:t>
      </w:r>
    </w:p>
    <w:p>
      <w:pPr>
        <w:keepNext/>
      </w:pPr>
      <w:hyperlink r:id="rId15">
        <w:r>
          <w:rPr>
            <w:color w:val="245A81"/>
          </w:rPr>
          <w:t>CS336 Language Modeling from Scratch</w:t>
        </w:r>
      </w:hyperlink>
    </w:p>
    <w:p>
      <w:pPr>
        <w:keepNext/>
      </w:pPr>
      <w:r>
        <w:rPr>
          <w:b/>
        </w:rPr>
        <w:t>Contribution:</w:t>
      </w:r>
      <w:r>
        <w:rPr>
          <w:b w:val="0"/>
        </w:rPr>
        <w:t xml:space="preserve"> Model construction requires deeper ML, mathematics, and systems prerequisites; assignments cover construction, data, scaling, optimization, and post-training.</w:t>
      </w:r>
    </w:p>
    <w:p>
      <w:pPr>
        <w:keepNext w:val="0"/>
      </w:pPr>
      <w:r>
        <w:rPr>
          <w:b/>
        </w:rPr>
        <w:t>Boundary:</w:t>
      </w:r>
      <w:r>
        <w:rPr>
          <w:b w:val="0"/>
        </w:rPr>
        <w:t xml:space="preserve"> A model-building specialization whose complete prerequisite burden should not be imposed on application-engineering beginners.</w:t>
      </w:r>
    </w:p>
    <w:p>
      <w:pPr>
        <w:pStyle w:val="Heading2"/>
        <w:keepNext/>
      </w:pPr>
      <w:r>
        <w:t>LLM Bootcamp</w:t>
      </w:r>
    </w:p>
    <w:p>
      <w:pPr>
        <w:keepNext/>
      </w:pPr>
      <w:r>
        <w:rPr>
          <w:b w:val="0"/>
        </w:rPr>
        <w:t>Full Stack Deep Learning. Spring 2023. Primary practitioner curriculum.</w:t>
      </w:r>
    </w:p>
    <w:p>
      <w:pPr>
        <w:keepNext/>
      </w:pPr>
      <w:hyperlink r:id="rId16">
        <w:r>
          <w:rPr>
            <w:color w:val="245A81"/>
          </w:rPr>
          <w:t>LLM Bootcamp</w:t>
        </w:r>
      </w:hyperlink>
    </w:p>
    <w:p>
      <w:pPr>
        <w:keepNext/>
      </w:pPr>
      <w:r>
        <w:rPr>
          <w:b/>
        </w:rPr>
        <w:t>Contribution:</w:t>
      </w:r>
      <w:r>
        <w:rPr>
          <w:b w:val="0"/>
        </w:rPr>
        <w:t xml:space="preserve"> Combines a working application with model foundations, prompting, augmented models, UX, and operations.</w:t>
      </w:r>
    </w:p>
    <w:p>
      <w:pPr>
        <w:keepNext w:val="0"/>
      </w:pPr>
      <w:r>
        <w:rPr>
          <w:b/>
        </w:rPr>
        <w:t>Boundary:</w:t>
      </w:r>
      <w:r>
        <w:rPr>
          <w:b w:val="0"/>
        </w:rPr>
        <w:t xml:space="preserve"> Supports lifecycle coverage and practical pedagogy; tooling and specific implementation details are historical.</w:t>
      </w:r>
    </w:p>
    <w:p>
      <w:pPr>
        <w:pStyle w:val="Heading2"/>
        <w:keepNext/>
      </w:pPr>
      <w:r>
        <w:t>Framing an ML problem</w:t>
      </w:r>
    </w:p>
    <w:p>
      <w:pPr>
        <w:keepNext/>
      </w:pPr>
      <w:r>
        <w:rPr>
          <w:b w:val="0"/>
        </w:rPr>
        <w:t>Google. Updated 2025-08-25. Primary educational guidance.</w:t>
      </w:r>
    </w:p>
    <w:p>
      <w:pPr>
        <w:keepNext/>
      </w:pPr>
      <w:hyperlink r:id="rId17">
        <w:r>
          <w:rPr>
            <w:color w:val="245A81"/>
          </w:rPr>
          <w:t>Framing an ML problem</w:t>
        </w:r>
      </w:hyperlink>
    </w:p>
    <w:p>
      <w:pPr>
        <w:keepNext/>
      </w:pPr>
      <w:r>
        <w:rPr>
          <w:b/>
        </w:rPr>
        <w:t>Contribution:</w:t>
      </w:r>
      <w:r>
        <w:rPr>
          <w:b w:val="0"/>
        </w:rPr>
        <w:t xml:space="preserve"> Separates ideal product outcome, model goal, outputs, and business success metrics.</w:t>
      </w:r>
    </w:p>
    <w:p>
      <w:pPr>
        <w:keepNext w:val="0"/>
      </w:pPr>
      <w:r>
        <w:rPr>
          <w:b/>
        </w:rPr>
        <w:t>Boundary:</w:t>
      </w:r>
      <w:r>
        <w:rPr>
          <w:b w:val="0"/>
        </w:rPr>
        <w:t xml:space="preserve"> Instructional examples simplify real-world decision contexts; the proposed support application is editorial work.</w:t>
      </w:r>
    </w:p>
    <w:p>
      <w:pPr>
        <w:pStyle w:val="Heading2"/>
        <w:keepNext/>
      </w:pPr>
      <w:r>
        <w:t>Demystifying evals for AI agents</w:t>
      </w:r>
    </w:p>
    <w:p>
      <w:pPr>
        <w:keepNext/>
      </w:pPr>
      <w:r>
        <w:rPr>
          <w:b w:val="0"/>
        </w:rPr>
        <w:t>Anthropic engineering team. 2026-01-09. First-party engineering practice.</w:t>
      </w:r>
    </w:p>
    <w:p>
      <w:pPr>
        <w:keepNext/>
      </w:pPr>
      <w:hyperlink r:id="rId18">
        <w:r>
          <w:rPr>
            <w:color w:val="245A81"/>
          </w:rPr>
          <w:t>Demystifying evals for AI agents</w:t>
        </w:r>
      </w:hyperlink>
    </w:p>
    <w:p>
      <w:pPr>
        <w:keepNext/>
      </w:pPr>
      <w:r>
        <w:rPr>
          <w:b/>
        </w:rPr>
        <w:t>Contribution:</w:t>
      </w:r>
      <w:r>
        <w:rPr>
          <w:b w:val="0"/>
        </w:rPr>
        <w:t xml:space="preserve"> Distinguishes tasks, trials, graders, transcripts, outcomes, and harnesses; recommends evaluating actual outcomes and calibrating model graders.</w:t>
      </w:r>
    </w:p>
    <w:p>
      <w:pPr>
        <w:keepNext w:val="0"/>
      </w:pPr>
      <w:r>
        <w:rPr>
          <w:b/>
        </w:rPr>
        <w:t>Boundary:</w:t>
      </w:r>
      <w:r>
        <w:rPr>
          <w:b w:val="0"/>
        </w:rPr>
        <w:t xml:space="preserve"> Experience-based guidance, not controlled proof of one universally effective evaluation procedure; benchmark headlines are not adopted.</w:t>
      </w:r>
    </w:p>
    <w:p>
      <w:pPr>
        <w:pStyle w:val="Heading2"/>
        <w:keepNext/>
      </w:pPr>
      <w:r>
        <w:t>Judging LLM-as-a-Judge with MT-Bench and Chatbot Arena</w:t>
      </w:r>
    </w:p>
    <w:p>
      <w:pPr>
        <w:keepNext/>
      </w:pPr>
      <w:r>
        <w:rPr>
          <w:b w:val="0"/>
        </w:rPr>
        <w:t>Lianmin Zheng and colleagues. 2023-06-09; revised 2023-12-24. Original research, NeurIPS 2023 Datasets and Benchmarks.</w:t>
      </w:r>
    </w:p>
    <w:p>
      <w:pPr>
        <w:keepNext/>
      </w:pPr>
      <w:hyperlink r:id="rId19">
        <w:r>
          <w:rPr>
            <w:color w:val="245A81"/>
          </w:rPr>
          <w:t>Judging LLM-as-a-Judge with MT-Bench and Chatbot Arena</w:t>
        </w:r>
      </w:hyperlink>
    </w:p>
    <w:p>
      <w:pPr>
        <w:keepNext/>
      </w:pPr>
      <w:r>
        <w:rPr>
          <w:b/>
        </w:rPr>
        <w:t>Contribution:</w:t>
      </w:r>
      <w:r>
        <w:rPr>
          <w:b w:val="0"/>
        </w:rPr>
        <w:t xml:space="preserve"> Reports agreement with human preferences in studied settings and identifies position, verbosity, self-enhancement, and reasoning limitations.</w:t>
      </w:r>
    </w:p>
    <w:p>
      <w:pPr>
        <w:keepNext w:val="0"/>
      </w:pPr>
      <w:r>
        <w:rPr>
          <w:b/>
        </w:rPr>
        <w:t>Boundary:</w:t>
      </w:r>
      <w:r>
        <w:rPr>
          <w:b w:val="0"/>
        </w:rPr>
        <w:t xml:space="preserve"> Preference agreement is not correctness; performance must be revalidated for another domain, rubric, or model.</w:t>
      </w:r>
    </w:p>
    <w:p>
      <w:pPr>
        <w:pStyle w:val="Heading2"/>
        <w:keepNext/>
      </w:pPr>
      <w:r>
        <w:t>Model Cards for Model Reporting</w:t>
      </w:r>
    </w:p>
    <w:p>
      <w:pPr>
        <w:keepNext/>
      </w:pPr>
      <w:r>
        <w:rPr>
          <w:b w:val="0"/>
        </w:rPr>
        <w:t>Margaret Mitchell and colleagues. 2018-10-05 preprint. Original research proposal.</w:t>
      </w:r>
    </w:p>
    <w:p>
      <w:pPr>
        <w:keepNext/>
      </w:pPr>
      <w:hyperlink r:id="rId20">
        <w:r>
          <w:rPr>
            <w:color w:val="245A81"/>
          </w:rPr>
          <w:t>Model Cards for Model Reporting</w:t>
        </w:r>
      </w:hyperlink>
    </w:p>
    <w:p>
      <w:pPr>
        <w:keepNext/>
      </w:pPr>
      <w:r>
        <w:rPr>
          <w:b/>
        </w:rPr>
        <w:t>Contribution:</w:t>
      </w:r>
      <w:r>
        <w:rPr>
          <w:b w:val="0"/>
        </w:rPr>
        <w:t xml:space="preserve"> Proposes documenting intended uses, evaluation procedures, and performance under relevant conditions and across groups.</w:t>
      </w:r>
    </w:p>
    <w:p>
      <w:pPr>
        <w:keepNext w:val="0"/>
      </w:pPr>
      <w:r>
        <w:rPr>
          <w:b/>
        </w:rPr>
        <w:t>Boundary:</w:t>
      </w:r>
      <w:r>
        <w:rPr>
          <w:b w:val="0"/>
        </w:rPr>
        <w:t xml:space="preserve"> Documentation promotes transparency but does not certify fitness or eliminate risks.</w:t>
      </w:r>
    </w:p>
    <w:p>
      <w:pPr>
        <w:pStyle w:val="Heading2"/>
        <w:keepNext/>
      </w:pPr>
      <w:r>
        <w:t>Retrieval-Augmented Generation for Knowledge-Intensive NLP Tasks</w:t>
      </w:r>
    </w:p>
    <w:p>
      <w:pPr>
        <w:keepNext/>
      </w:pPr>
      <w:r>
        <w:rPr>
          <w:b w:val="0"/>
        </w:rPr>
        <w:t>Patrick Lewis and colleagues. 2020-05-22 preprint; NeurIPS 2020. Original research.</w:t>
      </w:r>
    </w:p>
    <w:p>
      <w:pPr>
        <w:keepNext/>
      </w:pPr>
      <w:hyperlink r:id="rId21">
        <w:r>
          <w:rPr>
            <w:color w:val="245A81"/>
          </w:rPr>
          <w:t>Retrieval-Augmented Generation for Knowledge-Intensive NLP Tasks</w:t>
        </w:r>
      </w:hyperlink>
    </w:p>
    <w:p>
      <w:pPr>
        <w:keepNext/>
      </w:pPr>
      <w:r>
        <w:rPr>
          <w:b/>
        </w:rPr>
        <w:t>Contribution:</w:t>
      </w:r>
      <w:r>
        <w:rPr>
          <w:b w:val="0"/>
        </w:rPr>
        <w:t xml:space="preserve"> Combines parametric model memory with retrieved non-parametric evidence for generation.</w:t>
      </w:r>
    </w:p>
    <w:p>
      <w:pPr>
        <w:keepNext w:val="0"/>
      </w:pPr>
      <w:r>
        <w:rPr>
          <w:b/>
        </w:rPr>
        <w:t>Boundary:</w:t>
      </w:r>
      <w:r>
        <w:rPr>
          <w:b w:val="0"/>
        </w:rPr>
        <w:t xml:space="preserve"> The original trained architecture differs from many contemporary application-level RAG pipelines; historical results are not present-day rankings.</w:t>
      </w:r>
    </w:p>
    <w:p>
      <w:pPr>
        <w:pStyle w:val="Heading2"/>
        <w:keepNext/>
      </w:pPr>
      <w:r>
        <w:t>Retrieval Augmented Generation or Long-Context LLMs? A Comprehensive Study and Hybrid Approach</w:t>
      </w:r>
    </w:p>
    <w:p>
      <w:pPr>
        <w:keepNext/>
      </w:pPr>
      <w:r>
        <w:rPr>
          <w:b w:val="0"/>
        </w:rPr>
        <w:t>Zhuowan Li, Cheng Li, Mingyang Zhang, Qiaozhu Mei, and Michael Bendersky. EMNLP Industry 2024. Original empirical research.</w:t>
      </w:r>
    </w:p>
    <w:p>
      <w:pPr>
        <w:keepNext/>
      </w:pPr>
      <w:hyperlink r:id="rId22">
        <w:r>
          <w:rPr>
            <w:color w:val="245A81"/>
          </w:rPr>
          <w:t>Retrieval Augmented Generation or Long-Context LLMs? A Comprehensive Study and Hybrid Approach</w:t>
        </w:r>
      </w:hyperlink>
    </w:p>
    <w:p>
      <w:pPr>
        <w:keepNext/>
      </w:pPr>
      <w:r>
        <w:rPr>
          <w:b/>
        </w:rPr>
        <w:t>Contribution:</w:t>
      </w:r>
      <w:r>
        <w:rPr>
          <w:b w:val="0"/>
        </w:rPr>
        <w:t xml:space="preserve"> Compares retrieval and long-context approaches; reports quality and cost tradeoffs within the studied models and tasks.</w:t>
      </w:r>
    </w:p>
    <w:p>
      <w:pPr>
        <w:keepNext w:val="0"/>
      </w:pPr>
      <w:r>
        <w:rPr>
          <w:b/>
        </w:rPr>
        <w:t>Boundary:</w:t>
      </w:r>
      <w:r>
        <w:rPr>
          <w:b w:val="0"/>
        </w:rPr>
        <w:t xml:space="preserve"> Does not establish a universal winner or current model economics.</w:t>
      </w:r>
    </w:p>
    <w:p>
      <w:pPr>
        <w:pStyle w:val="Heading2"/>
        <w:keepNext/>
      </w:pPr>
      <w:r>
        <w:t>Long Context vs. RAG for LLMs: An Evaluation and Revisits</w:t>
      </w:r>
    </w:p>
    <w:p>
      <w:pPr>
        <w:keepNext/>
      </w:pPr>
      <w:r>
        <w:rPr>
          <w:b w:val="0"/>
        </w:rPr>
        <w:t>Xinze Li, Yixin Cao, Yubo Ma, and Aixin Sun. Submitted 2024-12-27. Original empirical preprint.</w:t>
      </w:r>
    </w:p>
    <w:p>
      <w:pPr>
        <w:keepNext/>
      </w:pPr>
      <w:hyperlink r:id="rId23">
        <w:r>
          <w:rPr>
            <w:color w:val="245A81"/>
          </w:rPr>
          <w:t>Long Context vs. RAG for LLMs: An Evaluation and Revisits</w:t>
        </w:r>
      </w:hyperlink>
    </w:p>
    <w:p>
      <w:pPr>
        <w:keepNext/>
      </w:pPr>
      <w:r>
        <w:rPr>
          <w:b/>
        </w:rPr>
        <w:t>Contribution:</w:t>
      </w:r>
      <w:r>
        <w:rPr>
          <w:b w:val="0"/>
        </w:rPr>
        <w:t xml:space="preserve"> Revisits evaluation design and reports differences by task and retrieval method, emphasizing context relevance.</w:t>
      </w:r>
    </w:p>
    <w:p>
      <w:pPr>
        <w:keepNext w:val="0"/>
      </w:pPr>
      <w:r>
        <w:rPr>
          <w:b/>
        </w:rPr>
        <w:t>Boundary:</w:t>
      </w:r>
      <w:r>
        <w:rPr>
          <w:b w:val="0"/>
        </w:rPr>
        <w:t xml:space="preserve"> Results are bounded by the datasets, model versions, and methods studied; the arXiv identifier should not be mistaken for the submission date.</w:t>
      </w:r>
    </w:p>
    <w:p>
      <w:pPr>
        <w:pStyle w:val="Heading2"/>
        <w:keepNext/>
      </w:pPr>
      <w:r>
        <w:t>Lost in the Middle: How Language Models Use Long Contexts</w:t>
      </w:r>
    </w:p>
    <w:p>
      <w:pPr>
        <w:keepNext/>
      </w:pPr>
      <w:r>
        <w:rPr>
          <w:b w:val="0"/>
        </w:rPr>
        <w:t>Nelson F. Liu and colleagues. TACL 2024. Original empirical research.</w:t>
      </w:r>
    </w:p>
    <w:p>
      <w:pPr>
        <w:keepNext/>
      </w:pPr>
      <w:hyperlink r:id="rId24">
        <w:r>
          <w:rPr>
            <w:color w:val="245A81"/>
          </w:rPr>
          <w:t>Lost in the Middle: How Language Models Use Long Contexts</w:t>
        </w:r>
      </w:hyperlink>
    </w:p>
    <w:p>
      <w:pPr>
        <w:keepNext/>
      </w:pPr>
      <w:r>
        <w:rPr>
          <w:b/>
        </w:rPr>
        <w:t>Contribution:</w:t>
      </w:r>
      <w:r>
        <w:rPr>
          <w:b w:val="0"/>
        </w:rPr>
        <w:t xml:space="preserve"> Finds position-sensitive use of information in tested long-context question answering and retrieval tasks.</w:t>
      </w:r>
    </w:p>
    <w:p>
      <w:pPr>
        <w:keepNext w:val="0"/>
      </w:pPr>
      <w:r>
        <w:rPr>
          <w:b/>
        </w:rPr>
        <w:t>Boundary:</w:t>
      </w:r>
      <w:r>
        <w:rPr>
          <w:b w:val="0"/>
        </w:rPr>
        <w:t xml:space="preserve"> Provides a failure class and evaluation method, not proof that all future models have an identical degradation curve.</w:t>
      </w:r>
    </w:p>
    <w:p>
      <w:pPr>
        <w:pStyle w:val="Heading2"/>
        <w:keepNext/>
      </w:pPr>
      <w:r>
        <w:t>Effective context engineering for AI agents</w:t>
      </w:r>
    </w:p>
    <w:p>
      <w:pPr>
        <w:keepNext/>
      </w:pPr>
      <w:r>
        <w:rPr>
          <w:b w:val="0"/>
        </w:rPr>
        <w:t>Anthropic Applied AI team. 2025-09-29. First-party engineering guidance.</w:t>
      </w:r>
    </w:p>
    <w:p>
      <w:pPr>
        <w:keepNext/>
      </w:pPr>
      <w:hyperlink r:id="rId25">
        <w:r>
          <w:rPr>
            <w:color w:val="245A81"/>
          </w:rPr>
          <w:t>Effective context engineering for AI agents</w:t>
        </w:r>
      </w:hyperlink>
    </w:p>
    <w:p>
      <w:pPr>
        <w:keepNext/>
      </w:pPr>
      <w:r>
        <w:rPr>
          <w:b/>
        </w:rPr>
        <w:t>Contribution:</w:t>
      </w:r>
      <w:r>
        <w:rPr>
          <w:b w:val="0"/>
        </w:rPr>
        <w:t xml:space="preserve"> Treats instructions, tools, external data, and history as managed context; discusses compaction and persistent notes.</w:t>
      </w:r>
    </w:p>
    <w:p>
      <w:pPr>
        <w:keepNext w:val="0"/>
      </w:pPr>
      <w:r>
        <w:rPr>
          <w:b/>
        </w:rPr>
        <w:t>Boundary:</w:t>
      </w:r>
      <w:r>
        <w:rPr>
          <w:b w:val="0"/>
        </w:rPr>
        <w:t xml:space="preserve"> Practical recommendations and explanatory intuitions should be evaluated on the target model and workload.</w:t>
      </w:r>
    </w:p>
    <w:p>
      <w:pPr>
        <w:pStyle w:val="Heading2"/>
        <w:keepNext/>
      </w:pPr>
      <w:r>
        <w:t>Building effective agents</w:t>
      </w:r>
    </w:p>
    <w:p>
      <w:pPr>
        <w:keepNext/>
      </w:pPr>
      <w:r>
        <w:rPr>
          <w:b w:val="0"/>
        </w:rPr>
        <w:t>Anthropic. 2024-12-19; page includes later tooling updates. First-party engineering guidance.</w:t>
      </w:r>
    </w:p>
    <w:p>
      <w:pPr>
        <w:keepNext/>
      </w:pPr>
      <w:hyperlink r:id="rId26">
        <w:r>
          <w:rPr>
            <w:color w:val="245A81"/>
          </w:rPr>
          <w:t>Building effective agents</w:t>
        </w:r>
      </w:hyperlink>
    </w:p>
    <w:p>
      <w:pPr>
        <w:keepNext/>
      </w:pPr>
      <w:r>
        <w:rPr>
          <w:b/>
        </w:rPr>
        <w:t>Contribution:</w:t>
      </w:r>
      <w:r>
        <w:rPr>
          <w:b w:val="0"/>
        </w:rPr>
        <w:t xml:space="preserve"> Distinguishes predefined workflows from model-directed control and recommends increasing complexity only when needed.</w:t>
      </w:r>
    </w:p>
    <w:p>
      <w:pPr>
        <w:keepNext w:val="0"/>
      </w:pPr>
      <w:r>
        <w:rPr>
          <w:b/>
        </w:rPr>
        <w:t>Boundary:</w:t>
      </w:r>
      <w:r>
        <w:rPr>
          <w:b w:val="0"/>
        </w:rPr>
        <w:t xml:space="preserve"> Architecture patterns remain useful but named tools on the living page have changed since initial publication.</w:t>
      </w:r>
    </w:p>
    <w:p>
      <w:pPr>
        <w:pStyle w:val="Heading2"/>
        <w:keepNext/>
      </w:pPr>
      <w:r>
        <w:t>Effective harnesses for long-running agents</w:t>
      </w:r>
    </w:p>
    <w:p>
      <w:pPr>
        <w:keepNext/>
      </w:pPr>
      <w:r>
        <w:rPr>
          <w:b w:val="0"/>
        </w:rPr>
        <w:t>Justin Young, Anthropic. 2025-11-26. First-party engineering experiment.</w:t>
      </w:r>
    </w:p>
    <w:p>
      <w:pPr>
        <w:keepNext/>
      </w:pPr>
      <w:hyperlink r:id="rId28">
        <w:r>
          <w:rPr>
            <w:color w:val="245A81"/>
          </w:rPr>
          <w:t>Effective harnesses for long-running agents</w:t>
        </w:r>
      </w:hyperlink>
    </w:p>
    <w:p>
      <w:pPr>
        <w:keepNext/>
      </w:pPr>
      <w:r>
        <w:rPr>
          <w:b/>
        </w:rPr>
        <w:t>Contribution:</w:t>
      </w:r>
      <w:r>
        <w:rPr>
          <w:b w:val="0"/>
        </w:rPr>
        <w:t xml:space="preserve"> Describes incremental work, persistent progress artifacts, environment checks, and testing across context windows.</w:t>
      </w:r>
    </w:p>
    <w:p>
      <w:pPr>
        <w:keepNext w:val="0"/>
      </w:pPr>
      <w:r>
        <w:rPr>
          <w:b/>
        </w:rPr>
        <w:t>Boundary:</w:t>
      </w:r>
      <w:r>
        <w:rPr>
          <w:b w:val="0"/>
        </w:rPr>
        <w:t xml:space="preserve"> A coding-focused demonstration; generalization and optimal single-agent versus multi-agent architecture remain open.</w:t>
      </w:r>
    </w:p>
    <w:p>
      <w:pPr>
        <w:pStyle w:val="Heading2"/>
        <w:keepNext/>
      </w:pPr>
      <w:r>
        <w:t>How we built our multi-agent research system</w:t>
      </w:r>
    </w:p>
    <w:p>
      <w:pPr>
        <w:keepNext/>
      </w:pPr>
      <w:r>
        <w:rPr>
          <w:b w:val="0"/>
        </w:rPr>
        <w:t>Anthropic engineering team. 2025-06-13. First-party production account.</w:t>
      </w:r>
    </w:p>
    <w:p>
      <w:pPr>
        <w:keepNext/>
      </w:pPr>
      <w:hyperlink r:id="rId27">
        <w:r>
          <w:rPr>
            <w:color w:val="245A81"/>
          </w:rPr>
          <w:t>How we built our multi-agent research system</w:t>
        </w:r>
      </w:hyperlink>
    </w:p>
    <w:p>
      <w:pPr>
        <w:keepNext/>
      </w:pPr>
      <w:r>
        <w:rPr>
          <w:b/>
        </w:rPr>
        <w:t>Contribution:</w:t>
      </w:r>
      <w:r>
        <w:rPr>
          <w:b w:val="0"/>
        </w:rPr>
        <w:t xml:space="preserve"> Documents research delegation and its coordination, evaluation, reliability, and token-consumption tradeoffs.</w:t>
      </w:r>
    </w:p>
    <w:p>
      <w:pPr>
        <w:keepNext w:val="0"/>
      </w:pPr>
      <w:r>
        <w:rPr>
          <w:b/>
        </w:rPr>
        <w:t>Boundary:</w:t>
      </w:r>
      <w:r>
        <w:rPr>
          <w:b w:val="0"/>
        </w:rPr>
        <w:t xml:space="preserve"> Internal comparisons do not establish that delegation is best for all tasks or under equal resources.</w:t>
      </w:r>
    </w:p>
    <w:p>
      <w:pPr>
        <w:pStyle w:val="Heading2"/>
        <w:keepNext/>
      </w:pPr>
      <w:r>
        <w:t>LoRA: Low-Rank Adaptation of Large Language Models</w:t>
      </w:r>
    </w:p>
    <w:p>
      <w:pPr>
        <w:keepNext/>
      </w:pPr>
      <w:r>
        <w:rPr>
          <w:b w:val="0"/>
        </w:rPr>
        <w:t>Edward J. Hu and colleagues. 2021-06-17 preprint. Original research.</w:t>
      </w:r>
    </w:p>
    <w:p>
      <w:pPr>
        <w:keepNext/>
      </w:pPr>
      <w:hyperlink r:id="rId29">
        <w:r>
          <w:rPr>
            <w:color w:val="245A81"/>
          </w:rPr>
          <w:t>LoRA: Low-Rank Adaptation of Large Language Models</w:t>
        </w:r>
      </w:hyperlink>
    </w:p>
    <w:p>
      <w:pPr>
        <w:keepNext/>
      </w:pPr>
      <w:r>
        <w:rPr>
          <w:b/>
        </w:rPr>
        <w:t>Contribution:</w:t>
      </w:r>
      <w:r>
        <w:rPr>
          <w:b w:val="0"/>
        </w:rPr>
        <w:t xml:space="preserve"> Freezes pretrained weights and introduces trainable low-rank matrices to reduce the trainable parameter burden.</w:t>
      </w:r>
    </w:p>
    <w:p>
      <w:pPr>
        <w:keepNext w:val="0"/>
      </w:pPr>
      <w:r>
        <w:rPr>
          <w:b/>
        </w:rPr>
        <w:t>Boundary:</w:t>
      </w:r>
      <w:r>
        <w:rPr>
          <w:b w:val="0"/>
        </w:rPr>
        <w:t xml:space="preserve"> Does not imply adaptation is always necessary or that an adapter matches full fine-tuning on every task.</w:t>
      </w:r>
    </w:p>
    <w:p>
      <w:pPr>
        <w:pStyle w:val="Heading2"/>
        <w:keepNext/>
      </w:pPr>
      <w:r>
        <w:t>MMMU-Pro: A More Robust Multi-discipline Multimodal Understanding Benchmark</w:t>
      </w:r>
    </w:p>
    <w:p>
      <w:pPr>
        <w:keepNext/>
      </w:pPr>
      <w:r>
        <w:rPr>
          <w:b w:val="0"/>
        </w:rPr>
        <w:t>Xiang Yue and colleagues. 2024-09-04; revised 2025-05-22; ACL 2025. Original benchmark research.</w:t>
      </w:r>
    </w:p>
    <w:p>
      <w:pPr>
        <w:keepNext/>
      </w:pPr>
      <w:hyperlink r:id="rId30">
        <w:r>
          <w:rPr>
            <w:color w:val="245A81"/>
          </w:rPr>
          <w:t>MMMU-Pro: A More Robust Multi-discipline Multimodal Understanding Benchmark</w:t>
        </w:r>
      </w:hyperlink>
    </w:p>
    <w:p>
      <w:pPr>
        <w:keepNext/>
      </w:pPr>
      <w:r>
        <w:rPr>
          <w:b/>
        </w:rPr>
        <w:t>Contribution:</w:t>
      </w:r>
      <w:r>
        <w:rPr>
          <w:b w:val="0"/>
        </w:rPr>
        <w:t xml:space="preserve"> Strengthens multimodal evaluation by removing text-only shortcuts and testing questions embedded in images.</w:t>
      </w:r>
    </w:p>
    <w:p>
      <w:pPr>
        <w:keepNext w:val="0"/>
      </w:pPr>
      <w:r>
        <w:rPr>
          <w:b/>
        </w:rPr>
        <w:t>Boundary:</w:t>
      </w:r>
      <w:r>
        <w:rPr>
          <w:b w:val="0"/>
        </w:rPr>
        <w:t xml:space="preserve"> A benchmark-design lesson, not evidence for universal current multimodal capability or application accuracy.</w:t>
      </w:r>
    </w:p>
    <w:p>
      <w:pPr>
        <w:pStyle w:val="Heading2"/>
        <w:keepNext/>
      </w:pPr>
      <w:r>
        <w:t>OWASP GenAI LLM Top 10 2026</w:t>
      </w:r>
    </w:p>
    <w:p>
      <w:pPr>
        <w:keepNext/>
      </w:pPr>
      <w:r>
        <w:rPr>
          <w:b w:val="0"/>
        </w:rPr>
        <w:t>OWASP GenAI Security Project. August 2026. Community security guidance.</w:t>
      </w:r>
    </w:p>
    <w:p>
      <w:pPr>
        <w:keepNext/>
      </w:pPr>
      <w:hyperlink r:id="rId31">
        <w:r>
          <w:rPr>
            <w:color w:val="245A81"/>
          </w:rPr>
          <w:t>OWASP GenAI LLM Top 10 2026</w:t>
        </w:r>
      </w:hyperlink>
    </w:p>
    <w:p>
      <w:pPr>
        <w:keepNext/>
      </w:pPr>
      <w:r>
        <w:rPr>
          <w:b/>
        </w:rPr>
        <w:t>Contribution:</w:t>
      </w:r>
      <w:r>
        <w:rPr>
          <w:b w:val="0"/>
        </w:rPr>
        <w:t xml:space="preserve"> Provides application threat scenarios and mitigations covering injection, disclosure, authority, resource consumption, and other risks.</w:t>
      </w:r>
    </w:p>
    <w:p>
      <w:pPr>
        <w:keepNext w:val="0"/>
      </w:pPr>
      <w:r>
        <w:rPr>
          <w:b/>
        </w:rPr>
        <w:t>Boundary:</w:t>
      </w:r>
      <w:r>
        <w:rPr>
          <w:b w:val="0"/>
        </w:rPr>
        <w:t xml:space="preserve"> A prioritization aid rather than universal risk prevalence or a compliance certification. Publication landing pages differ by one day, so month is used.</w:t>
      </w:r>
    </w:p>
    <w:p>
      <w:pPr>
        <w:pStyle w:val="Heading2"/>
        <w:keepNext/>
      </w:pPr>
      <w:r>
        <w:t>Artificial Intelligence Risk Management Framework: Generative Artificial Intelligence Profile</w:t>
      </w:r>
    </w:p>
    <w:p>
      <w:pPr>
        <w:keepNext/>
      </w:pPr>
      <w:r>
        <w:rPr>
          <w:b w:val="0"/>
        </w:rPr>
        <w:t>Chloe Autio, Reva Schwartz, Jesse Dunietz, Shomik Jain, Martin Stanley, Elham Tabassi, Patrick Hall, and Kamie Roberts. 2024-07-26. Voluntary government risk-management guidance, NIST AI 600-1.</w:t>
      </w:r>
    </w:p>
    <w:p>
      <w:pPr>
        <w:keepNext/>
      </w:pPr>
      <w:hyperlink r:id="rId32">
        <w:r>
          <w:rPr>
            <w:color w:val="245A81"/>
          </w:rPr>
          <w:t>Artificial Intelligence Risk Management Framework: Generative Artificial Intelligence Profile</w:t>
        </w:r>
      </w:hyperlink>
    </w:p>
    <w:p>
      <w:pPr>
        <w:keepNext/>
      </w:pPr>
      <w:r>
        <w:rPr>
          <w:b/>
        </w:rPr>
        <w:t>Contribution:</w:t>
      </w:r>
      <w:r>
        <w:rPr>
          <w:b w:val="0"/>
        </w:rPr>
        <w:t xml:space="preserve"> Addresses context-dependent risks across the lifecycle, including privacy, confabulation, harmful bias, human configuration, and component integration.</w:t>
      </w:r>
    </w:p>
    <w:p>
      <w:pPr>
        <w:keepNext w:val="0"/>
      </w:pPr>
      <w:r>
        <w:rPr>
          <w:b/>
        </w:rPr>
        <w:t>Boundary:</w:t>
      </w:r>
      <w:r>
        <w:rPr>
          <w:b w:val="0"/>
        </w:rPr>
        <w:t xml:space="preserve"> Voluntary guidance; use does not establish legal compliance or eliminate harm. Historical executive-order context is not treated as current law.</w:t>
      </w:r>
    </w:p>
    <w:p>
      <w:pPr>
        <w:pStyle w:val="Heading2"/>
        <w:keepNext/>
      </w:pPr>
      <w:r>
        <w:t>Guidelines for Human-AI Interaction</w:t>
      </w:r>
    </w:p>
    <w:p>
      <w:pPr>
        <w:keepNext/>
      </w:pPr>
      <w:r>
        <w:rPr>
          <w:b w:val="0"/>
        </w:rPr>
        <w:t>Saleema Amershi and colleagues. CHI 2019, May 2019. Original HCI research.</w:t>
      </w:r>
    </w:p>
    <w:p>
      <w:pPr>
        <w:keepNext/>
      </w:pPr>
      <w:hyperlink r:id="rId33">
        <w:r>
          <w:rPr>
            <w:color w:val="245A81"/>
          </w:rPr>
          <w:t>Guidelines for Human-AI Interaction</w:t>
        </w:r>
      </w:hyperlink>
    </w:p>
    <w:p>
      <w:pPr>
        <w:keepNext/>
      </w:pPr>
      <w:r>
        <w:rPr>
          <w:b/>
        </w:rPr>
        <w:t>Contribution:</w:t>
      </w:r>
      <w:r>
        <w:rPr>
          <w:b w:val="0"/>
        </w:rPr>
        <w:t xml:space="preserve"> Proposes 18 interaction guidelines and evaluates relevance through multiple rounds, including 49 practitioners examining 20 products.</w:t>
      </w:r>
    </w:p>
    <w:p>
      <w:pPr>
        <w:keepNext w:val="0"/>
      </w:pPr>
      <w:r>
        <w:rPr>
          <w:b/>
        </w:rPr>
        <w:t>Boundary:</w:t>
      </w:r>
      <w:r>
        <w:rPr>
          <w:b w:val="0"/>
        </w:rPr>
        <w:t xml:space="preserve"> Predates current foundation-model agents and does not prove every proposed interface improves outcomes.</w:t>
      </w:r>
    </w:p>
    <w:p>
      <w:pPr>
        <w:pStyle w:val="Heading2"/>
        <w:keepNext/>
      </w:pPr>
      <w:r>
        <w:t>A postmortem of three recent issues</w:t>
      </w:r>
    </w:p>
    <w:p>
      <w:pPr>
        <w:keepNext/>
      </w:pPr>
      <w:r>
        <w:rPr>
          <w:b w:val="0"/>
        </w:rPr>
        <w:t>Sam McAllister, Anthropic. 2025-09-17. First-party production incident account.</w:t>
      </w:r>
    </w:p>
    <w:p>
      <w:pPr>
        <w:keepNext/>
      </w:pPr>
      <w:hyperlink r:id="rId34">
        <w:r>
          <w:rPr>
            <w:color w:val="245A81"/>
          </w:rPr>
          <w:t>A postmortem of three recent issues</w:t>
        </w:r>
      </w:hyperlink>
    </w:p>
    <w:p>
      <w:pPr>
        <w:keepNext/>
      </w:pPr>
      <w:r>
        <w:rPr>
          <w:b/>
        </w:rPr>
        <w:t>Contribution:</w:t>
      </w:r>
      <w:r>
        <w:rPr>
          <w:b w:val="0"/>
        </w:rPr>
        <w:t xml:space="preserve"> Infrastructure and routing changes produced behavioral regressions that existing evaluations missed; remediation included production-quality evaluation and better diagnostics.</w:t>
      </w:r>
    </w:p>
    <w:p>
      <w:pPr>
        <w:keepNext w:val="0"/>
      </w:pPr>
      <w:r>
        <w:rPr>
          <w:b/>
        </w:rPr>
        <w:t>Boundary:</w:t>
      </w:r>
      <w:r>
        <w:rPr>
          <w:b w:val="0"/>
        </w:rPr>
        <w:t xml:space="preserve"> Not independently audited and not representative failure-frequency evidence; protects the distinction between model and application/provider failures.</w:t>
      </w:r>
    </w:p>
    <w:p>
      <w:pPr>
        <w:pStyle w:val="Heading2"/>
        <w:keepNext/>
      </w:pPr>
      <w:r>
        <w:t>FrugalGPT: How to Use Large Language Models While Reducing Cost and Improving Performance</w:t>
      </w:r>
    </w:p>
    <w:p>
      <w:pPr>
        <w:keepNext/>
      </w:pPr>
      <w:r>
        <w:rPr>
          <w:b w:val="0"/>
        </w:rPr>
        <w:t>Lingjiao Chen, Matei Zaharia, and James Zou. 2023-05-09 preprint. Original empirical research.</w:t>
      </w:r>
    </w:p>
    <w:p>
      <w:pPr>
        <w:keepNext/>
      </w:pPr>
      <w:hyperlink r:id="rId35">
        <w:r>
          <w:rPr>
            <w:color w:val="245A81"/>
          </w:rPr>
          <w:t>FrugalGPT: How to Use Large Language Models While Reducing Cost and Improving Performance</w:t>
        </w:r>
      </w:hyperlink>
    </w:p>
    <w:p>
      <w:pPr>
        <w:keepNext/>
      </w:pPr>
      <w:r>
        <w:rPr>
          <w:b/>
        </w:rPr>
        <w:t>Contribution:</w:t>
      </w:r>
      <w:r>
        <w:rPr>
          <w:b w:val="0"/>
        </w:rPr>
        <w:t xml:space="preserve"> Explores prompt adaptation, approximation, and cascades to improve task-specific quality/cost tradeoffs.</w:t>
      </w:r>
    </w:p>
    <w:p>
      <w:pPr>
        <w:keepNext w:val="0"/>
      </w:pPr>
      <w:r>
        <w:rPr>
          <w:b/>
        </w:rPr>
        <w:t>Boundary:</w:t>
      </w:r>
      <w:r>
        <w:rPr>
          <w:b w:val="0"/>
        </w:rPr>
        <w:t xml:space="preserve"> Historical prices, models, and maximum reported savings are not forecasts for present systems.</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ei.cmu.edu/artificial-intelligence-engineering/" TargetMode="External"/><Relationship Id="rId11" Type="http://schemas.openxmlformats.org/officeDocument/2006/relationships/hyperlink" Target="https://www.latent.space/p/ai-engineer" TargetMode="External"/><Relationship Id="rId12" Type="http://schemas.openxmlformats.org/officeDocument/2006/relationships/hyperlink" Target="https://bair.berkeley.edu/blog/2024/02/18/compound-ai-systems/" TargetMode="External"/><Relationship Id="rId13" Type="http://schemas.openxmlformats.org/officeDocument/2006/relationships/hyperlink" Target="https://github.com/chiphuyen/aie-book" TargetMode="External"/><Relationship Id="rId14" Type="http://schemas.openxmlformats.org/officeDocument/2006/relationships/hyperlink" Target="https://developers.google.com/machine-learning/crash-course/prereqs-and-prework" TargetMode="External"/><Relationship Id="rId15" Type="http://schemas.openxmlformats.org/officeDocument/2006/relationships/hyperlink" Target="https://cs336.stanford.edu/" TargetMode="External"/><Relationship Id="rId16" Type="http://schemas.openxmlformats.org/officeDocument/2006/relationships/hyperlink" Target="https://fullstackdeeplearning.com/llm-bootcamp/spring-2023/" TargetMode="External"/><Relationship Id="rId17" Type="http://schemas.openxmlformats.org/officeDocument/2006/relationships/hyperlink" Target="https://developers.google.com/machine-learning/problem-framing/ml-framing" TargetMode="External"/><Relationship Id="rId18" Type="http://schemas.openxmlformats.org/officeDocument/2006/relationships/hyperlink" Target="https://www.anthropic.com/engineering/demystifying-evals-for-ai-agents" TargetMode="External"/><Relationship Id="rId19" Type="http://schemas.openxmlformats.org/officeDocument/2006/relationships/hyperlink" Target="https://arxiv.org/abs/2306.05685" TargetMode="External"/><Relationship Id="rId20" Type="http://schemas.openxmlformats.org/officeDocument/2006/relationships/hyperlink" Target="https://arxiv.org/abs/1810.03993" TargetMode="External"/><Relationship Id="rId21" Type="http://schemas.openxmlformats.org/officeDocument/2006/relationships/hyperlink" Target="https://arxiv.org/abs/2005.11401" TargetMode="External"/><Relationship Id="rId22" Type="http://schemas.openxmlformats.org/officeDocument/2006/relationships/hyperlink" Target="https://aclanthology.org/2024.emnlp-industry.66/" TargetMode="External"/><Relationship Id="rId23" Type="http://schemas.openxmlformats.org/officeDocument/2006/relationships/hyperlink" Target="https://arxiv.org/abs/2501.01880" TargetMode="External"/><Relationship Id="rId24" Type="http://schemas.openxmlformats.org/officeDocument/2006/relationships/hyperlink" Target="https://aclanthology.org/2024.tacl-1.9/" TargetMode="External"/><Relationship Id="rId25" Type="http://schemas.openxmlformats.org/officeDocument/2006/relationships/hyperlink" Target="https://www.anthropic.com/engineering/effective-context-engineering-for-ai-agents" TargetMode="External"/><Relationship Id="rId26" Type="http://schemas.openxmlformats.org/officeDocument/2006/relationships/hyperlink" Target="https://www.anthropic.com/engineering/building-effective-agents" TargetMode="External"/><Relationship Id="rId27" Type="http://schemas.openxmlformats.org/officeDocument/2006/relationships/hyperlink" Target="https://www.anthropic.com/engineering/multi-agent-research-system" TargetMode="External"/><Relationship Id="rId28" Type="http://schemas.openxmlformats.org/officeDocument/2006/relationships/hyperlink" Target="https://www.anthropic.com/engineering/effective-harnesses-for-long-running-agents" TargetMode="External"/><Relationship Id="rId29" Type="http://schemas.openxmlformats.org/officeDocument/2006/relationships/hyperlink" Target="https://arxiv.org/abs/2106.09685" TargetMode="External"/><Relationship Id="rId30" Type="http://schemas.openxmlformats.org/officeDocument/2006/relationships/hyperlink" Target="https://arxiv.org/abs/2409.02813" TargetMode="External"/><Relationship Id="rId31" Type="http://schemas.openxmlformats.org/officeDocument/2006/relationships/hyperlink" Target="https://genai.owasp.org/resource/owasp-genai-llm-top-10-2026/" TargetMode="External"/><Relationship Id="rId32" Type="http://schemas.openxmlformats.org/officeDocument/2006/relationships/hyperlink" Target="https://www.nist.gov/publications/artificial-intelligence-risk-management-framework-generative-artificial-intelligence" TargetMode="External"/><Relationship Id="rId33" Type="http://schemas.openxmlformats.org/officeDocument/2006/relationships/hyperlink" Target="https://www.microsoft.com/en-us/research/publication/guidelines-for-human-ai-interaction/" TargetMode="External"/><Relationship Id="rId34" Type="http://schemas.openxmlformats.org/officeDocument/2006/relationships/hyperlink" Target="https://www.anthropic.com/engineering/a-postmortem-of-three-recent-issues" TargetMode="External"/><Relationship Id="rId35" Type="http://schemas.openxmlformats.org/officeDocument/2006/relationships/hyperlink" Target="https://arxiv.org/abs/2305.05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Becoming an AI Engineer</dc:title>
  <dc:subject>Research foundation and complete editorial blueprint</dc:subject>
  <dc:creator/>
  <cp:keywords>AI engineering, software engineering, textbook, editorial blueprint</cp:keywords>
  <dc:description>generated by python-docx</dc:description>
  <cp:lastModifiedBy/>
  <cp:revision>1</cp:revision>
  <dcterms:created xsi:type="dcterms:W3CDTF">2013-12-23T23:15:00Z</dcterms:created>
  <dcterms:modified xsi:type="dcterms:W3CDTF">2013-12-23T23:15:00Z</dcterms:modified>
  <cp:category/>
</cp:coreProperties>
</file>