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Retrospectively Reconstructed Childhood Temperature Exposure and Adult Prefrontal Cortex Connectivity: An Exploratory Sensitivity Analysis</w:t>
      </w:r>
      <w:r w:rsidDel="00000000" w:rsidR="00000000" w:rsidRPr="00000000">
        <w:rPr>
          <w:rtl w:val="0"/>
        </w:rPr>
      </w:r>
    </w:p>
    <w:p w:rsidR="00000000" w:rsidDel="00000000" w:rsidP="00000000" w:rsidRDefault="00000000" w:rsidRPr="00000000" w14:paraId="00000002">
      <w:pPr>
        <w:spacing w:after="40" w:before="0" w:line="276" w:lineRule="auto"/>
        <w:jc w:val="center"/>
        <w:rPr/>
      </w:pPr>
      <w:r w:rsidDel="00000000" w:rsidR="00000000" w:rsidRPr="00000000">
        <w:rPr>
          <w:rFonts w:ascii="Times New Roman" w:cs="Times New Roman" w:eastAsia="Times New Roman" w:hAnsi="Times New Roman"/>
          <w:sz w:val="24"/>
          <w:szCs w:val="24"/>
          <w:rtl w:val="0"/>
        </w:rPr>
        <w:t xml:space="preserve">[Your Full Name]</w:t>
      </w:r>
      <w:r w:rsidDel="00000000" w:rsidR="00000000" w:rsidRPr="00000000">
        <w:rPr>
          <w:rtl w:val="0"/>
        </w:rPr>
      </w:r>
    </w:p>
    <w:p w:rsidR="00000000" w:rsidDel="00000000" w:rsidP="00000000" w:rsidRDefault="00000000" w:rsidRPr="00000000" w14:paraId="00000003">
      <w:pPr>
        <w:spacing w:after="40" w:before="0" w:line="276" w:lineRule="auto"/>
        <w:jc w:val="center"/>
        <w:rPr/>
      </w:pPr>
      <w:r w:rsidDel="00000000" w:rsidR="00000000" w:rsidRPr="00000000">
        <w:rPr>
          <w:rFonts w:ascii="Times New Roman" w:cs="Times New Roman" w:eastAsia="Times New Roman" w:hAnsi="Times New Roman"/>
          <w:sz w:val="24"/>
          <w:szCs w:val="24"/>
          <w:rtl w:val="0"/>
        </w:rPr>
        <w:t xml:space="preserve">[Your High School], [City], [State/Province], [Country]</w:t>
      </w:r>
      <w:r w:rsidDel="00000000" w:rsidR="00000000" w:rsidRPr="00000000">
        <w:rPr>
          <w:rtl w:val="0"/>
        </w:rPr>
      </w:r>
    </w:p>
    <w:p w:rsidR="00000000" w:rsidDel="00000000" w:rsidP="00000000" w:rsidRDefault="00000000" w:rsidRPr="00000000" w14:paraId="00000004">
      <w:pPr>
        <w:spacing w:after="400" w:before="0" w:line="276" w:lineRule="auto"/>
        <w:jc w:val="center"/>
        <w:rPr/>
      </w:pPr>
      <w:r w:rsidDel="00000000" w:rsidR="00000000" w:rsidRPr="00000000">
        <w:rPr>
          <w:rFonts w:ascii="Times New Roman" w:cs="Times New Roman" w:eastAsia="Times New Roman" w:hAnsi="Times New Roman"/>
          <w:sz w:val="24"/>
          <w:szCs w:val="24"/>
          <w:rtl w:val="0"/>
        </w:rPr>
        <w:t xml:space="preserve">Corresponding author: [Your Full Name], [your.email@example.com]</w:t>
      </w:r>
      <w:r w:rsidDel="00000000" w:rsidR="00000000" w:rsidRPr="00000000">
        <w:rPr>
          <w:rtl w:val="0"/>
        </w:rPr>
      </w:r>
    </w:p>
    <w:p w:rsidR="00000000" w:rsidDel="00000000" w:rsidP="00000000" w:rsidRDefault="00000000" w:rsidRPr="00000000" w14:paraId="00000005">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06">
      <w:pPr>
        <w:spacing w:after="240" w:before="0" w:line="276" w:lineRule="auto"/>
        <w:rPr/>
      </w:pPr>
      <w:r w:rsidDel="00000000" w:rsidR="00000000" w:rsidRPr="00000000">
        <w:rPr>
          <w:rFonts w:ascii="Cardo" w:cs="Cardo" w:eastAsia="Cardo" w:hAnsi="Cardo"/>
          <w:sz w:val="24"/>
          <w:szCs w:val="24"/>
          <w:rtl w:val="0"/>
        </w:rPr>
        <w:t xml:space="preserve">Climate change is increasingly linked to human health, but its possible effects on brain development are not well studied, especially in research that reconstructs childhood exposure after the fact. This study asked whether cumulative positive and negative childhood temperature anomalies (ages 6–16, informally called “heat/cold stress” and reconstructed from each participant’s age) are related to adult brain connectivity. We used diffusion MRI tractography data from 86 healthy adults, linked to the verified, 250-year Prague–Klementinum weather record. Both exposures were tested against prefrontal cortex (PFC) and limbic system connectivity in an exploratory framework (this analysis was not pre-registered), followed by eight further checks. In the main model, neither heat stress (β = 0.0003, 95% CI [−0.0004, 0.0010], p = 0.40) nor cold stress (β = −0.0002, 95% CI [−0.0026, 0.0022], p = 0.87) was related to PFC connectivity, and neither exposure was related to limbic connectivity (all p &gt; 0.6). This null pattern held up across three alternative model setups, an age-adjusted alternative formulation, heteroskedasticity-robust (HC3) inference, a Freedman–Lane permutation test (p = 0.86), a zero-inclusive connectivity definition, Bonferroni/Benjamini–Hochberg correction, and an anchor-year sensitivity analysis spanning the parent study’s multi-year timeline (2011–2015; only 1 of 10 exposure-by-year combinations was significant, about what we would expect from chance alone). Variance inflation factor checks still showed strong collinearity between age and both exposure measures (VIF 10–17), confirming that reconstructed exposure and participant age carry much of the same information, regardless of whether an association is ultimately found. While building this pipeline, an earlier version using a placeholder temperature series (created before we obtained the real weather record) had suggested a nominally significant cold-stress association. This association did not hold up once we replaced the placeholder with the verified historical record, which shows how important it is to confirm real data sources before interpreting any result. We found no reliable association between reconstructed childhood temperature exposure and adult brain connectivity in this sample, and we present this work as a methodological case study and a reproducible analysis pipeline for future, larger studies in this area.</w:t>
      </w:r>
      <w:r w:rsidDel="00000000" w:rsidR="00000000" w:rsidRPr="00000000">
        <w:rPr>
          <w:rtl w:val="0"/>
        </w:rPr>
      </w:r>
    </w:p>
    <w:p w:rsidR="00000000" w:rsidDel="00000000" w:rsidP="00000000" w:rsidRDefault="00000000" w:rsidRPr="00000000" w14:paraId="00000007">
      <w:pPr>
        <w:spacing w:after="240" w:before="0" w:line="276" w:lineRule="auto"/>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climate exposure, childhood development, prefrontal cortex, diffusion MRI, structural connectivity, sensitivity analysis, age-period-cohort, multiple comparisons, retrospective exposure reconstruction, reproducibility</w:t>
      </w:r>
      <w:r w:rsidDel="00000000" w:rsidR="00000000" w:rsidRPr="00000000">
        <w:rPr>
          <w:rtl w:val="0"/>
        </w:rPr>
      </w:r>
    </w:p>
    <w:p w:rsidR="00000000" w:rsidDel="00000000" w:rsidP="00000000" w:rsidRDefault="00000000" w:rsidRPr="00000000" w14:paraId="00000008">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9">
      <w:pPr>
        <w:spacing w:after="240" w:before="0" w:line="276" w:lineRule="auto"/>
        <w:rPr/>
      </w:pPr>
      <w:r w:rsidDel="00000000" w:rsidR="00000000" w:rsidRPr="00000000">
        <w:rPr>
          <w:rFonts w:ascii="Times New Roman" w:cs="Times New Roman" w:eastAsia="Times New Roman" w:hAnsi="Times New Roman"/>
          <w:sz w:val="24"/>
          <w:szCs w:val="24"/>
          <w:rtl w:val="0"/>
        </w:rPr>
        <w:t xml:space="preserve">Climate change is now recognized as a major threat to human health (1). Rising global temperatures and more frequent heat waves have been linked to many physical and mental health problems, from cardiovascular strain to sleep loss (2) and climate-related anxiety (3,4). Most of this research has focused on cardiovascular, respiratory, and psychological outcomes. Far less attention has gone to a more specific question: could early-life exposure to temperature extremes leave a lasting, measurable mark on the structure of the developing brain?</w:t>
      </w:r>
      <w:r w:rsidDel="00000000" w:rsidR="00000000" w:rsidRPr="00000000">
        <w:rPr>
          <w:rtl w:val="0"/>
        </w:rPr>
      </w:r>
    </w:p>
    <w:p w:rsidR="00000000" w:rsidDel="00000000" w:rsidP="00000000" w:rsidRDefault="00000000" w:rsidRPr="00000000" w14:paraId="0000000A">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There is a biological reason to expect that childhood may be an especially sensitive window for this kind of exposure. Human cortical grey matter and structural connectivity keep maturing well into a person's twenties, and regions such as the prefrontal cortex (PFC) mature later than sensory and limbic regions (5,6). Developmental neuroscience has long pointed to “sensitive periods,” windows during which the brain is unusually responsive, for better or worse, to what is happening around it (7). Direct evidence that outdoor temperature specifically affects this process has only recently appeared: a 2024 study of 2,681 children from the Netherlands' Generation R birth cohort found that early-life heat and cold exposure were each linked to changes in white matter structure before adolescence. The cold effect was concentrated in pregnancy and infancy, and the heat effect in infancy and toddlerhood (8). That study used exposure data collected in real time and knew each child's exact scan date, both very different from what is available in the present study, as we explain below.</w:t>
      </w:r>
      <w:r w:rsidDel="00000000" w:rsidR="00000000" w:rsidRPr="00000000">
        <w:rPr>
          <w:rtl w:val="0"/>
        </w:rPr>
      </w:r>
    </w:p>
    <w:p w:rsidR="00000000" w:rsidDel="00000000" w:rsidP="00000000" w:rsidRDefault="00000000" w:rsidRPr="00000000" w14:paraId="0000000B">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The present study asks a related but different question, using a very different kind of data: can a sign of childhood temperature exposure be detected after the fact, in adults whose exposure was never measured at the time and must instead be rebuilt from their age and a historical weather record? This kind of design is appealing because it can, in principle, be applied to any existing open neuroimaging dataset that includes basic demographic information, without needing a new, purpose-built study. As this paper shows, though, it is also much more fragile than a study that collects exposure data in real time, and explaining why is the main goal of this paper.</w:t>
      </w:r>
      <w:r w:rsidDel="00000000" w:rsidR="00000000" w:rsidRPr="00000000">
        <w:rPr>
          <w:rtl w:val="0"/>
        </w:rPr>
      </w:r>
    </w:p>
    <w:p w:rsidR="00000000" w:rsidDel="00000000" w:rsidP="00000000" w:rsidRDefault="00000000" w:rsidRPr="00000000" w14:paraId="0000000C">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tested both childhood heat-stress and cold-stress exposure, in an exploratory framework (this was not pre-registered), against two structural connectivity outcomes chosen for their different developmental timelines: the prefrontal cortex, which matures late and so might be more open to the effects of cumulative childhood exposure, and the limbic system (cingulate cortex, hippocampus, parahippocampal gyrus, and amygdala), which matures earlier and served as a comparison network where we expected less sensitivity to this kind of exposure. As far as we know, no previous study has directly tested this combination of reconstructed exposures and brain outcomes, though we did not carry out a full systematic review of the literature to confirm this. We treated the first analysis as exploratory and hypothesis-generating, and then put any association we found through a structured series of checks: age adjustment, alternative model setups, an alternative connectivity definition, heteroskedasticity-robust inference, permutation testing, multiple-comparison correction, and, most importantly, a test of how sensitive our result was to an assumption we could not verify (the year each participant was scanned). Only after all of this did we draw any conclusion about whether the result could be trusted.</w:t>
      </w:r>
      <w:r w:rsidDel="00000000" w:rsidR="00000000" w:rsidRPr="00000000">
        <w:rPr>
          <w:rtl w:val="0"/>
        </w:rPr>
      </w:r>
    </w:p>
    <w:p w:rsidR="00000000" w:rsidDel="00000000" w:rsidP="00000000" w:rsidRDefault="00000000" w:rsidRPr="00000000" w14:paraId="0000000D">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2. Materials and Methods</w:t>
      </w:r>
      <w:r w:rsidDel="00000000" w:rsidR="00000000" w:rsidRPr="00000000">
        <w:rPr>
          <w:rtl w:val="0"/>
        </w:rPr>
      </w:r>
    </w:p>
    <w:p w:rsidR="00000000" w:rsidDel="00000000" w:rsidP="00000000" w:rsidRDefault="00000000" w:rsidRPr="00000000" w14:paraId="0000000E">
      <w:pPr>
        <w:spacing w:after="240" w:before="0" w:line="276" w:lineRule="auto"/>
        <w:rPr/>
      </w:pPr>
      <w:r w:rsidDel="00000000" w:rsidR="00000000" w:rsidRPr="00000000">
        <w:rPr>
          <w:rFonts w:ascii="Times New Roman" w:cs="Times New Roman" w:eastAsia="Times New Roman" w:hAnsi="Times New Roman"/>
          <w:sz w:val="24"/>
          <w:szCs w:val="24"/>
          <w:rtl w:val="0"/>
        </w:rPr>
        <w:t xml:space="preserve">Figure 1 gives an overview of the full analysis pipeline.</w:t>
      </w:r>
      <w:r w:rsidDel="00000000" w:rsidR="00000000" w:rsidRPr="00000000">
        <w:rPr>
          <w:rtl w:val="0"/>
        </w:rPr>
      </w:r>
    </w:p>
    <w:p w:rsidR="00000000" w:rsidDel="00000000" w:rsidP="00000000" w:rsidRDefault="00000000" w:rsidRPr="00000000" w14:paraId="0000000F">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2.1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tl w:val="0"/>
        </w:rPr>
      </w:r>
    </w:p>
    <w:p w:rsidR="00000000" w:rsidDel="00000000" w:rsidP="00000000" w:rsidRDefault="00000000" w:rsidRPr="00000000" w14:paraId="00000010">
      <w:pPr>
        <w:spacing w:after="240" w:before="0" w:line="276" w:lineRule="auto"/>
        <w:rPr/>
      </w:pPr>
      <w:r w:rsidDel="00000000" w:rsidR="00000000" w:rsidRPr="00000000">
        <w:rPr>
          <w:rFonts w:ascii="Times New Roman" w:cs="Times New Roman" w:eastAsia="Times New Roman" w:hAnsi="Times New Roman"/>
          <w:sz w:val="24"/>
          <w:szCs w:val="24"/>
          <w:rtl w:val="0"/>
        </w:rPr>
        <w:t xml:space="preserve">Structural connectivity data came from a publicly available diffusion MRI tractography dataset of 88 healthy adults from the Early-Stage Schizophrenia Outcome (ESO) study in Prague, Czech Republic (9). Connectivity matrices (90 × 90 regions, using the AAL brain atlas (10)) were built by the original research team using probabilistic tractography. The dataset includes basic demographic variables (age, sex, handedness, education, height, weight, BMI) but no record of each participant's exact scan date, which matters for Section 2.4. The study protocol was approved by the local Ethics Committee of the Prague Psychiatric Center on 29 June 2011 (protocol 69/11). The present analysis uses only this de-identified, publicly released dataset, and we collected no new data ourselves.</w:t>
      </w:r>
      <w:r w:rsidDel="00000000" w:rsidR="00000000" w:rsidRPr="00000000">
        <w:rPr>
          <w:rtl w:val="0"/>
        </w:rPr>
      </w:r>
    </w:p>
    <w:p w:rsidR="00000000" w:rsidDel="00000000" w:rsidP="00000000" w:rsidRDefault="00000000" w:rsidRPr="00000000" w14:paraId="00000011">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2.2 </w:t>
      </w:r>
      <w:r w:rsidDel="00000000" w:rsidR="00000000" w:rsidRPr="00000000">
        <w:rPr>
          <w:rFonts w:ascii="Times New Roman" w:cs="Times New Roman" w:eastAsia="Times New Roman" w:hAnsi="Times New Roman"/>
          <w:i w:val="1"/>
          <w:iCs w:val="1"/>
          <w:sz w:val="24"/>
          <w:szCs w:val="24"/>
          <w:rtl w:val="0"/>
        </w:rPr>
        <w:t xml:space="preserve">Region Definitions</w:t>
      </w:r>
      <w:r w:rsidDel="00000000" w:rsidR="00000000" w:rsidRPr="00000000">
        <w:rPr>
          <w:rtl w:val="0"/>
        </w:rPr>
      </w:r>
    </w:p>
    <w:p w:rsidR="00000000" w:rsidDel="00000000" w:rsidP="00000000" w:rsidRDefault="00000000" w:rsidRPr="00000000" w14:paraId="00000012">
      <w:pPr>
        <w:spacing w:after="240" w:before="0" w:line="276" w:lineRule="auto"/>
        <w:rPr/>
      </w:pPr>
      <w:r w:rsidDel="00000000" w:rsidR="00000000" w:rsidRPr="00000000">
        <w:rPr>
          <w:rFonts w:ascii="Times New Roman" w:cs="Times New Roman" w:eastAsia="Times New Roman" w:hAnsi="Times New Roman"/>
          <w:sz w:val="24"/>
          <w:szCs w:val="24"/>
          <w:rtl w:val="0"/>
        </w:rPr>
        <w:t xml:space="preserve">Instead of picking brain regions by a numeric index range, we matched full anatomical names against the AAL atlas region list. This lowers the risk of small indexing mistakes, such as being off by one region. The prefrontal cortex network (20 regions, both hemispheres) included the superior, middle, and medial frontal gyri, the superior and middle orbital gyri, the inferior frontal gyrus (three subdivisions), the mid-orbital gyrus, and the rectal gyrus. The precentral gyrus (primary motor cortex), rolandic operculum, posterior-medial frontal region (supplementary motor area), and olfactory cortex sit in the same part of the AAL numbering but are not part of the prefrontal cortex by standard neuroanatomical definitions, so we left them out on purpose. The limbic network (12 regions, both hemispheres) included the anterior, middle, and posterior cingulate cortex, hippocampus, parahippocampal gyrus, and amygdala.</w:t>
      </w:r>
      <w:r w:rsidDel="00000000" w:rsidR="00000000" w:rsidRPr="00000000">
        <w:rPr>
          <w:rtl w:val="0"/>
        </w:rPr>
      </w:r>
    </w:p>
    <w:p w:rsidR="00000000" w:rsidDel="00000000" w:rsidP="00000000" w:rsidRDefault="00000000" w:rsidRPr="00000000" w14:paraId="00000013">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2.3 </w:t>
      </w:r>
      <w:r w:rsidDel="00000000" w:rsidR="00000000" w:rsidRPr="00000000">
        <w:rPr>
          <w:rFonts w:ascii="Times New Roman" w:cs="Times New Roman" w:eastAsia="Times New Roman" w:hAnsi="Times New Roman"/>
          <w:i w:val="1"/>
          <w:iCs w:val="1"/>
          <w:sz w:val="24"/>
          <w:szCs w:val="24"/>
          <w:rtl w:val="0"/>
        </w:rPr>
        <w:t xml:space="preserve">Connectivity Matrix Processing</w:t>
      </w:r>
      <w:r w:rsidDel="00000000" w:rsidR="00000000" w:rsidRPr="00000000">
        <w:rPr>
          <w:rtl w:val="0"/>
        </w:rPr>
      </w:r>
    </w:p>
    <w:p w:rsidR="00000000" w:rsidDel="00000000" w:rsidP="00000000" w:rsidRDefault="00000000" w:rsidRPr="00000000" w14:paraId="00000014">
      <w:pPr>
        <w:spacing w:after="240" w:before="0" w:line="276" w:lineRule="auto"/>
        <w:rPr/>
      </w:pPr>
      <w:r w:rsidDel="00000000" w:rsidR="00000000" w:rsidRPr="00000000">
        <w:rPr>
          <w:rFonts w:ascii="Times New Roman" w:cs="Times New Roman" w:eastAsia="Times New Roman" w:hAnsi="Times New Roman"/>
          <w:sz w:val="24"/>
          <w:szCs w:val="24"/>
          <w:rtl w:val="0"/>
        </w:rPr>
        <w:t xml:space="preserve">Raw connectivity matrices from probabilistic tractography are not guaranteed to be symmetric, because the number of streamlines counted from region A to region B can differ from the number counted from B to A. The original authors of this dataset confirm this directly and recommend symmetrizing the matrices before using them for modelling (9), as shown in eq1:</w:t>
      </w:r>
      <w:r w:rsidDel="00000000" w:rsidR="00000000" w:rsidRPr="00000000">
        <w:rPr>
          <w:rtl w:val="0"/>
        </w:rPr>
      </w:r>
    </w:p>
    <w:p w:rsidR="00000000" w:rsidDel="00000000" w:rsidP="00000000" w:rsidRDefault="00000000" w:rsidRPr="00000000" w14:paraId="00000015">
      <w:pPr>
        <w:spacing w:after="240" w:before="0" w:line="276" w:lineRule="auto"/>
        <w:jc w:val="center"/>
        <w:rPr/>
      </w:pPr>
      <w:r w:rsidDel="00000000" w:rsidR="00000000" w:rsidRPr="00000000">
        <w:rPr>
          <w:rFonts w:ascii="Times New Roman" w:cs="Times New Roman" w:eastAsia="Times New Roman" w:hAnsi="Times New Roman"/>
          <w:sz w:val="24"/>
          <w:szCs w:val="24"/>
          <w:rtl w:val="0"/>
        </w:rPr>
        <w:t xml:space="preserve">Asym = (A + Aᵀ) / 2   (eq1)</w:t>
      </w:r>
      <w:r w:rsidDel="00000000" w:rsidR="00000000" w:rsidRPr="00000000">
        <w:rPr>
          <w:rtl w:val="0"/>
        </w:rPr>
      </w:r>
    </w:p>
    <w:p w:rsidR="00000000" w:rsidDel="00000000" w:rsidP="00000000" w:rsidRDefault="00000000" w:rsidRPr="00000000" w14:paraId="00000016">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applied this step to every matrix before analysis. For each participant and each subnetwork, we then computed the mean positive within-network edge weight, meaning the average tractography-derived connection strength across all region pairs inside the subnetwork with a positive value. This is a simple average edge strength. It is not node degree, network density, or global efficiency, and we use this specific name for it throughout. Because the underlying data come from diffusion MRI tractography, this metric reflects structural (anatomical) connectivity only. It should not be compared directly to functional connectivity measures from resting-state or task fMRI.</w:t>
      </w:r>
      <w:r w:rsidDel="00000000" w:rsidR="00000000" w:rsidRPr="00000000">
        <w:rPr>
          <w:rtl w:val="0"/>
        </w:rPr>
      </w:r>
    </w:p>
    <w:p w:rsidR="00000000" w:rsidDel="00000000" w:rsidP="00000000" w:rsidRDefault="00000000" w:rsidRPr="00000000" w14:paraId="00000017">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2.4 </w:t>
      </w:r>
      <w:r w:rsidDel="00000000" w:rsidR="00000000" w:rsidRPr="00000000">
        <w:rPr>
          <w:rFonts w:ascii="Times New Roman" w:cs="Times New Roman" w:eastAsia="Times New Roman" w:hAnsi="Times New Roman"/>
          <w:i w:val="1"/>
          <w:iCs w:val="1"/>
          <w:sz w:val="24"/>
          <w:szCs w:val="24"/>
          <w:rtl w:val="0"/>
        </w:rPr>
        <w:t xml:space="preserve">Childhood Climate Exposure</w:t>
      </w:r>
      <w:r w:rsidDel="00000000" w:rsidR="00000000" w:rsidRPr="00000000">
        <w:rPr>
          <w:rtl w:val="0"/>
        </w:rPr>
      </w:r>
    </w:p>
    <w:p w:rsidR="00000000" w:rsidDel="00000000" w:rsidP="00000000" w:rsidRDefault="00000000" w:rsidRPr="00000000" w14:paraId="00000018">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obtained historical annual mean temperature data for Prague from the Praha–Klementinum weather station, one of the longest continuous weather records in Central Europe, through the European Climate Assessment &amp; Dataset (11). For each participant, we calculated an approximate birth year by working backward from their recorded age, using a single assumed reference year (SCAN_ANCHOR_YEAR) for when all participants were assumed to have been scanned, since the dataset does not record individual scan dates. For each participant, we added up the positive annual temperature anomalies and, separately, the absolute value of the negative annual temperature anomalies, across the 11-year period from age 6 through age 16 inclusive. We call these two totals “heat stress” and “cold stress,” following common shorthand in this field, but we want to be clear about what they are not. They are cumulative positive and negative differences from a station-level annual average, not a validated measure of physiological heat or cold stress, and not a count of extreme-heat or extreme-cold days. A year with a warm annual average could still contain no heat waves at all, and the reverse is also true. This gap between what we measured and true thermal stress, together with the single-anchor-year assumption, is an important limitation of this design, and we return to it in Sections 3.7 and 5.</w:t>
      </w:r>
      <w:r w:rsidDel="00000000" w:rsidR="00000000" w:rsidRPr="00000000">
        <w:rPr>
          <w:rtl w:val="0"/>
        </w:rPr>
      </w:r>
    </w:p>
    <w:p w:rsidR="00000000" w:rsidDel="00000000" w:rsidP="00000000" w:rsidRDefault="00000000" w:rsidRPr="00000000" w14:paraId="00000019">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2.5 </w:t>
      </w:r>
      <w:r w:rsidDel="00000000" w:rsidR="00000000" w:rsidRPr="00000000">
        <w:rPr>
          <w:rFonts w:ascii="Times New Roman" w:cs="Times New Roman" w:eastAsia="Times New Roman" w:hAnsi="Times New Roman"/>
          <w:i w:val="1"/>
          <w:iCs w:val="1"/>
          <w:sz w:val="24"/>
          <w:szCs w:val="24"/>
          <w:rtl w:val="0"/>
        </w:rPr>
        <w:t xml:space="preserve">Statistical Analysis</w:t>
      </w:r>
      <w:r w:rsidDel="00000000" w:rsidR="00000000" w:rsidRPr="00000000">
        <w:rPr>
          <w:rtl w:val="0"/>
        </w:rPr>
      </w:r>
    </w:p>
    <w:p w:rsidR="00000000" w:rsidDel="00000000" w:rsidP="00000000" w:rsidRDefault="00000000" w:rsidRPr="00000000" w14:paraId="0000001A">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ran all analyses in Python (pandas, numpy, statsmodels, networkx, scipy). Both heat- and cold-stress values were entered as continuous predictors (not as exposure-group categories) in ordinary least-squares (OLS) regression models predicting PFC and limbic connectivity, adjusting for age, sex, and education. We merged the elementary-school and high-school categories into a single “high-school or less” category before analysis, because only one participant was in the elementary-school category. On its own, that single case gave that person too much influence on early versions of the model (a statistical problem called leverage), so we judged this unsound and fixed it. We report 95% confidence intervals and descriptive statistics (mean ± SD) alongside every p-value, and because this exploratory analysis involves four main comparisons (heat and cold stress, each against PFC and limbic connectivity), we also report Bonferroni- and Benjamini–Hochberg-corrected p-values for these four tests. After the main model, we ran eight further analyses: (i) variance inflation factor (VIF) checks for multicollinearity among predictors; (ii) three alternative model setups (cold-only, heat-only, and both together) to see whether any association depended on including both exposures at once; (iii) an age-residualized alternative formulation, where each exposure measure was first regressed on age and the leftover residuals were used in place of the raw exposure variable. By the Frisch–Waugh–Lovell theorem, this approach is mathematically related to, not fully separate from, the age-adjusted main model, so we treat it as a check on our own pipeline rather than as a separate piece of evidence; (iv) heteroskedasticity-robust (HC3) standard errors and a Breusch–Pagan test; (v) a Freedman–Lane permutation test (10,000 permutations), which permutes residuals from a reduced model rather than the raw predictor, so that the real relationships between predictors stay intact even under the null hypothesis; (vi) a zero-inclusive connectivity check, recalculating the outcome as the mean edge weight across all within-network region pairs (including zero-weight pairs) instead of only positive edges, to see whether that choice was driving the result; (vii) the multiple-comparison-corrected p-values described above; and (viii) an anchor-year sensitivity analysis, where we varied SCAN_ANCHOR_YEAR across 2011–2015. We chose this range because the ESO study's documented history includes two separate ethics approvals: one in 2011 at the Prague Psychiatric Center, and a later, distinct one (No. 127/17) at the National Institute of Mental Health, Klecany. Together these show that the parent study ran for several years, but neither date tells us exactly when any specific participant's scan in this data release was taken. We could not confirm exact scan dates from the source publication or its supplementary materials, and not being able to pin this down from outside sources is itself part of what this study is trying to show (Section 4).</w:t>
      </w:r>
      <w:r w:rsidDel="00000000" w:rsidR="00000000" w:rsidRPr="00000000">
        <w:rPr>
          <w:rtl w:val="0"/>
        </w:rPr>
      </w:r>
    </w:p>
    <w:p w:rsidR="00000000" w:rsidDel="00000000" w:rsidP="00000000" w:rsidRDefault="00000000" w:rsidRPr="00000000" w14:paraId="0000001B">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3. Results</w:t>
      </w:r>
      <w:r w:rsidDel="00000000" w:rsidR="00000000" w:rsidRPr="00000000">
        <w:rPr>
          <w:rtl w:val="0"/>
        </w:rPr>
      </w:r>
    </w:p>
    <w:p w:rsidR="00000000" w:rsidDel="00000000" w:rsidP="00000000" w:rsidRDefault="00000000" w:rsidRPr="00000000" w14:paraId="0000001C">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3.1 </w:t>
      </w:r>
      <w:r w:rsidDel="00000000" w:rsidR="00000000" w:rsidRPr="00000000">
        <w:rPr>
          <w:rFonts w:ascii="Times New Roman" w:cs="Times New Roman" w:eastAsia="Times New Roman" w:hAnsi="Times New Roman"/>
          <w:i w:val="1"/>
          <w:iCs w:val="1"/>
          <w:sz w:val="24"/>
          <w:szCs w:val="24"/>
          <w:rtl w:val="0"/>
        </w:rPr>
        <w:t xml:space="preserve">Sample</w:t>
      </w:r>
      <w:r w:rsidDel="00000000" w:rsidR="00000000" w:rsidRPr="00000000">
        <w:rPr>
          <w:rtl w:val="0"/>
        </w:rPr>
      </w:r>
    </w:p>
    <w:p w:rsidR="00000000" w:rsidDel="00000000" w:rsidP="00000000" w:rsidRDefault="00000000" w:rsidRPr="00000000" w14:paraId="0000001D">
      <w:pPr>
        <w:spacing w:after="240" w:before="0" w:line="276" w:lineRule="auto"/>
        <w:rPr/>
      </w:pPr>
      <w:r w:rsidDel="00000000" w:rsidR="00000000" w:rsidRPr="00000000">
        <w:rPr>
          <w:rFonts w:ascii="Times New Roman" w:cs="Times New Roman" w:eastAsia="Times New Roman" w:hAnsi="Times New Roman"/>
          <w:sz w:val="24"/>
          <w:szCs w:val="24"/>
          <w:rtl w:val="0"/>
        </w:rPr>
        <w:t xml:space="preserve">Of the 88 participants in the source dataset, 86 had complete data on every model variable (two were missing education) and were included in the main analysis (48 female, 38 male; age range 18.8–48.7 years).</w:t>
      </w:r>
      <w:r w:rsidDel="00000000" w:rsidR="00000000" w:rsidRPr="00000000">
        <w:rPr>
          <w:rtl w:val="0"/>
        </w:rPr>
      </w:r>
    </w:p>
    <w:p w:rsidR="00000000" w:rsidDel="00000000" w:rsidP="00000000" w:rsidRDefault="00000000" w:rsidRPr="00000000" w14:paraId="0000001E">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3.2 </w:t>
      </w:r>
      <w:r w:rsidDel="00000000" w:rsidR="00000000" w:rsidRPr="00000000">
        <w:rPr>
          <w:rFonts w:ascii="Times New Roman" w:cs="Times New Roman" w:eastAsia="Times New Roman" w:hAnsi="Times New Roman"/>
          <w:i w:val="1"/>
          <w:iCs w:val="1"/>
          <w:sz w:val="24"/>
          <w:szCs w:val="24"/>
          <w:rtl w:val="0"/>
        </w:rPr>
        <w:t xml:space="preserve">Descriptive Statistics</w:t>
      </w:r>
      <w:r w:rsidDel="00000000" w:rsidR="00000000" w:rsidRPr="00000000">
        <w:rPr>
          <w:rtl w:val="0"/>
        </w:rPr>
      </w:r>
    </w:p>
    <w:p w:rsidR="00000000" w:rsidDel="00000000" w:rsidP="00000000" w:rsidRDefault="00000000" w:rsidRPr="00000000" w14:paraId="0000001F">
      <w:pPr>
        <w:spacing w:after="12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Descriptive statistics for key variables, N = 86 (mean ± SD, range).</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2200"/>
        <w:tblGridChange w:id="0">
          <w:tblGrid>
            <w:gridCol w:w="4200"/>
            <w:gridCol w:w="2200"/>
            <w:gridCol w:w="2200"/>
          </w:tblGrid>
        </w:tblGridChange>
      </w:tblGrid>
      <w:tr>
        <w:trPr>
          <w:cantSplit w:val="1"/>
          <w:tblHeader w:val="1"/>
        </w:trPr>
        <w:tc>
          <w:tcPr>
            <w:shd w:fill="e8e8e8" w:val="clear"/>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1"/>
                <w:bCs w:val="1"/>
                <w:sz w:val="20"/>
                <w:szCs w:val="20"/>
                <w:rtl w:val="0"/>
              </w:rPr>
              <w:t xml:space="preserve">Mean ± SD</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1"/>
                <w:bCs w:val="1"/>
                <w:sz w:val="20"/>
                <w:szCs w:val="20"/>
                <w:rtl w:val="0"/>
              </w:rPr>
              <w:t xml:space="preserve">Range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bCs w:val="0"/>
                <w:sz w:val="20"/>
                <w:szCs w:val="20"/>
                <w:rtl w:val="0"/>
              </w:rPr>
              <w:t xml:space="preserve">PFC connectivity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0"/>
                <w:bCs w:val="0"/>
                <w:sz w:val="20"/>
                <w:szCs w:val="20"/>
                <w:rtl w:val="0"/>
              </w:rPr>
              <w:t xml:space="preserve">0.0251 ± 0.0024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0"/>
                <w:bCs w:val="0"/>
                <w:sz w:val="20"/>
                <w:szCs w:val="20"/>
                <w:rtl w:val="0"/>
              </w:rPr>
              <w:t xml:space="preserve">0.0209–0.0330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sz w:val="20"/>
                <w:szCs w:val="20"/>
                <w:rtl w:val="0"/>
              </w:rPr>
              <w:t xml:space="preserve">Limbic connectivity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0"/>
                <w:bCs w:val="0"/>
                <w:sz w:val="20"/>
                <w:szCs w:val="20"/>
                <w:rtl w:val="0"/>
              </w:rPr>
              <w:t xml:space="preserve">0.0264 ± 0.0040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0"/>
                <w:bCs w:val="0"/>
                <w:sz w:val="20"/>
                <w:szCs w:val="20"/>
                <w:rtl w:val="0"/>
              </w:rPr>
              <w:t xml:space="preserve">0.0178–0.0370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bCs w:val="0"/>
                <w:sz w:val="20"/>
                <w:szCs w:val="20"/>
                <w:rtl w:val="0"/>
              </w:rPr>
              <w:t xml:space="preserve">Cumulative positive anomaly (“heat stress”)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0"/>
                <w:bCs w:val="0"/>
                <w:sz w:val="20"/>
                <w:szCs w:val="20"/>
                <w:rtl w:val="0"/>
              </w:rPr>
              <w:t xml:space="preserve">11.47 ± 3.16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0"/>
                <w:bCs w:val="0"/>
                <w:sz w:val="20"/>
                <w:szCs w:val="20"/>
                <w:rtl w:val="0"/>
              </w:rPr>
              <w:t xml:space="preserve">2.14–14.60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0"/>
                <w:szCs w:val="20"/>
                <w:rtl w:val="0"/>
              </w:rPr>
              <w:t xml:space="preserve">Cumulative negative anomaly (“cold stress”)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0"/>
                <w:bCs w:val="0"/>
                <w:sz w:val="20"/>
                <w:szCs w:val="20"/>
                <w:rtl w:val="0"/>
              </w:rPr>
              <w:t xml:space="preserve">0.67 ± 0.71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0"/>
                <w:bCs w:val="0"/>
                <w:sz w:val="20"/>
                <w:szCs w:val="20"/>
                <w:rtl w:val="0"/>
              </w:rPr>
              <w:t xml:space="preserve">0.00–2.69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sz w:val="20"/>
                <w:szCs w:val="20"/>
                <w:rtl w:val="0"/>
              </w:rPr>
              <w:t xml:space="preserve">Age (years)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0"/>
                <w:bCs w:val="0"/>
                <w:sz w:val="20"/>
                <w:szCs w:val="20"/>
                <w:rtl w:val="0"/>
              </w:rPr>
              <w:t xml:space="preserve">27.63 ± 6.77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0"/>
                <w:bCs w:val="0"/>
                <w:sz w:val="20"/>
                <w:szCs w:val="20"/>
                <w:rtl w:val="0"/>
              </w:rPr>
              <w:t xml:space="preserve">18.8–48.7</w:t>
            </w:r>
            <w:r w:rsidDel="00000000" w:rsidR="00000000" w:rsidRPr="00000000">
              <w:rPr>
                <w:rtl w:val="0"/>
              </w:rPr>
            </w:r>
          </w:p>
        </w:tc>
      </w:tr>
    </w:tbl>
    <w:p w:rsidR="00000000" w:rsidDel="00000000" w:rsidP="00000000" w:rsidRDefault="00000000" w:rsidRPr="00000000" w14:paraId="00000032">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3.3 </w:t>
      </w:r>
      <w:r w:rsidDel="00000000" w:rsidR="00000000" w:rsidRPr="00000000">
        <w:rPr>
          <w:rFonts w:ascii="Times New Roman" w:cs="Times New Roman" w:eastAsia="Times New Roman" w:hAnsi="Times New Roman"/>
          <w:i w:val="1"/>
          <w:iCs w:val="1"/>
          <w:sz w:val="24"/>
          <w:szCs w:val="24"/>
          <w:rtl w:val="0"/>
        </w:rPr>
        <w:t xml:space="preserve">Primary Exploratory Models</w:t>
      </w:r>
      <w:r w:rsidDel="00000000" w:rsidR="00000000" w:rsidRPr="00000000">
        <w:rPr>
          <w:rtl w:val="0"/>
        </w:rPr>
      </w:r>
    </w:p>
    <w:p w:rsidR="00000000" w:rsidDel="00000000" w:rsidP="00000000" w:rsidRDefault="00000000" w:rsidRPr="00000000" w14:paraId="00000033">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Table 2 shows the main, age-adjusted OLS models for PFC and limbic connectivity, including 95% confidence intervals.</w:t>
      </w:r>
      <w:r w:rsidDel="00000000" w:rsidR="00000000" w:rsidRPr="00000000">
        <w:rPr>
          <w:rtl w:val="0"/>
        </w:rPr>
      </w:r>
    </w:p>
    <w:p w:rsidR="00000000" w:rsidDel="00000000" w:rsidP="00000000" w:rsidRDefault="00000000" w:rsidRPr="00000000" w14:paraId="00000034">
      <w:pPr>
        <w:spacing w:after="12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Primary OLS models (age-adjusted), N = 86.</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900"/>
        <w:gridCol w:w="900"/>
        <w:gridCol w:w="1900"/>
        <w:gridCol w:w="900"/>
        <w:tblGridChange w:id="0">
          <w:tblGrid>
            <w:gridCol w:w="2900"/>
            <w:gridCol w:w="1900"/>
            <w:gridCol w:w="900"/>
            <w:gridCol w:w="1900"/>
            <w:gridCol w:w="900"/>
          </w:tblGrid>
        </w:tblGridChange>
      </w:tblGrid>
      <w:tr>
        <w:trPr>
          <w:cantSplit w:val="1"/>
          <w:tblHeader w:val="1"/>
        </w:trPr>
        <w:tc>
          <w:tcPr>
            <w:shd w:fill="e8e8e8" w:val="clear"/>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1"/>
                <w:bCs w:val="1"/>
                <w:sz w:val="20"/>
                <w:szCs w:val="20"/>
                <w:rtl w:val="0"/>
              </w:rPr>
              <w:t xml:space="preserve">Predictor</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1"/>
                <w:bCs w:val="1"/>
                <w:sz w:val="20"/>
                <w:szCs w:val="20"/>
                <w:rtl w:val="0"/>
              </w:rPr>
              <w:t xml:space="preserve">PFC β [95% CI]</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1"/>
                <w:bCs w:val="1"/>
                <w:sz w:val="20"/>
                <w:szCs w:val="20"/>
                <w:rtl w:val="0"/>
              </w:rPr>
              <w:t xml:space="preserve">PFC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1"/>
                <w:bCs w:val="1"/>
                <w:sz w:val="20"/>
                <w:szCs w:val="20"/>
                <w:rtl w:val="0"/>
              </w:rPr>
              <w:t xml:space="preserve">Limbic β [95% CI]</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b w:val="1"/>
                <w:bCs w:val="1"/>
                <w:sz w:val="20"/>
                <w:szCs w:val="20"/>
                <w:rtl w:val="0"/>
              </w:rPr>
              <w:t xml:space="preserve">Limbic 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b w:val="0"/>
                <w:bCs w:val="0"/>
                <w:sz w:val="20"/>
                <w:szCs w:val="20"/>
                <w:rtl w:val="0"/>
              </w:rPr>
              <w:t xml:space="preserve">Intercept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0"/>
                <w:bCs w:val="0"/>
                <w:sz w:val="20"/>
                <w:szCs w:val="20"/>
                <w:rtl w:val="0"/>
              </w:rPr>
              <w:t xml:space="preserve">0.0157 [0.001, 0.030]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0"/>
                <w:bCs w:val="0"/>
                <w:sz w:val="20"/>
                <w:szCs w:val="20"/>
                <w:rtl w:val="0"/>
              </w:rPr>
              <w:t xml:space="preserve">0.035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0"/>
                <w:bCs w:val="0"/>
                <w:sz w:val="20"/>
                <w:szCs w:val="20"/>
                <w:rtl w:val="0"/>
              </w:rPr>
              <w:t xml:space="preserve">0.0364 [0.012, 0.061]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0"/>
                <w:bCs w:val="0"/>
                <w:sz w:val="20"/>
                <w:szCs w:val="20"/>
                <w:rtl w:val="0"/>
              </w:rPr>
              <w:t xml:space="preserve">0.004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sz w:val="20"/>
                <w:szCs w:val="20"/>
                <w:rtl w:val="0"/>
              </w:rPr>
              <w:t xml:space="preserve">Heat Stress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Fonts w:ascii="Gungsuh" w:cs="Gungsuh" w:eastAsia="Gungsuh" w:hAnsi="Gungsuh"/>
                <w:b w:val="0"/>
                <w:bCs w:val="0"/>
                <w:sz w:val="20"/>
                <w:szCs w:val="20"/>
                <w:rtl w:val="0"/>
              </w:rPr>
              <w:t xml:space="preserve">0.0003 [−0.0004, 0.0010]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0"/>
                <w:szCs w:val="20"/>
                <w:rtl w:val="0"/>
              </w:rPr>
              <w:t xml:space="preserve">0.402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Fonts w:ascii="Gungsuh" w:cs="Gungsuh" w:eastAsia="Gungsuh" w:hAnsi="Gungsuh"/>
                <w:b w:val="0"/>
                <w:bCs w:val="0"/>
                <w:sz w:val="20"/>
                <w:szCs w:val="20"/>
                <w:rtl w:val="0"/>
              </w:rPr>
              <w:t xml:space="preserve">−0.0003 [−0.0015, 0.0009]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0"/>
                <w:szCs w:val="20"/>
                <w:rtl w:val="0"/>
              </w:rPr>
              <w:t xml:space="preserve">0.616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sz w:val="20"/>
                <w:szCs w:val="20"/>
                <w:rtl w:val="0"/>
              </w:rPr>
              <w:t xml:space="preserve">Cold Stress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Gungsuh" w:cs="Gungsuh" w:eastAsia="Gungsuh" w:hAnsi="Gungsuh"/>
                <w:b w:val="0"/>
                <w:bCs w:val="0"/>
                <w:sz w:val="20"/>
                <w:szCs w:val="20"/>
                <w:rtl w:val="0"/>
              </w:rPr>
              <w:t xml:space="preserve">−0.0002 [−0.0026, 0.0022]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0"/>
                <w:szCs w:val="20"/>
                <w:rtl w:val="0"/>
              </w:rPr>
              <w:t xml:space="preserve">0.867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Gungsuh" w:cs="Gungsuh" w:eastAsia="Gungsuh" w:hAnsi="Gungsuh"/>
                <w:b w:val="0"/>
                <w:bCs w:val="0"/>
                <w:sz w:val="20"/>
                <w:szCs w:val="20"/>
                <w:rtl w:val="0"/>
              </w:rPr>
              <w:t xml:space="preserve">0.0003 [−0.0038, 0.0044]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0"/>
                <w:szCs w:val="20"/>
                <w:rtl w:val="0"/>
              </w:rPr>
              <w:t xml:space="preserve">Age (years)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Gungsuh" w:cs="Gungsuh" w:eastAsia="Gungsuh" w:hAnsi="Gungsuh"/>
                <w:b w:val="0"/>
                <w:bCs w:val="0"/>
                <w:sz w:val="20"/>
                <w:szCs w:val="20"/>
                <w:rtl w:val="0"/>
              </w:rPr>
              <w:t xml:space="preserve">0.0002 [−0.0000, 0.0005]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0"/>
                <w:szCs w:val="20"/>
                <w:rtl w:val="0"/>
              </w:rPr>
              <w:t xml:space="preserve">0.106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Gungsuh" w:cs="Gungsuh" w:eastAsia="Gungsuh" w:hAnsi="Gungsuh"/>
                <w:b w:val="0"/>
                <w:bCs w:val="0"/>
                <w:sz w:val="20"/>
                <w:szCs w:val="20"/>
                <w:rtl w:val="0"/>
              </w:rPr>
              <w:t xml:space="preserve">−0.0002 [−0.0006, 0.0002]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sz w:val="20"/>
                <w:szCs w:val="20"/>
                <w:rtl w:val="0"/>
              </w:rPr>
              <w:t xml:space="preserve">0.365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0"/>
                <w:szCs w:val="20"/>
                <w:rtl w:val="0"/>
              </w:rPr>
              <w:t xml:space="preserve">Gender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Gungsuh" w:cs="Gungsuh" w:eastAsia="Gungsuh" w:hAnsi="Gungsuh"/>
                <w:b w:val="0"/>
                <w:bCs w:val="0"/>
                <w:sz w:val="20"/>
                <w:szCs w:val="20"/>
                <w:rtl w:val="0"/>
              </w:rPr>
              <w:t xml:space="preserve">0.0005 [−0.0005, 0.0015]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sz w:val="20"/>
                <w:szCs w:val="20"/>
                <w:rtl w:val="0"/>
              </w:rPr>
              <w:t xml:space="preserve">0.341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rFonts w:ascii="Gungsuh" w:cs="Gungsuh" w:eastAsia="Gungsuh" w:hAnsi="Gungsuh"/>
                <w:b w:val="0"/>
                <w:bCs w:val="0"/>
                <w:sz w:val="20"/>
                <w:szCs w:val="20"/>
                <w:rtl w:val="0"/>
              </w:rPr>
              <w:t xml:space="preserve">−0.0016 [−0.0033, 0.0002]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0"/>
                <w:bCs w:val="0"/>
                <w:sz w:val="20"/>
                <w:szCs w:val="20"/>
                <w:rtl w:val="0"/>
              </w:rPr>
              <w:t xml:space="preserve">0.078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sz w:val="20"/>
                <w:szCs w:val="20"/>
                <w:rtl w:val="0"/>
              </w:rPr>
              <w:t xml:space="preserve">Education (HS or less)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rFonts w:ascii="Gungsuh" w:cs="Gungsuh" w:eastAsia="Gungsuh" w:hAnsi="Gungsuh"/>
                <w:b w:val="0"/>
                <w:bCs w:val="0"/>
                <w:sz w:val="20"/>
                <w:szCs w:val="20"/>
                <w:rtl w:val="0"/>
              </w:rPr>
              <w:t xml:space="preserve">0.0000 [−0.0012, 0.0012]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0"/>
                <w:bCs w:val="0"/>
                <w:sz w:val="20"/>
                <w:szCs w:val="20"/>
                <w:rtl w:val="0"/>
              </w:rPr>
              <w:t xml:space="preserve">0.955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rFonts w:ascii="Gungsuh" w:cs="Gungsuh" w:eastAsia="Gungsuh" w:hAnsi="Gungsuh"/>
                <w:b w:val="0"/>
                <w:bCs w:val="0"/>
                <w:sz w:val="20"/>
                <w:szCs w:val="20"/>
                <w:rtl w:val="0"/>
              </w:rPr>
              <w:t xml:space="preserve">−0.0009 [−0.0029, 0.0011]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0"/>
                <w:szCs w:val="20"/>
                <w:rtl w:val="0"/>
              </w:rPr>
              <w:t xml:space="preserve">0.366</w:t>
            </w:r>
            <w:r w:rsidDel="00000000" w:rsidR="00000000" w:rsidRPr="00000000">
              <w:rPr>
                <w:rtl w:val="0"/>
              </w:rPr>
            </w:r>
          </w:p>
        </w:tc>
      </w:tr>
    </w:tbl>
    <w:p w:rsidR="00000000" w:rsidDel="00000000" w:rsidP="00000000" w:rsidRDefault="00000000" w:rsidRPr="00000000" w14:paraId="00000058">
      <w:pPr>
        <w:spacing w:after="240" w:before="80" w:line="276" w:lineRule="auto"/>
        <w:rPr/>
      </w:pPr>
      <w:r w:rsidDel="00000000" w:rsidR="00000000" w:rsidRPr="00000000">
        <w:rPr>
          <w:rFonts w:ascii="Gungsuh" w:cs="Gungsuh" w:eastAsia="Gungsuh" w:hAnsi="Gungsuh"/>
          <w:sz w:val="24"/>
          <w:szCs w:val="24"/>
          <w:rtl w:val="0"/>
        </w:rPr>
        <w:t xml:space="preserve">PFC model R² = 0.062, adjusted R² = 0.004; Limbic model R² = 0.056, adjusted R² = −0.003.</w:t>
      </w:r>
      <w:r w:rsidDel="00000000" w:rsidR="00000000" w:rsidRPr="00000000">
        <w:rPr>
          <w:rtl w:val="0"/>
        </w:rPr>
      </w:r>
    </w:p>
    <w:p w:rsidR="00000000" w:rsidDel="00000000" w:rsidP="00000000" w:rsidRDefault="00000000" w:rsidRPr="00000000" w14:paraId="00000059">
      <w:pPr>
        <w:spacing w:after="240" w:before="0" w:line="276" w:lineRule="auto"/>
        <w:rPr/>
      </w:pPr>
      <w:r w:rsidDel="00000000" w:rsidR="00000000" w:rsidRPr="00000000">
        <w:rPr>
          <w:rFonts w:ascii="Gungsuh" w:cs="Gungsuh" w:eastAsia="Gungsuh" w:hAnsi="Gungsuh"/>
          <w:sz w:val="24"/>
          <w:szCs w:val="24"/>
          <w:rtl w:val="0"/>
        </w:rPr>
        <w:t xml:space="preserve">Neither estimated childhood heat stress nor cold stress (both reconstructed from participants' age, not directly measured) was related to PFC or limbic connectivity. The adjusted R² for both models was close to zero (PFC: 0.004; Limbic: −0.003), showing that these predictors, taken together, do not explain more variance than we would expect by chance once model complexity is penalized. As Sections 3.4 through 3.10 describe in detail, this null result held up across every alternative setup and robustness check we ran. We also report, openly, that an earlier development version of this analysis, using a placeholder climate series, had suggested a nominally significant cold-stress association. That association did not hold up once we substituted the verified historical record (Section 2.4); see Section 4 for more on this.</w:t>
      </w:r>
      <w:r w:rsidDel="00000000" w:rsidR="00000000" w:rsidRPr="00000000">
        <w:rPr>
          <w:rtl w:val="0"/>
        </w:rPr>
      </w:r>
    </w:p>
    <w:p w:rsidR="00000000" w:rsidDel="00000000" w:rsidP="00000000" w:rsidRDefault="00000000" w:rsidRPr="00000000" w14:paraId="0000005A">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3.4 </w:t>
      </w:r>
      <w:r w:rsidDel="00000000" w:rsidR="00000000" w:rsidRPr="00000000">
        <w:rPr>
          <w:rFonts w:ascii="Times New Roman" w:cs="Times New Roman" w:eastAsia="Times New Roman" w:hAnsi="Times New Roman"/>
          <w:i w:val="1"/>
          <w:iCs w:val="1"/>
          <w:sz w:val="24"/>
          <w:szCs w:val="24"/>
          <w:rtl w:val="0"/>
        </w:rPr>
        <w:t xml:space="preserve">Multicollinearity Diagnostics</w:t>
      </w:r>
      <w:r w:rsidDel="00000000" w:rsidR="00000000" w:rsidRPr="00000000">
        <w:rPr>
          <w:rtl w:val="0"/>
        </w:rPr>
      </w:r>
    </w:p>
    <w:p w:rsidR="00000000" w:rsidDel="00000000" w:rsidP="00000000" w:rsidRDefault="00000000" w:rsidRPr="00000000" w14:paraId="0000005B">
      <w:pPr>
        <w:spacing w:after="240" w:before="0" w:line="276" w:lineRule="auto"/>
        <w:rPr/>
      </w:pPr>
      <w:r w:rsidDel="00000000" w:rsidR="00000000" w:rsidRPr="00000000">
        <w:rPr>
          <w:rFonts w:ascii="Gungsuh" w:cs="Gungsuh" w:eastAsia="Gungsuh" w:hAnsi="Gungsuh"/>
          <w:sz w:val="24"/>
          <w:szCs w:val="24"/>
          <w:rtl w:val="0"/>
        </w:rPr>
        <w:t xml:space="preserve">Variance inflation factors stayed high for age and both exposure measures, even with the verified climate record: age = 11.42, heat stress = 16.95, cold stress = 10.31 (compare with gender = 1.01). The correlation between age and cold stress was 0.922, and between age and heat stress was −0.953. This confirms that the age-period-cohort collinearity we describe in Section 4 is a structural feature of this type of reconstruction design. It shows up whether the underlying climate series is real or a placeholder, and whether or not an association is ultimately found.</w:t>
      </w:r>
      <w:r w:rsidDel="00000000" w:rsidR="00000000" w:rsidRPr="00000000">
        <w:rPr>
          <w:rtl w:val="0"/>
        </w:rPr>
      </w:r>
    </w:p>
    <w:p w:rsidR="00000000" w:rsidDel="00000000" w:rsidP="00000000" w:rsidRDefault="00000000" w:rsidRPr="00000000" w14:paraId="0000005C">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3.5 </w:t>
      </w:r>
      <w:r w:rsidDel="00000000" w:rsidR="00000000" w:rsidRPr="00000000">
        <w:rPr>
          <w:rFonts w:ascii="Times New Roman" w:cs="Times New Roman" w:eastAsia="Times New Roman" w:hAnsi="Times New Roman"/>
          <w:i w:val="1"/>
          <w:iCs w:val="1"/>
          <w:sz w:val="24"/>
          <w:szCs w:val="24"/>
          <w:rtl w:val="0"/>
        </w:rPr>
        <w:t xml:space="preserve">Alternative Specifications</w:t>
      </w:r>
      <w:r w:rsidDel="00000000" w:rsidR="00000000" w:rsidRPr="00000000">
        <w:rPr>
          <w:rtl w:val="0"/>
        </w:rPr>
      </w:r>
    </w:p>
    <w:p w:rsidR="00000000" w:rsidDel="00000000" w:rsidP="00000000" w:rsidRDefault="00000000" w:rsidRPr="00000000" w14:paraId="0000005D">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Table 3 compares three model setups for PFC connectivity.</w:t>
      </w:r>
      <w:r w:rsidDel="00000000" w:rsidR="00000000" w:rsidRPr="00000000">
        <w:rPr>
          <w:rtl w:val="0"/>
        </w:rPr>
      </w:r>
    </w:p>
    <w:p w:rsidR="00000000" w:rsidDel="00000000" w:rsidP="00000000" w:rsidRDefault="00000000" w:rsidRPr="00000000" w14:paraId="0000005E">
      <w:pPr>
        <w:spacing w:after="12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Alternative specifications, PFC outcome, age/sex/education-adjusted.</w:t>
      </w:r>
      <w:r w:rsidDel="00000000" w:rsidR="00000000" w:rsidRPr="00000000">
        <w:rPr>
          <w:rtl w:val="0"/>
        </w:rPr>
      </w:r>
    </w:p>
    <w:tbl>
      <w:tblPr>
        <w:tblStyle w:val="Table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00"/>
        <w:gridCol w:w="1200"/>
        <w:gridCol w:w="1500"/>
        <w:gridCol w:w="1200"/>
        <w:tblGridChange w:id="0">
          <w:tblGrid>
            <w:gridCol w:w="3400"/>
            <w:gridCol w:w="1500"/>
            <w:gridCol w:w="1200"/>
            <w:gridCol w:w="1500"/>
            <w:gridCol w:w="1200"/>
          </w:tblGrid>
        </w:tblGridChange>
      </w:tblGrid>
      <w:tr>
        <w:trPr>
          <w:cantSplit w:val="1"/>
          <w:tblHeader w:val="1"/>
        </w:trPr>
        <w:tc>
          <w:tcPr>
            <w:shd w:fill="e8e8e8" w:val="clear"/>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0"/>
                <w:szCs w:val="20"/>
                <w:rtl w:val="0"/>
              </w:rPr>
              <w:t xml:space="preserve">Specification</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0"/>
                <w:szCs w:val="20"/>
                <w:rtl w:val="0"/>
              </w:rPr>
              <w:t xml:space="preserve">Cold 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0"/>
                <w:szCs w:val="20"/>
                <w:rtl w:val="0"/>
              </w:rPr>
              <w:t xml:space="preserve">Cold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1"/>
                <w:bCs w:val="1"/>
                <w:sz w:val="20"/>
                <w:szCs w:val="20"/>
                <w:rtl w:val="0"/>
              </w:rPr>
              <w:t xml:space="preserve">Heat 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20"/>
                <w:szCs w:val="20"/>
                <w:rtl w:val="0"/>
              </w:rPr>
              <w:t xml:space="preserve">Heat 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0"/>
                <w:szCs w:val="20"/>
                <w:rtl w:val="0"/>
              </w:rPr>
              <w:t xml:space="preserve">A: Cold stress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jc w:val="center"/>
              <w:rPr/>
            </w:pPr>
            <w:r w:rsidDel="00000000" w:rsidR="00000000" w:rsidRPr="00000000">
              <w:rPr>
                <w:rFonts w:ascii="Gungsuh" w:cs="Gungsuh" w:eastAsia="Gungsuh" w:hAnsi="Gungsuh"/>
                <w:b w:val="0"/>
                <w:bCs w:val="0"/>
                <w:sz w:val="20"/>
                <w:szCs w:val="20"/>
                <w:rtl w:val="0"/>
              </w:rPr>
              <w:t xml:space="preserve">−0.0008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0"/>
                <w:szCs w:val="20"/>
                <w:rtl w:val="0"/>
              </w:rPr>
              <w:t xml:space="preserve">0.372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0"/>
                <w:szCs w:val="20"/>
                <w:rtl w:val="0"/>
              </w:rPr>
              <w:t xml:space="preserve">B: Heat stress only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0"/>
                <w:szCs w:val="20"/>
                <w:rtl w:val="0"/>
              </w:rPr>
              <w:t xml:space="preserve">0.0003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0.224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20"/>
                <w:szCs w:val="20"/>
                <w:rtl w:val="0"/>
              </w:rPr>
              <w:t xml:space="preserve">C: Both together (primary)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jc w:val="center"/>
              <w:rPr/>
            </w:pPr>
            <w:r w:rsidDel="00000000" w:rsidR="00000000" w:rsidRPr="00000000">
              <w:rPr>
                <w:rFonts w:ascii="Gungsuh" w:cs="Gungsuh" w:eastAsia="Gungsuh" w:hAnsi="Gungsuh"/>
                <w:b w:val="0"/>
                <w:bCs w:val="0"/>
                <w:sz w:val="20"/>
                <w:szCs w:val="20"/>
                <w:rtl w:val="0"/>
              </w:rPr>
              <w:t xml:space="preserve">−0.0002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0.867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0"/>
                <w:szCs w:val="20"/>
                <w:rtl w:val="0"/>
              </w:rPr>
              <w:t xml:space="preserve">0.0003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0.402</w:t>
            </w:r>
            <w:r w:rsidDel="00000000" w:rsidR="00000000" w:rsidRPr="00000000">
              <w:rPr>
                <w:rtl w:val="0"/>
              </w:rPr>
            </w:r>
          </w:p>
        </w:tc>
      </w:tr>
    </w:tbl>
    <w:p w:rsidR="00000000" w:rsidDel="00000000" w:rsidP="00000000" w:rsidRDefault="00000000" w:rsidRPr="00000000" w14:paraId="00000073">
      <w:pPr>
        <w:spacing w:after="240" w:before="0" w:line="276" w:lineRule="auto"/>
        <w:rPr/>
      </w:pPr>
      <w:r w:rsidDel="00000000" w:rsidR="00000000" w:rsidRPr="00000000">
        <w:rPr>
          <w:rFonts w:ascii="Times New Roman" w:cs="Times New Roman" w:eastAsia="Times New Roman" w:hAnsi="Times New Roman"/>
          <w:sz w:val="24"/>
          <w:szCs w:val="24"/>
          <w:rtl w:val="0"/>
        </w:rPr>
        <w:t xml:space="preserve">Neither exposure was related to PFC connectivity whether tested alone or together, so the null result does not depend on which specific model setup we chose.</w:t>
      </w:r>
      <w:r w:rsidDel="00000000" w:rsidR="00000000" w:rsidRPr="00000000">
        <w:rPr>
          <w:rtl w:val="0"/>
        </w:rPr>
      </w:r>
    </w:p>
    <w:p w:rsidR="00000000" w:rsidDel="00000000" w:rsidP="00000000" w:rsidRDefault="00000000" w:rsidRPr="00000000" w14:paraId="00000074">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3.6 </w:t>
      </w:r>
      <w:r w:rsidDel="00000000" w:rsidR="00000000" w:rsidRPr="00000000">
        <w:rPr>
          <w:rFonts w:ascii="Times New Roman" w:cs="Times New Roman" w:eastAsia="Times New Roman" w:hAnsi="Times New Roman"/>
          <w:i w:val="1"/>
          <w:iCs w:val="1"/>
          <w:sz w:val="24"/>
          <w:szCs w:val="24"/>
          <w:rtl w:val="0"/>
        </w:rPr>
        <w:t xml:space="preserve">Residualization: An Alternative Formulation, Not Independent Evidence</w:t>
      </w:r>
      <w:r w:rsidDel="00000000" w:rsidR="00000000" w:rsidRPr="00000000">
        <w:rPr>
          <w:rtl w:val="0"/>
        </w:rPr>
      </w:r>
    </w:p>
    <w:p w:rsidR="00000000" w:rsidDel="00000000" w:rsidP="00000000" w:rsidRDefault="00000000" w:rsidRPr="00000000" w14:paraId="00000075">
      <w:pPr>
        <w:spacing w:after="240" w:before="0" w:line="276" w:lineRule="auto"/>
        <w:rPr/>
      </w:pPr>
      <w:r w:rsidDel="00000000" w:rsidR="00000000" w:rsidRPr="00000000">
        <w:rPr>
          <w:rFonts w:ascii="Cardo" w:cs="Cardo" w:eastAsia="Cardo" w:hAnsi="Cardo"/>
          <w:sz w:val="24"/>
          <w:szCs w:val="24"/>
          <w:rtl w:val="0"/>
        </w:rPr>
        <w:t xml:space="preserve">After removing the linear effect of age from each exposure measure and re-fitting the model without age as a separate covariate, both coefficients stayed small and non-significant (heat: β = 0.0002, p = 0.497; cold: β = −0.0004, p = 0.734). This matches the age-adjusted main model, as we would expect from the Frisch–Waugh–Lovell theorem. We want to be clear that this match is a mathematical property of two correctly built, equivalent formulations, not a second, independent piece of evidence. We report it as a consistency check on our own pipeline, not as an extra robustness check in the usual sense. We also note that the residualized heat and cold measures were still fairly correlated with each other (r = −0.594) even after removing what they both share with age, which means they are not fully independent measures of exposure.</w:t>
      </w:r>
      <w:r w:rsidDel="00000000" w:rsidR="00000000" w:rsidRPr="00000000">
        <w:rPr>
          <w:rtl w:val="0"/>
        </w:rPr>
      </w:r>
    </w:p>
    <w:p w:rsidR="00000000" w:rsidDel="00000000" w:rsidP="00000000" w:rsidRDefault="00000000" w:rsidRPr="00000000" w14:paraId="00000076">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3.7 </w:t>
      </w:r>
      <w:r w:rsidDel="00000000" w:rsidR="00000000" w:rsidRPr="00000000">
        <w:rPr>
          <w:rFonts w:ascii="Times New Roman" w:cs="Times New Roman" w:eastAsia="Times New Roman" w:hAnsi="Times New Roman"/>
          <w:i w:val="1"/>
          <w:iCs w:val="1"/>
          <w:sz w:val="24"/>
          <w:szCs w:val="24"/>
          <w:rtl w:val="0"/>
        </w:rPr>
        <w:t xml:space="preserve">Zero-Inclusive Connectivity Check</w:t>
      </w:r>
      <w:r w:rsidDel="00000000" w:rsidR="00000000" w:rsidRPr="00000000">
        <w:rPr>
          <w:rtl w:val="0"/>
        </w:rPr>
      </w:r>
    </w:p>
    <w:p w:rsidR="00000000" w:rsidDel="00000000" w:rsidP="00000000" w:rsidRDefault="00000000" w:rsidRPr="00000000" w14:paraId="00000077">
      <w:pPr>
        <w:spacing w:after="240" w:before="0" w:line="276" w:lineRule="auto"/>
        <w:rPr/>
      </w:pPr>
      <w:r w:rsidDel="00000000" w:rsidR="00000000" w:rsidRPr="00000000">
        <w:rPr>
          <w:rFonts w:ascii="Times New Roman" w:cs="Times New Roman" w:eastAsia="Times New Roman" w:hAnsi="Times New Roman"/>
          <w:sz w:val="24"/>
          <w:szCs w:val="24"/>
          <w:rtl w:val="0"/>
        </w:rPr>
        <w:t xml:space="preserve">Section 2.3 defines the connectivity outcome as the mean positive within-network edge weight, leaving out zero-weight and negative pairs. To check whether this choice affected our conclusions, we recalculated PFC connectivity as the mean edge weight across all within-network region pairs, including the zero-weight ones. Under this alternative definition, neither exposure came close to significance (cold: p = 0.776; heat: p = 0.914), matching the main-model result.</w:t>
      </w:r>
      <w:r w:rsidDel="00000000" w:rsidR="00000000" w:rsidRPr="00000000">
        <w:rPr>
          <w:rtl w:val="0"/>
        </w:rPr>
      </w:r>
    </w:p>
    <w:p w:rsidR="00000000" w:rsidDel="00000000" w:rsidP="00000000" w:rsidRDefault="00000000" w:rsidRPr="00000000" w14:paraId="00000078">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3.8 </w:t>
      </w:r>
      <w:r w:rsidDel="00000000" w:rsidR="00000000" w:rsidRPr="00000000">
        <w:rPr>
          <w:rFonts w:ascii="Times New Roman" w:cs="Times New Roman" w:eastAsia="Times New Roman" w:hAnsi="Times New Roman"/>
          <w:i w:val="1"/>
          <w:iCs w:val="1"/>
          <w:sz w:val="24"/>
          <w:szCs w:val="24"/>
          <w:rtl w:val="0"/>
        </w:rPr>
        <w:t xml:space="preserve">Robust Inference</w:t>
      </w:r>
      <w:r w:rsidDel="00000000" w:rsidR="00000000" w:rsidRPr="00000000">
        <w:rPr>
          <w:rtl w:val="0"/>
        </w:rPr>
      </w:r>
    </w:p>
    <w:p w:rsidR="00000000" w:rsidDel="00000000" w:rsidP="00000000" w:rsidRDefault="00000000" w:rsidRPr="00000000" w14:paraId="00000079">
      <w:pPr>
        <w:spacing w:after="240" w:before="0" w:line="276" w:lineRule="auto"/>
        <w:rPr/>
      </w:pPr>
      <w:r w:rsidDel="00000000" w:rsidR="00000000" w:rsidRPr="00000000">
        <w:rPr>
          <w:rFonts w:ascii="Times New Roman" w:cs="Times New Roman" w:eastAsia="Times New Roman" w:hAnsi="Times New Roman"/>
          <w:sz w:val="24"/>
          <w:szCs w:val="24"/>
          <w:rtl w:val="0"/>
        </w:rPr>
        <w:t xml:space="preserve">A Breusch–Pagan test found no strong evidence of heteroskedasticity (p = 0.420). Residual normality was violated, however (Shapiro–Wilk p = 0.002), which is why we ran heteroskedasticity- and non-normality-robust checks even though we had already seen a null result. Under HC3 robust standard errors, both exposures stayed non-significant (cold: p = 0.850; heat: p = 0.348). Under a Freedman–Lane permutation test (10,000 permutations, which permutes residuals from a reduced model instead of the raw exposure variable, so the real relationships between predictors are preserved), the cold-stress association stayed non-significant (p = 0.863), matching the classical and HC3 results.</w:t>
      </w:r>
      <w:r w:rsidDel="00000000" w:rsidR="00000000" w:rsidRPr="00000000">
        <w:rPr>
          <w:rtl w:val="0"/>
        </w:rPr>
      </w:r>
    </w:p>
    <w:p w:rsidR="00000000" w:rsidDel="00000000" w:rsidP="00000000" w:rsidRDefault="00000000" w:rsidRPr="00000000" w14:paraId="0000007A">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3.9 </w:t>
      </w:r>
      <w:r w:rsidDel="00000000" w:rsidR="00000000" w:rsidRPr="00000000">
        <w:rPr>
          <w:rFonts w:ascii="Times New Roman" w:cs="Times New Roman" w:eastAsia="Times New Roman" w:hAnsi="Times New Roman"/>
          <w:i w:val="1"/>
          <w:iCs w:val="1"/>
          <w:sz w:val="24"/>
          <w:szCs w:val="24"/>
          <w:rtl w:val="0"/>
        </w:rPr>
        <w:t xml:space="preserve">Multiple-Comparison Correction</w:t>
      </w:r>
      <w:r w:rsidDel="00000000" w:rsidR="00000000" w:rsidRPr="00000000">
        <w:rPr>
          <w:rtl w:val="0"/>
        </w:rPr>
      </w:r>
    </w:p>
    <w:p w:rsidR="00000000" w:rsidDel="00000000" w:rsidP="00000000" w:rsidRDefault="00000000" w:rsidRPr="00000000" w14:paraId="0000007B">
      <w:pPr>
        <w:spacing w:after="240" w:before="0" w:line="276" w:lineRule="auto"/>
        <w:rPr/>
      </w:pPr>
      <w:r w:rsidDel="00000000" w:rsidR="00000000" w:rsidRPr="00000000">
        <w:rPr>
          <w:rFonts w:ascii="Times New Roman" w:cs="Times New Roman" w:eastAsia="Times New Roman" w:hAnsi="Times New Roman"/>
          <w:sz w:val="24"/>
          <w:szCs w:val="24"/>
          <w:rtl w:val="0"/>
        </w:rPr>
        <w:t xml:space="preserve">Because this exploratory analysis tested two exposures against two outcomes (four main comparisons), we applied both Bonferroni and Benjamini–Hochberg (FDR) correction across these four p-values. Table 4 shows the result.</w:t>
      </w:r>
      <w:r w:rsidDel="00000000" w:rsidR="00000000" w:rsidRPr="00000000">
        <w:rPr>
          <w:rtl w:val="0"/>
        </w:rPr>
      </w:r>
    </w:p>
    <w:p w:rsidR="00000000" w:rsidDel="00000000" w:rsidP="00000000" w:rsidRDefault="00000000" w:rsidRPr="00000000" w14:paraId="0000007C">
      <w:pPr>
        <w:spacing w:after="12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Multiple-comparison correction across the four primary exposure–outcome comparisons.</w:t>
      </w:r>
      <w:r w:rsidDel="00000000" w:rsidR="00000000" w:rsidRPr="00000000">
        <w:rPr>
          <w:rtl w:val="0"/>
        </w:rPr>
      </w:r>
    </w:p>
    <w:tbl>
      <w:tblPr>
        <w:tblStyle w:val="Table4"/>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900"/>
        <w:gridCol w:w="1500"/>
        <w:tblGridChange w:id="0">
          <w:tblGrid>
            <w:gridCol w:w="2600"/>
            <w:gridCol w:w="1600"/>
            <w:gridCol w:w="1900"/>
            <w:gridCol w:w="1500"/>
          </w:tblGrid>
        </w:tblGridChange>
      </w:tblGrid>
      <w:tr>
        <w:trPr>
          <w:cantSplit w:val="1"/>
          <w:tblHeader w:val="1"/>
        </w:trPr>
        <w:tc>
          <w:tcPr>
            <w:shd w:fill="e8e8e8" w:val="clear"/>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1"/>
                <w:bCs w:val="1"/>
                <w:sz w:val="20"/>
                <w:szCs w:val="20"/>
                <w:rtl w:val="0"/>
              </w:rPr>
              <w:t xml:space="preserve">Comparison</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1"/>
                <w:bCs w:val="1"/>
                <w:sz w:val="20"/>
                <w:szCs w:val="20"/>
                <w:rtl w:val="0"/>
              </w:rPr>
              <w:t xml:space="preserve">Raw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1"/>
                <w:bCs w:val="1"/>
                <w:sz w:val="20"/>
                <w:szCs w:val="20"/>
                <w:rtl w:val="0"/>
              </w:rPr>
              <w:t xml:space="preserve">Bonferroni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1"/>
                <w:bCs w:val="1"/>
                <w:sz w:val="20"/>
                <w:szCs w:val="20"/>
                <w:rtl w:val="0"/>
              </w:rPr>
              <w:t xml:space="preserve">FDR 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Cardo" w:cs="Cardo" w:eastAsia="Cardo" w:hAnsi="Cardo"/>
                <w:b w:val="0"/>
                <w:bCs w:val="0"/>
                <w:sz w:val="20"/>
                <w:szCs w:val="20"/>
                <w:rtl w:val="0"/>
              </w:rPr>
              <w:t xml:space="preserve">Heat → PFC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0.402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20"/>
                <w:szCs w:val="20"/>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Cardo" w:cs="Cardo" w:eastAsia="Cardo" w:hAnsi="Cardo"/>
                <w:b w:val="0"/>
                <w:bCs w:val="0"/>
                <w:sz w:val="20"/>
                <w:szCs w:val="20"/>
                <w:rtl w:val="0"/>
              </w:rPr>
              <w:t xml:space="preserve">Cold → PFC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0"/>
                <w:szCs w:val="20"/>
                <w:rtl w:val="0"/>
              </w:rPr>
              <w:t xml:space="preserve">0.867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0"/>
                <w:szCs w:val="20"/>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Cardo" w:cs="Cardo" w:eastAsia="Cardo" w:hAnsi="Cardo"/>
                <w:b w:val="0"/>
                <w:bCs w:val="0"/>
                <w:sz w:val="20"/>
                <w:szCs w:val="20"/>
                <w:rtl w:val="0"/>
              </w:rPr>
              <w:t xml:space="preserve">Heat → Limbic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0"/>
                <w:szCs w:val="20"/>
                <w:rtl w:val="0"/>
              </w:rPr>
              <w:t xml:space="preserve">0.616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0"/>
                <w:szCs w:val="20"/>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Cardo" w:cs="Cardo" w:eastAsia="Cardo" w:hAnsi="Cardo"/>
                <w:b w:val="0"/>
                <w:bCs w:val="0"/>
                <w:sz w:val="20"/>
                <w:szCs w:val="20"/>
                <w:rtl w:val="0"/>
              </w:rPr>
              <w:t xml:space="preserve">Cold → Limbic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0"/>
                <w:bCs w:val="0"/>
                <w:sz w:val="20"/>
                <w:szCs w:val="20"/>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0"/>
                <w:bCs w:val="0"/>
                <w:sz w:val="20"/>
                <w:szCs w:val="20"/>
                <w:rtl w:val="0"/>
              </w:rPr>
              <w:t xml:space="preserve">0.890</w:t>
            </w:r>
            <w:r w:rsidDel="00000000" w:rsidR="00000000" w:rsidRPr="00000000">
              <w:rPr>
                <w:rtl w:val="0"/>
              </w:rPr>
            </w:r>
          </w:p>
        </w:tc>
      </w:tr>
    </w:tbl>
    <w:p w:rsidR="00000000" w:rsidDel="00000000" w:rsidP="00000000" w:rsidRDefault="00000000" w:rsidRPr="00000000" w14:paraId="00000091">
      <w:pPr>
        <w:spacing w:after="240" w:before="0" w:line="276" w:lineRule="auto"/>
        <w:rPr/>
      </w:pPr>
      <w:r w:rsidDel="00000000" w:rsidR="00000000" w:rsidRPr="00000000">
        <w:rPr>
          <w:rFonts w:ascii="Times New Roman" w:cs="Times New Roman" w:eastAsia="Times New Roman" w:hAnsi="Times New Roman"/>
          <w:sz w:val="24"/>
          <w:szCs w:val="24"/>
          <w:rtl w:val="0"/>
        </w:rPr>
        <w:t xml:space="preserve">None of the four exposure-outcome comparisons came close to significance even before correction, so this step does not change our conclusions. We report it for completeness and because it was part of our planned analysis pipeline (Section 2.5).</w:t>
      </w:r>
      <w:r w:rsidDel="00000000" w:rsidR="00000000" w:rsidRPr="00000000">
        <w:rPr>
          <w:rtl w:val="0"/>
        </w:rPr>
      </w:r>
    </w:p>
    <w:p w:rsidR="00000000" w:rsidDel="00000000" w:rsidP="00000000" w:rsidRDefault="00000000" w:rsidRPr="00000000" w14:paraId="00000092">
      <w:pPr>
        <w:spacing w:after="200" w:before="280" w:line="276" w:lineRule="auto"/>
        <w:rPr/>
      </w:pPr>
      <w:r w:rsidDel="00000000" w:rsidR="00000000" w:rsidRPr="00000000">
        <w:rPr>
          <w:rFonts w:ascii="Times New Roman" w:cs="Times New Roman" w:eastAsia="Times New Roman" w:hAnsi="Times New Roman"/>
          <w:b w:val="1"/>
          <w:bCs w:val="1"/>
          <w:sz w:val="24"/>
          <w:szCs w:val="24"/>
          <w:rtl w:val="0"/>
        </w:rPr>
        <w:t xml:space="preserve">3.10 </w:t>
      </w:r>
      <w:r w:rsidDel="00000000" w:rsidR="00000000" w:rsidRPr="00000000">
        <w:rPr>
          <w:rFonts w:ascii="Times New Roman" w:cs="Times New Roman" w:eastAsia="Times New Roman" w:hAnsi="Times New Roman"/>
          <w:i w:val="1"/>
          <w:iCs w:val="1"/>
          <w:sz w:val="24"/>
          <w:szCs w:val="24"/>
          <w:rtl w:val="0"/>
        </w:rPr>
        <w:t xml:space="preserve">Anchor-Year Sensitivity Analysis</w:t>
      </w:r>
      <w:r w:rsidDel="00000000" w:rsidR="00000000" w:rsidRPr="00000000">
        <w:rPr>
          <w:rtl w:val="0"/>
        </w:rPr>
      </w:r>
    </w:p>
    <w:p w:rsidR="00000000" w:rsidDel="00000000" w:rsidP="00000000" w:rsidRDefault="00000000" w:rsidRPr="00000000" w14:paraId="00000093">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varied the SCAN_ANCHOR_YEAR assumption (Section 2.4) across 2011–2015. Table 5 shows the result for each assumed year.</w:t>
      </w:r>
      <w:r w:rsidDel="00000000" w:rsidR="00000000" w:rsidRPr="00000000">
        <w:rPr>
          <w:rtl w:val="0"/>
        </w:rPr>
      </w:r>
    </w:p>
    <w:p w:rsidR="00000000" w:rsidDel="00000000" w:rsidP="00000000" w:rsidRDefault="00000000" w:rsidRPr="00000000" w14:paraId="00000094">
      <w:pPr>
        <w:spacing w:after="120" w:before="200" w:line="276" w:lineRule="auto"/>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Cold- and heat-stress association with PFC connectivity across assumed scan-anchor years.</w:t>
      </w:r>
      <w:r w:rsidDel="00000000" w:rsidR="00000000" w:rsidRPr="00000000">
        <w:rPr>
          <w:rtl w:val="0"/>
        </w:rPr>
      </w:r>
    </w:p>
    <w:tbl>
      <w:tblPr>
        <w:tblStyle w:val="Table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1200"/>
        <w:gridCol w:w="1500"/>
        <w:gridCol w:w="1200"/>
        <w:tblGridChange w:id="0">
          <w:tblGrid>
            <w:gridCol w:w="2600"/>
            <w:gridCol w:w="1500"/>
            <w:gridCol w:w="1200"/>
            <w:gridCol w:w="1500"/>
            <w:gridCol w:w="1200"/>
          </w:tblGrid>
        </w:tblGridChange>
      </w:tblGrid>
      <w:tr>
        <w:trPr>
          <w:cantSplit w:val="1"/>
          <w:tblHeader w:val="1"/>
        </w:trPr>
        <w:tc>
          <w:tcPr>
            <w:shd w:fill="e8e8e8" w:val="clear"/>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1"/>
                <w:bCs w:val="1"/>
                <w:sz w:val="20"/>
                <w:szCs w:val="20"/>
                <w:rtl w:val="0"/>
              </w:rPr>
              <w:t xml:space="preserve">Anchor year</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1"/>
                <w:bCs w:val="1"/>
                <w:sz w:val="20"/>
                <w:szCs w:val="20"/>
                <w:rtl w:val="0"/>
              </w:rPr>
              <w:t xml:space="preserve">Cold 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1"/>
                <w:bCs w:val="1"/>
                <w:sz w:val="20"/>
                <w:szCs w:val="20"/>
                <w:rtl w:val="0"/>
              </w:rPr>
              <w:t xml:space="preserve">Cold p</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1"/>
                <w:bCs w:val="1"/>
                <w:sz w:val="20"/>
                <w:szCs w:val="20"/>
                <w:rtl w:val="0"/>
              </w:rPr>
              <w:t xml:space="preserve">Heat β</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1"/>
                <w:bCs w:val="1"/>
                <w:sz w:val="20"/>
                <w:szCs w:val="20"/>
                <w:rtl w:val="0"/>
              </w:rPr>
              <w:t xml:space="preserve">Heat p</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0"/>
                <w:szCs w:val="20"/>
                <w:rtl w:val="0"/>
              </w:rPr>
              <w:t xml:space="preserve">2011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0"/>
                <w:bCs w:val="0"/>
                <w:sz w:val="20"/>
                <w:szCs w:val="20"/>
                <w:rtl w:val="0"/>
              </w:rPr>
              <w:t xml:space="preserve">+0.0016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b w:val="0"/>
                <w:bCs w:val="0"/>
                <w:sz w:val="20"/>
                <w:szCs w:val="20"/>
                <w:rtl w:val="0"/>
              </w:rPr>
              <w:t xml:space="preserve">0.143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b w:val="0"/>
                <w:bCs w:val="0"/>
                <w:sz w:val="20"/>
                <w:szCs w:val="20"/>
                <w:rtl w:val="0"/>
              </w:rPr>
              <w:t xml:space="preserve">+0.0010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0"/>
                <w:bCs w:val="0"/>
                <w:sz w:val="20"/>
                <w:szCs w:val="20"/>
                <w:rtl w:val="0"/>
              </w:rPr>
              <w:t xml:space="preserve">0.041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0"/>
                <w:szCs w:val="20"/>
                <w:rtl w:val="0"/>
              </w:rPr>
              <w:t xml:space="preserve">2012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0"/>
                <w:bCs w:val="0"/>
                <w:sz w:val="20"/>
                <w:szCs w:val="20"/>
                <w:rtl w:val="0"/>
              </w:rPr>
              <w:t xml:space="preserve">+0.0017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0"/>
                <w:bCs w:val="0"/>
                <w:sz w:val="20"/>
                <w:szCs w:val="20"/>
                <w:rtl w:val="0"/>
              </w:rPr>
              <w:t xml:space="preserve">0.155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0"/>
                <w:bCs w:val="0"/>
                <w:sz w:val="20"/>
                <w:szCs w:val="20"/>
                <w:rtl w:val="0"/>
              </w:rPr>
              <w:t xml:space="preserve">+0.0007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0"/>
                <w:bCs w:val="0"/>
                <w:sz w:val="20"/>
                <w:szCs w:val="20"/>
                <w:rtl w:val="0"/>
              </w:rPr>
              <w:t xml:space="preserve">0.166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20"/>
                <w:szCs w:val="20"/>
                <w:rtl w:val="0"/>
              </w:rPr>
              <w:t xml:space="preserve">2013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0"/>
                <w:bCs w:val="0"/>
                <w:sz w:val="20"/>
                <w:szCs w:val="20"/>
                <w:rtl w:val="0"/>
              </w:rPr>
              <w:t xml:space="preserve">+0.0003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sz w:val="20"/>
                <w:szCs w:val="20"/>
                <w:rtl w:val="0"/>
              </w:rPr>
              <w:t xml:space="preserve">0.775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0"/>
                <w:bCs w:val="0"/>
                <w:sz w:val="20"/>
                <w:szCs w:val="20"/>
                <w:rtl w:val="0"/>
              </w:rPr>
              <w:t xml:space="preserve">+0.0001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sz w:val="20"/>
                <w:szCs w:val="20"/>
                <w:rtl w:val="0"/>
              </w:rPr>
              <w:t xml:space="preserve">0.873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0"/>
                <w:szCs w:val="20"/>
                <w:rtl w:val="0"/>
              </w:rPr>
              <w:t xml:space="preserve">2014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jc w:val="center"/>
              <w:rPr/>
            </w:pPr>
            <w:r w:rsidDel="00000000" w:rsidR="00000000" w:rsidRPr="00000000">
              <w:rPr>
                <w:rFonts w:ascii="Gungsuh" w:cs="Gungsuh" w:eastAsia="Gungsuh" w:hAnsi="Gungsuh"/>
                <w:b w:val="0"/>
                <w:bCs w:val="0"/>
                <w:sz w:val="20"/>
                <w:szCs w:val="20"/>
                <w:rtl w:val="0"/>
              </w:rPr>
              <w:t xml:space="preserve">−0.0009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sz w:val="20"/>
                <w:szCs w:val="20"/>
                <w:rtl w:val="0"/>
              </w:rPr>
              <w:t xml:space="preserve">0.400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jc w:val="center"/>
              <w:rPr/>
            </w:pPr>
            <w:r w:rsidDel="00000000" w:rsidR="00000000" w:rsidRPr="00000000">
              <w:rPr>
                <w:rFonts w:ascii="Gungsuh" w:cs="Gungsuh" w:eastAsia="Gungsuh" w:hAnsi="Gungsuh"/>
                <w:b w:val="0"/>
                <w:bCs w:val="0"/>
                <w:sz w:val="20"/>
                <w:szCs w:val="20"/>
                <w:rtl w:val="0"/>
              </w:rPr>
              <w:t xml:space="preserve">−0.0004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sz w:val="20"/>
                <w:szCs w:val="20"/>
                <w:rtl w:val="0"/>
              </w:rPr>
              <w:t xml:space="preserve">0.267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20"/>
                <w:szCs w:val="20"/>
                <w:rtl w:val="0"/>
              </w:rPr>
              <w:t xml:space="preserve">2015 (used above)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jc w:val="center"/>
              <w:rPr/>
            </w:pPr>
            <w:r w:rsidDel="00000000" w:rsidR="00000000" w:rsidRPr="00000000">
              <w:rPr>
                <w:rFonts w:ascii="Gungsuh" w:cs="Gungsuh" w:eastAsia="Gungsuh" w:hAnsi="Gungsuh"/>
                <w:b w:val="0"/>
                <w:bCs w:val="0"/>
                <w:sz w:val="20"/>
                <w:szCs w:val="20"/>
                <w:rtl w:val="0"/>
              </w:rPr>
              <w:t xml:space="preserve">−0.0002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0"/>
                <w:bCs w:val="0"/>
                <w:sz w:val="20"/>
                <w:szCs w:val="20"/>
                <w:rtl w:val="0"/>
              </w:rPr>
              <w:t xml:space="preserve">0.867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sz w:val="20"/>
                <w:szCs w:val="20"/>
                <w:rtl w:val="0"/>
              </w:rPr>
              <w:t xml:space="preserve">+0.0003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sz w:val="20"/>
                <w:szCs w:val="20"/>
                <w:rtl w:val="0"/>
              </w:rPr>
              <w:t xml:space="preserve">0.402</w:t>
            </w:r>
            <w:r w:rsidDel="00000000" w:rsidR="00000000" w:rsidRPr="00000000">
              <w:rPr>
                <w:rtl w:val="0"/>
              </w:rPr>
            </w:r>
          </w:p>
        </w:tc>
      </w:tr>
    </w:tbl>
    <w:p w:rsidR="00000000" w:rsidDel="00000000" w:rsidP="00000000" w:rsidRDefault="00000000" w:rsidRPr="00000000" w14:paraId="000000B3">
      <w:pPr>
        <w:spacing w:after="240" w:before="0" w:line="276" w:lineRule="auto"/>
        <w:rPr/>
      </w:pPr>
      <w:r w:rsidDel="00000000" w:rsidR="00000000" w:rsidRPr="00000000">
        <w:rPr>
          <w:rFonts w:ascii="Times New Roman" w:cs="Times New Roman" w:eastAsia="Times New Roman" w:hAnsi="Times New Roman"/>
          <w:sz w:val="24"/>
          <w:szCs w:val="24"/>
          <w:rtl w:val="0"/>
        </w:rPr>
        <w:t xml:space="preserve">Across the 10 exposure-by-anchor-year combinations we tested, only one (heat stress at anchor year 2011, p = 0.041) reached conventional significance. This is close to the number we would expect from chance alone at α = 0.05 (0.05 × 10 = 0.5 expected false positives), and it is not the same exposure or direction as the coefficient that looked nominally significant during pipeline development with placeholder data (see Section 4). The cold-stress coefficient was never significant at any tested anchor year, and it even changed sign twice across the range (positive in 2011–2013, negative in 2014–2015), which fits with noise rather than a real trend. Figure 2 shows this pattern.</w:t>
      </w:r>
      <w:r w:rsidDel="00000000" w:rsidR="00000000" w:rsidRPr="00000000">
        <w:rPr>
          <w:rtl w:val="0"/>
        </w:rPr>
      </w:r>
    </w:p>
    <w:p w:rsidR="00000000" w:rsidDel="00000000" w:rsidP="00000000" w:rsidRDefault="00000000" w:rsidRPr="00000000" w14:paraId="000000B4">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4. Discussion</w:t>
      </w:r>
      <w:r w:rsidDel="00000000" w:rsidR="00000000" w:rsidRPr="00000000">
        <w:rPr>
          <w:rtl w:val="0"/>
        </w:rPr>
      </w:r>
    </w:p>
    <w:p w:rsidR="00000000" w:rsidDel="00000000" w:rsidP="00000000" w:rsidRDefault="00000000" w:rsidRPr="00000000" w14:paraId="000000B5">
      <w:pPr>
        <w:spacing w:after="240" w:before="0" w:line="276" w:lineRule="auto"/>
        <w:rPr/>
      </w:pPr>
      <w:r w:rsidDel="00000000" w:rsidR="00000000" w:rsidRPr="00000000">
        <w:rPr>
          <w:rFonts w:ascii="Gungsuh" w:cs="Gungsuh" w:eastAsia="Gungsuh" w:hAnsi="Gungsuh"/>
          <w:sz w:val="24"/>
          <w:szCs w:val="24"/>
          <w:rtl w:val="0"/>
        </w:rPr>
        <w:t xml:space="preserve">Using an exploratory approach, we found no association between reconstructed childhood heat or cold stress and adult PFC or limbic connectivity, in the main model or in any of the eight further checks (Sections 3.4 through 3.10). This null result held up whether we tested exposures alone or together, under an alternative connectivity definition, under heteroskedasticity-robust and permutation-based inference, after multiple-comparison correction, and across a five-year range of assumed scan dates. The adjusted R² values in both main models (Section 3.3) were close to zero (PFC: 0.004; Limbic: −0.003), showing that the fitted models gave little to no explanatory improvement over a model with no predictors at all. Given our limited sample size, however, this and the other null results above do not by themselves prove that no small or moderate true association exists. We return to this point in Section 5.</w:t>
      </w:r>
      <w:r w:rsidDel="00000000" w:rsidR="00000000" w:rsidRPr="00000000">
        <w:rPr>
          <w:rtl w:val="0"/>
        </w:rPr>
      </w:r>
    </w:p>
    <w:p w:rsidR="00000000" w:rsidDel="00000000" w:rsidP="00000000" w:rsidRDefault="00000000" w:rsidRPr="00000000" w14:paraId="000000B6">
      <w:pPr>
        <w:spacing w:after="240" w:before="0" w:line="276" w:lineRule="auto"/>
        <w:rPr/>
      </w:pPr>
      <w:r w:rsidDel="00000000" w:rsidR="00000000" w:rsidRPr="00000000">
        <w:rPr>
          <w:rFonts w:ascii="Cardo" w:cs="Cardo" w:eastAsia="Cardo" w:hAnsi="Cardo"/>
          <w:sz w:val="24"/>
          <w:szCs w:val="24"/>
          <w:rtl w:val="0"/>
        </w:rPr>
        <w:t xml:space="preserve">This straightforward null result was not, however, our first result, and we think the story behind it is worth telling in full. While building this analysis pipeline, before we had obtained the verified Prague–Klementinum record (Section 2.4), we tested the same models against a placeholder temperature series that we built by hand to have a plausible-looking long-term warming trend, just to check that the code worked. That placeholder series produced a nominally significant cold-stress association with PFC connectivity (β = −0.0040, p = 0.023, uncorrected), which is what led us to build the full set of sensitivity checks reported in this paper's methods. Every one of those checks, including the age-period-cohort diagnostics, the alternative connectivity definition, the multiple-comparison correction, and the anchor-year sensitivity analysis, already gave us reasons to distrust that placeholder-based association well before we had the real data to test it against. It did not survive multiple-comparison correction, it weakened under a zero-inclusive connectivity definition, and it was significant in only 2 of 5 tested anchor years. When we later obtained and substituted the real, verified 250-year Klementinum record, the association disappeared completely, and it has not reappeared under any setup we have tried since. We report this whole sequence openly, rather than simply presenting the final null result by itself, because it is a real, concrete example of two separate safeguards, careful sensitivity analysis and checking real data sources before drawing conclusions, pointing to the same answer from two different directions.</w:t>
      </w:r>
      <w:r w:rsidDel="00000000" w:rsidR="00000000" w:rsidRPr="00000000">
        <w:rPr>
          <w:rtl w:val="0"/>
        </w:rPr>
      </w:r>
    </w:p>
    <w:p w:rsidR="00000000" w:rsidDel="00000000" w:rsidP="00000000" w:rsidRDefault="00000000" w:rsidRPr="00000000" w14:paraId="000000B7">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The multicollinearity results (Section 3.4) are still worth discussing even with a null result. Variance inflation factors for age and both exposure measures stayed high (10 to 17) even with real data, which confirms that the age-period-cohort identification problem described below is a built-in feature of reconstructing childhood exposure from an adult's age and a historical climate record. It does not depend on whether that climate series is real or synthetic, and it does not depend on whether an association is ultimately found. Any future study using this kind of design, even one that does find a significant result, should report this diagnostic, because a significant result found despite this collinearity would still call for the same kind of sensitivity checks we ran here.</w:t>
      </w:r>
      <w:r w:rsidDel="00000000" w:rsidR="00000000" w:rsidRPr="00000000">
        <w:rPr>
          <w:rtl w:val="0"/>
        </w:rPr>
      </w:r>
    </w:p>
    <w:p w:rsidR="00000000" w:rsidDel="00000000" w:rsidP="00000000" w:rsidRDefault="00000000" w:rsidRPr="00000000" w14:paraId="000000B8">
      <w:pPr>
        <w:spacing w:after="240" w:before="0" w:line="276" w:lineRule="auto"/>
        <w:rPr/>
      </w:pPr>
      <w:r w:rsidDel="00000000" w:rsidR="00000000" w:rsidRPr="00000000">
        <w:rPr>
          <w:rFonts w:ascii="Times New Roman" w:cs="Times New Roman" w:eastAsia="Times New Roman" w:hAnsi="Times New Roman"/>
          <w:sz w:val="24"/>
          <w:szCs w:val="24"/>
          <w:rtl w:val="0"/>
        </w:rPr>
        <w:t xml:space="preserve">We see the main contribution of this study as methodological, rather than as a confirmed neurobiological finding of either sign. Studies that reconstruct childhood climate exposure from adult neuroimaging data are an appealing, low-cost way to reuse existing open datasets to ask questions about environmental exposure. Our results suggest that this kind of design needs, at minimum: confirmation that any climate data used are the real historical record and not a leftover development placeholder; an explicit sensitivity analysis over any assumed reference date; a check of results under an alternative outcome definition; and multiple-comparison correction, in addition to the more familiar checks (age adjustment, robust inference, permutation testing) that we also demonstrate here. As a smaller but still concrete point, we also note that the connectivity matrices used in this and related datasets are not symmetric as generated. Failing to symmetrize them before network analysis can treat reciprocal connections inconsistently in a way that depends on implementation details, and most graph-analysis code (including an early version of our own pipeline) will not flag this as an error.</w:t>
      </w:r>
      <w:r w:rsidDel="00000000" w:rsidR="00000000" w:rsidRPr="00000000">
        <w:rPr>
          <w:rtl w:val="0"/>
        </w:rPr>
      </w:r>
    </w:p>
    <w:p w:rsidR="00000000" w:rsidDel="00000000" w:rsidP="00000000" w:rsidRDefault="00000000" w:rsidRPr="00000000" w14:paraId="000000B9">
      <w:pPr>
        <w:spacing w:after="240" w:before="0" w:line="276" w:lineRule="auto"/>
        <w:rPr/>
      </w:pPr>
      <w:r w:rsidDel="00000000" w:rsidR="00000000" w:rsidRPr="00000000">
        <w:rPr>
          <w:rFonts w:ascii="Times New Roman" w:cs="Times New Roman" w:eastAsia="Times New Roman" w:hAnsi="Times New Roman"/>
          <w:sz w:val="24"/>
          <w:szCs w:val="24"/>
          <w:rtl w:val="0"/>
        </w:rPr>
        <w:t xml:space="preserve">It is also worth separating two different kinds of “multiple testing” in this study. The original comparison, two exposures (heat, cold) against two outcomes (PFC, limbic), is a genuine multiple-comparisons setting, which we handled both by treating it as exploratory and hypothesis-generating and by applying formal Bonferroni/FDR correction across the four resulting p-values (Section 3.9). The seven later analyses (Sections 3.4 through 3.10) were different: they were not an extra search for significance across many candidate associations. They were a structured stress-test, planned in our own analysis pipeline before the real data were obtained (though not formally pre-registered in an outside, time-stamped registry), where each further check could only weaken, never strengthen, our confidence in any association from the main model. We report the full sequence of checks no matter the outcome, rather than only reporting the checks that would have supported a positive finding.</w:t>
      </w:r>
      <w:r w:rsidDel="00000000" w:rsidR="00000000" w:rsidRPr="00000000">
        <w:rPr>
          <w:rtl w:val="0"/>
        </w:rPr>
      </w:r>
    </w:p>
    <w:p w:rsidR="00000000" w:rsidDel="00000000" w:rsidP="00000000" w:rsidRDefault="00000000" w:rsidRPr="00000000" w14:paraId="000000BA">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5. Limitations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cross-sectional cohort. All participants were scanned at (an assumed) one point in time, which makes it impossible to fully separate age, birth cohort, and exposure-period effects. The age-period-cohort identification problem discussed above cannot be solved by statistical adjustment alone within this design, and it applies even though we did not detect an association.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reconstruction and measurement. We estimated childhood temperature exposure from a single citywide weather station, not from individual-level measurement, and we assumed participants lived in Prague throughout ages 6–16, which the dataset does not verify. In addition, our “heat/cold stress” measures are cumulative annual-mean temperature anomalies, not a validated measure of physiological thermal stress or a count of extreme-weather days (Section 2.4). Readers should not treat them as equivalent to heat-wave or cold-snap exposure. A null result on these specific measures does not rule out an association with more physiologically precise exposure measures, such as heat-wave day counts or daily temperature extremes, which we could not build from station-level annual records alone.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Unconfirmed scan timing. Our anchor-year range (2011–2015) is an illustrative range based on two separate ethics-approval dates linked to the parent ESO study, not a confirmed scan-date record for this specific data release (Section 2.5).</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sample size (N = 86) limits statistical power. A true small-to-moderate effect could plausibly go undetected at this sample size, and the near-zero adjusted R² values (Section 3.3), while consistent with no effect, do not by themselves prove that one is absent.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cohort was originally recruited as the healthy-control arm of a study of early-stage schizophrenia (9). While the participants themselves had no diagnosis, this recruitment background is still worth keeping in mind when generalizing our findings to a broader population.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Residual non-normality (Section 3.8) means some caution is still warranted even with the robust methods we used here, though the fact that HC3 and permutation-based inference gave the same null result eases this concern.</w:t>
      </w:r>
      <w:r w:rsidDel="00000000" w:rsidR="00000000" w:rsidRPr="00000000">
        <w:rPr>
          <w:rtl w:val="0"/>
        </w:rPr>
      </w:r>
    </w:p>
    <w:p w:rsidR="00000000" w:rsidDel="00000000" w:rsidP="00000000" w:rsidRDefault="00000000" w:rsidRPr="00000000" w14:paraId="000000C1">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6. Conclusion</w:t>
      </w:r>
      <w:r w:rsidDel="00000000" w:rsidR="00000000" w:rsidRPr="00000000">
        <w:rPr>
          <w:rtl w:val="0"/>
        </w:rPr>
      </w:r>
    </w:p>
    <w:p w:rsidR="00000000" w:rsidDel="00000000" w:rsidP="00000000" w:rsidRDefault="00000000" w:rsidRPr="00000000" w14:paraId="000000C2">
      <w:pPr>
        <w:spacing w:after="240" w:before="0" w:line="276" w:lineRule="auto"/>
        <w:rPr/>
      </w:pPr>
      <w:r w:rsidDel="00000000" w:rsidR="00000000" w:rsidRPr="00000000">
        <w:rPr>
          <w:rFonts w:ascii="Times New Roman" w:cs="Times New Roman" w:eastAsia="Times New Roman" w:hAnsi="Times New Roman"/>
          <w:sz w:val="24"/>
          <w:szCs w:val="24"/>
          <w:rtl w:val="0"/>
        </w:rPr>
        <w:t xml:space="preserve">In an exploratory analysis of 86 adults using a verified 250-year historical temperature record, we found no reliable association between reconstructed childhood heat or cold stress and adult prefrontal cortex or limbic system structural connectivity. This null result held up across three alternative model setups, an age-residualized formulation, heteroskedasticity-robust and permutation-based inference, a zero-inclusive connectivity definition, multiple-comparison correction, and a five-year range of assumed scan dates. Notably, an earlier development version of this pipeline, using a placeholder climate series, had suggested a nominally significant cold-stress association. Our own sensitivity analyses had already flagged that association as fragile, and it did not hold up once we substituted the real historical record. This is a concrete example of why both careful sensitivity analysis and checking real data sources are essential before reporting a finding from a study that reconstructs climate exposure after the fact. We recommend that future studies in this area treat both practices as standard, reportable parts of the analysis pipeline. We also note that our persistently high variance inflation factors (Section 3.4) show that the age-period-cohort limitation of this design would apply just as much to a study that did detect a significant association.</w:t>
      </w:r>
      <w:r w:rsidDel="00000000" w:rsidR="00000000" w:rsidRPr="00000000">
        <w:rPr>
          <w:rtl w:val="0"/>
        </w:rPr>
      </w:r>
    </w:p>
    <w:p w:rsidR="00000000" w:rsidDel="00000000" w:rsidP="00000000" w:rsidRDefault="00000000" w:rsidRPr="00000000" w14:paraId="000000C3">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Data and Code Availability</w:t>
      </w:r>
      <w:r w:rsidDel="00000000" w:rsidR="00000000" w:rsidRPr="00000000">
        <w:rPr>
          <w:rtl w:val="0"/>
        </w:rPr>
      </w:r>
    </w:p>
    <w:p w:rsidR="00000000" w:rsidDel="00000000" w:rsidP="00000000" w:rsidRDefault="00000000" w:rsidRPr="00000000" w14:paraId="000000C4">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The structural connectivity dataset is publicly available (9). Historical temperature data for the Praha–Klementinum station (STAID 27, blended series) came from the European Climate Assessment &amp; Dataset (11) (https://www.ecad.eu) and were used in their verified, original form throughout every result reported in Section 3. No placeholder or synthetic climate data were used in any result presented in this manuscript. The complete analysis pipeline, including every robustness and sensitivity analysis reported here, is available as a Jupyter notebook at [insert repository link, e.g. GitHub, before submission].</w:t>
      </w:r>
      <w:r w:rsidDel="00000000" w:rsidR="00000000" w:rsidRPr="00000000">
        <w:rPr>
          <w:rtl w:val="0"/>
        </w:rPr>
      </w:r>
    </w:p>
    <w:p w:rsidR="00000000" w:rsidDel="00000000" w:rsidP="00000000" w:rsidRDefault="00000000" w:rsidRPr="00000000" w14:paraId="000000C5">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Ethics Statement</w:t>
      </w:r>
      <w:r w:rsidDel="00000000" w:rsidR="00000000" w:rsidRPr="00000000">
        <w:rPr>
          <w:rtl w:val="0"/>
        </w:rPr>
      </w:r>
    </w:p>
    <w:p w:rsidR="00000000" w:rsidDel="00000000" w:rsidP="00000000" w:rsidRDefault="00000000" w:rsidRPr="00000000" w14:paraId="000000C6">
      <w:pPr>
        <w:spacing w:after="240" w:before="0" w:line="276" w:lineRule="auto"/>
        <w:rPr/>
      </w:pPr>
      <w:r w:rsidDel="00000000" w:rsidR="00000000" w:rsidRPr="00000000">
        <w:rPr>
          <w:rFonts w:ascii="Times New Roman" w:cs="Times New Roman" w:eastAsia="Times New Roman" w:hAnsi="Times New Roman"/>
          <w:sz w:val="24"/>
          <w:szCs w:val="24"/>
          <w:rtl w:val="0"/>
        </w:rPr>
        <w:t xml:space="preserve">This study used only publicly available, de-identified secondary data, in line with the Declaration of Helsinki. The original data collection was approved by the Ethics Committee of the Prague Psychiatric Center (protocol 69/11, approved 29 June 2011). We collected no new human data for this analysis, and no identifying information about any participant is reported here.</w:t>
      </w:r>
      <w:r w:rsidDel="00000000" w:rsidR="00000000" w:rsidRPr="00000000">
        <w:rPr>
          <w:rtl w:val="0"/>
        </w:rPr>
      </w:r>
    </w:p>
    <w:p w:rsidR="00000000" w:rsidDel="00000000" w:rsidP="00000000" w:rsidRDefault="00000000" w:rsidRPr="00000000" w14:paraId="000000C7">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Acknowledgements</w:t>
      </w:r>
      <w:r w:rsidDel="00000000" w:rsidR="00000000" w:rsidRPr="00000000">
        <w:rPr>
          <w:rtl w:val="0"/>
        </w:rPr>
      </w:r>
    </w:p>
    <w:p w:rsidR="00000000" w:rsidDel="00000000" w:rsidP="00000000" w:rsidRDefault="00000000" w:rsidRPr="00000000" w14:paraId="000000C8">
      <w:pPr>
        <w:spacing w:after="240" w:before="0" w:line="276" w:lineRule="auto"/>
        <w:rPr/>
      </w:pPr>
      <w:r w:rsidDel="00000000" w:rsidR="00000000" w:rsidRPr="00000000">
        <w:rPr>
          <w:rFonts w:ascii="Times New Roman" w:cs="Times New Roman" w:eastAsia="Times New Roman" w:hAnsi="Times New Roman"/>
          <w:sz w:val="24"/>
          <w:szCs w:val="24"/>
          <w:rtl w:val="0"/>
        </w:rPr>
        <w:t xml:space="preserve">[Optional: acknowledge anyone who provided guidance, feedback, or technical assistance, and any funding source, here.]</w:t>
      </w:r>
      <w:r w:rsidDel="00000000" w:rsidR="00000000" w:rsidRPr="00000000">
        <w:rPr>
          <w:rtl w:val="0"/>
        </w:rPr>
      </w:r>
    </w:p>
    <w:p w:rsidR="00000000" w:rsidDel="00000000" w:rsidP="00000000" w:rsidRDefault="00000000" w:rsidRPr="00000000" w14:paraId="000000C9">
      <w:pPr>
        <w:spacing w:after="240" w:before="360" w:line="276"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CA">
      <w:pPr>
        <w:spacing w:after="200" w:line="276" w:lineRule="auto"/>
        <w:rPr/>
      </w:pPr>
      <w:r w:rsidDel="00000000" w:rsidR="00000000" w:rsidRPr="00000000">
        <w:rPr>
          <w:rFonts w:ascii="Times New Roman" w:cs="Times New Roman" w:eastAsia="Times New Roman" w:hAnsi="Times New Roman"/>
          <w:sz w:val="24"/>
          <w:szCs w:val="24"/>
          <w:rtl w:val="0"/>
        </w:rPr>
        <w:t xml:space="preserve">1. IPCC. IPCC Special Report on the Ocean and Cryosphere in a Changing Climate. Cambridge University Press, Cambridge, UK, 2019.</w:t>
      </w:r>
      <w:r w:rsidDel="00000000" w:rsidR="00000000" w:rsidRPr="00000000">
        <w:rPr>
          <w:rtl w:val="0"/>
        </w:rPr>
      </w:r>
    </w:p>
    <w:p w:rsidR="00000000" w:rsidDel="00000000" w:rsidP="00000000" w:rsidRDefault="00000000" w:rsidRPr="00000000" w14:paraId="000000CB">
      <w:pPr>
        <w:spacing w:after="200" w:line="276" w:lineRule="auto"/>
        <w:rPr/>
      </w:pPr>
      <w:r w:rsidDel="00000000" w:rsidR="00000000" w:rsidRPr="00000000">
        <w:rPr>
          <w:rFonts w:ascii="Times New Roman" w:cs="Times New Roman" w:eastAsia="Times New Roman" w:hAnsi="Times New Roman"/>
          <w:sz w:val="24"/>
          <w:szCs w:val="24"/>
          <w:rtl w:val="0"/>
        </w:rPr>
        <w:t xml:space="preserve">2. Minor K, Bjerre-Nielsen A, Jonasdottir SS, Lehmann S, Obradovich N. Rising temperatures erode human sleep globally. One Earth, 5: 534-549, 2022.</w:t>
      </w:r>
      <w:r w:rsidDel="00000000" w:rsidR="00000000" w:rsidRPr="00000000">
        <w:rPr>
          <w:rtl w:val="0"/>
        </w:rPr>
      </w:r>
    </w:p>
    <w:p w:rsidR="00000000" w:rsidDel="00000000" w:rsidP="00000000" w:rsidRDefault="00000000" w:rsidRPr="00000000" w14:paraId="000000CC">
      <w:pPr>
        <w:spacing w:after="200" w:line="276" w:lineRule="auto"/>
        <w:rPr/>
      </w:pPr>
      <w:r w:rsidDel="00000000" w:rsidR="00000000" w:rsidRPr="00000000">
        <w:rPr>
          <w:rFonts w:ascii="Times New Roman" w:cs="Times New Roman" w:eastAsia="Times New Roman" w:hAnsi="Times New Roman"/>
          <w:sz w:val="24"/>
          <w:szCs w:val="24"/>
          <w:rtl w:val="0"/>
        </w:rPr>
        <w:t xml:space="preserve">3. Clayton S. Climate anxiety: Psychological responses to climate change. J Anxiety Disord, 74: 102263, 2020.</w:t>
      </w:r>
      <w:r w:rsidDel="00000000" w:rsidR="00000000" w:rsidRPr="00000000">
        <w:rPr>
          <w:rtl w:val="0"/>
        </w:rPr>
      </w:r>
    </w:p>
    <w:p w:rsidR="00000000" w:rsidDel="00000000" w:rsidP="00000000" w:rsidRDefault="00000000" w:rsidRPr="00000000" w14:paraId="000000CD">
      <w:pPr>
        <w:spacing w:after="200" w:line="276" w:lineRule="auto"/>
        <w:rPr/>
      </w:pPr>
      <w:r w:rsidDel="00000000" w:rsidR="00000000" w:rsidRPr="00000000">
        <w:rPr>
          <w:rFonts w:ascii="Times New Roman" w:cs="Times New Roman" w:eastAsia="Times New Roman" w:hAnsi="Times New Roman"/>
          <w:sz w:val="24"/>
          <w:szCs w:val="24"/>
          <w:rtl w:val="0"/>
        </w:rPr>
        <w:t xml:space="preserve">4. Watts N, Amann M, Arnell N, et al. The 2019 report of The Lancet Countdown on health and climate change: ensuring that the health of a child born today is not defined by a changing climate. Lancet, 394: 1836-1878, 2019.</w:t>
      </w:r>
      <w:r w:rsidDel="00000000" w:rsidR="00000000" w:rsidRPr="00000000">
        <w:rPr>
          <w:rtl w:val="0"/>
        </w:rPr>
      </w:r>
    </w:p>
    <w:p w:rsidR="00000000" w:rsidDel="00000000" w:rsidP="00000000" w:rsidRDefault="00000000" w:rsidRPr="00000000" w14:paraId="000000CE">
      <w:pPr>
        <w:spacing w:after="200" w:line="276" w:lineRule="auto"/>
        <w:rPr/>
      </w:pPr>
      <w:r w:rsidDel="00000000" w:rsidR="00000000" w:rsidRPr="00000000">
        <w:rPr>
          <w:rFonts w:ascii="Times New Roman" w:cs="Times New Roman" w:eastAsia="Times New Roman" w:hAnsi="Times New Roman"/>
          <w:sz w:val="24"/>
          <w:szCs w:val="24"/>
          <w:rtl w:val="0"/>
        </w:rPr>
        <w:t xml:space="preserve">5. Gogtay N, Giedd JN, Lusk L, et al. Dynamic mapping of human cortical development during childhood through early adulthood. Proc Natl Acad Sci USA, 101: 8174-8179, 2004.</w:t>
      </w:r>
      <w:r w:rsidDel="00000000" w:rsidR="00000000" w:rsidRPr="00000000">
        <w:rPr>
          <w:rtl w:val="0"/>
        </w:rPr>
      </w:r>
    </w:p>
    <w:p w:rsidR="00000000" w:rsidDel="00000000" w:rsidP="00000000" w:rsidRDefault="00000000" w:rsidRPr="00000000" w14:paraId="000000CF">
      <w:pPr>
        <w:spacing w:after="200" w:line="276" w:lineRule="auto"/>
        <w:rPr/>
      </w:pPr>
      <w:r w:rsidDel="00000000" w:rsidR="00000000" w:rsidRPr="00000000">
        <w:rPr>
          <w:rFonts w:ascii="Times New Roman" w:cs="Times New Roman" w:eastAsia="Times New Roman" w:hAnsi="Times New Roman"/>
          <w:sz w:val="24"/>
          <w:szCs w:val="24"/>
          <w:rtl w:val="0"/>
        </w:rPr>
        <w:t xml:space="preserve">6. Huttenlocher PR. Synaptic density in human frontal cortex: developmental changes and effects of aging. Brain Res, 163: 195-205, 1979.</w:t>
      </w:r>
      <w:r w:rsidDel="00000000" w:rsidR="00000000" w:rsidRPr="00000000">
        <w:rPr>
          <w:rtl w:val="0"/>
        </w:rPr>
      </w:r>
    </w:p>
    <w:p w:rsidR="00000000" w:rsidDel="00000000" w:rsidP="00000000" w:rsidRDefault="00000000" w:rsidRPr="00000000" w14:paraId="000000D0">
      <w:pPr>
        <w:spacing w:after="200" w:line="276" w:lineRule="auto"/>
        <w:rPr/>
      </w:pPr>
      <w:r w:rsidDel="00000000" w:rsidR="00000000" w:rsidRPr="00000000">
        <w:rPr>
          <w:rFonts w:ascii="Times New Roman" w:cs="Times New Roman" w:eastAsia="Times New Roman" w:hAnsi="Times New Roman"/>
          <w:sz w:val="24"/>
          <w:szCs w:val="24"/>
          <w:rtl w:val="0"/>
        </w:rPr>
        <w:t xml:space="preserve">7. Knudsen EI. Sensitive periods in the development of the brain and behavior. J Cogn Neurosci, 16: 1412-1425, 2004.</w:t>
      </w:r>
      <w:r w:rsidDel="00000000" w:rsidR="00000000" w:rsidRPr="00000000">
        <w:rPr>
          <w:rtl w:val="0"/>
        </w:rPr>
      </w:r>
    </w:p>
    <w:p w:rsidR="00000000" w:rsidDel="00000000" w:rsidP="00000000" w:rsidRDefault="00000000" w:rsidRPr="00000000" w14:paraId="000000D1">
      <w:pPr>
        <w:spacing w:after="200" w:line="276" w:lineRule="auto"/>
        <w:rPr/>
      </w:pPr>
      <w:r w:rsidDel="00000000" w:rsidR="00000000" w:rsidRPr="00000000">
        <w:rPr>
          <w:rFonts w:ascii="Times New Roman" w:cs="Times New Roman" w:eastAsia="Times New Roman" w:hAnsi="Times New Roman"/>
          <w:sz w:val="24"/>
          <w:szCs w:val="24"/>
          <w:rtl w:val="0"/>
        </w:rPr>
        <w:t xml:space="preserve">8. Granés L, Essers E, Ballester J, et al. Early life cold and heat exposure impacts white matter development in children. Nat Clim Chang, 14: 760-766, 2024.</w:t>
      </w:r>
      <w:r w:rsidDel="00000000" w:rsidR="00000000" w:rsidRPr="00000000">
        <w:rPr>
          <w:rtl w:val="0"/>
        </w:rPr>
      </w:r>
    </w:p>
    <w:p w:rsidR="00000000" w:rsidDel="00000000" w:rsidP="00000000" w:rsidRDefault="00000000" w:rsidRPr="00000000" w14:paraId="000000D2">
      <w:pPr>
        <w:spacing w:after="200" w:line="276" w:lineRule="auto"/>
        <w:rPr/>
      </w:pPr>
      <w:r w:rsidDel="00000000" w:rsidR="00000000" w:rsidRPr="00000000">
        <w:rPr>
          <w:rFonts w:ascii="Times New Roman" w:cs="Times New Roman" w:eastAsia="Times New Roman" w:hAnsi="Times New Roman"/>
          <w:sz w:val="24"/>
          <w:szCs w:val="24"/>
          <w:rtl w:val="0"/>
        </w:rPr>
        <w:t xml:space="preserve">9. Škoch A, Rehák Bučková B, Mareš J, et al. Human brain structural connectivity matrices: ready for modelling. Sci Data, 9: 486, 2022.</w:t>
      </w:r>
      <w:r w:rsidDel="00000000" w:rsidR="00000000" w:rsidRPr="00000000">
        <w:rPr>
          <w:rtl w:val="0"/>
        </w:rPr>
      </w:r>
    </w:p>
    <w:p w:rsidR="00000000" w:rsidDel="00000000" w:rsidP="00000000" w:rsidRDefault="00000000" w:rsidRPr="00000000" w14:paraId="000000D3">
      <w:pPr>
        <w:spacing w:after="200" w:line="276" w:lineRule="auto"/>
        <w:rPr/>
      </w:pPr>
      <w:r w:rsidDel="00000000" w:rsidR="00000000" w:rsidRPr="00000000">
        <w:rPr>
          <w:rFonts w:ascii="Times New Roman" w:cs="Times New Roman" w:eastAsia="Times New Roman" w:hAnsi="Times New Roman"/>
          <w:sz w:val="24"/>
          <w:szCs w:val="24"/>
          <w:rtl w:val="0"/>
        </w:rPr>
        <w:t xml:space="preserve">10. Tzourio-Mazoyer N, Landeau B, Papathanassiou D, et al. Automated anatomical labeling of activations in SPM using a macroscopic anatomical parcellation of the MNI MRI single-subject brain. Neuroimage, 15: 273-289, 2002.</w:t>
      </w:r>
      <w:r w:rsidDel="00000000" w:rsidR="00000000" w:rsidRPr="00000000">
        <w:rPr>
          <w:rtl w:val="0"/>
        </w:rPr>
      </w:r>
    </w:p>
    <w:p w:rsidR="00000000" w:rsidDel="00000000" w:rsidP="00000000" w:rsidRDefault="00000000" w:rsidRPr="00000000" w14:paraId="000000D4">
      <w:pPr>
        <w:spacing w:after="200" w:line="276" w:lineRule="auto"/>
        <w:rPr/>
      </w:pPr>
      <w:r w:rsidDel="00000000" w:rsidR="00000000" w:rsidRPr="00000000">
        <w:rPr>
          <w:rFonts w:ascii="Times New Roman" w:cs="Times New Roman" w:eastAsia="Times New Roman" w:hAnsi="Times New Roman"/>
          <w:sz w:val="24"/>
          <w:szCs w:val="24"/>
          <w:rtl w:val="0"/>
        </w:rPr>
        <w:t xml:space="preserve">11. Klein Tank AMG, Wijngaard JB, Können GP, et al. Daily dataset of 20th-century surface air temperature and precipitation series for the European Climate Assessment. Int J Climatol, 22: 1441-1453, 2002.</w:t>
      </w:r>
      <w:r w:rsidDel="00000000" w:rsidR="00000000" w:rsidRPr="00000000">
        <w:rPr>
          <w:rtl w:val="0"/>
        </w:rPr>
      </w:r>
    </w:p>
    <w:sectPr>
      <w:footerReference r:id="rId6" w:type="default"/>
      <w:pgSz w:h="15840" w:w="12240" w:orient="portrait"/>
      <w:pgMar w:bottom="72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