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B17D2" w14:textId="77777777" w:rsidR="00813834" w:rsidRPr="00B4372C" w:rsidRDefault="00000000">
      <w:pPr>
        <w:spacing w:after="300" w:line="276" w:lineRule="auto"/>
        <w:jc w:val="center"/>
      </w:pPr>
      <w:r w:rsidRPr="00B4372C">
        <w:rPr>
          <w:b/>
          <w:bCs/>
          <w:sz w:val="24"/>
          <w:szCs w:val="24"/>
        </w:rPr>
        <w:t>Retrospectively Reconstructed Childhood Temperature Exposure and Adult Prefrontal Cortex Connectivity: An Exploratory Sensitivity Analysis</w:t>
      </w:r>
    </w:p>
    <w:p w14:paraId="0EED8E43" w14:textId="77777777" w:rsidR="00813834" w:rsidRPr="00B4372C" w:rsidRDefault="00000000">
      <w:pPr>
        <w:spacing w:after="40" w:line="276" w:lineRule="auto"/>
        <w:jc w:val="center"/>
      </w:pPr>
      <w:r w:rsidRPr="00B4372C">
        <w:rPr>
          <w:sz w:val="24"/>
          <w:szCs w:val="24"/>
        </w:rPr>
        <w:t>Sera Ertuğ</w:t>
      </w:r>
    </w:p>
    <w:p w14:paraId="4A7751F1" w14:textId="77777777" w:rsidR="00813834" w:rsidRPr="00B4372C" w:rsidRDefault="00000000">
      <w:pPr>
        <w:spacing w:after="40" w:line="276" w:lineRule="auto"/>
        <w:jc w:val="center"/>
      </w:pPr>
      <w:r w:rsidRPr="00B4372C">
        <w:rPr>
          <w:sz w:val="24"/>
          <w:szCs w:val="24"/>
        </w:rPr>
        <w:t>Izmir Tevfik Fikret Science High School, Konak, Izmir, Türkiye</w:t>
      </w:r>
    </w:p>
    <w:p w14:paraId="5E8F6DD4" w14:textId="77777777" w:rsidR="00813834" w:rsidRPr="00B4372C" w:rsidRDefault="00000000">
      <w:pPr>
        <w:spacing w:after="400" w:line="276" w:lineRule="auto"/>
        <w:jc w:val="center"/>
      </w:pPr>
      <w:r w:rsidRPr="00B4372C">
        <w:rPr>
          <w:sz w:val="24"/>
          <w:szCs w:val="24"/>
        </w:rPr>
        <w:t>Corresponding author: Sera Ertuğ, seraertug@gmail.com</w:t>
      </w:r>
    </w:p>
    <w:p w14:paraId="3F7551B5" w14:textId="77777777" w:rsidR="00813834" w:rsidRPr="00B4372C" w:rsidRDefault="00000000">
      <w:pPr>
        <w:spacing w:before="360" w:after="240" w:line="276" w:lineRule="auto"/>
      </w:pPr>
      <w:r w:rsidRPr="00B4372C">
        <w:rPr>
          <w:b/>
          <w:bCs/>
          <w:sz w:val="24"/>
          <w:szCs w:val="24"/>
        </w:rPr>
        <w:t>Abstract</w:t>
      </w:r>
    </w:p>
    <w:p w14:paraId="12CC519E" w14:textId="77777777" w:rsidR="00813834" w:rsidRPr="00B4372C" w:rsidRDefault="00000000">
      <w:pPr>
        <w:spacing w:after="240" w:line="276" w:lineRule="auto"/>
      </w:pPr>
      <w:r w:rsidRPr="00B4372C">
        <w:rPr>
          <w:rFonts w:eastAsia="Cardo"/>
          <w:sz w:val="24"/>
          <w:szCs w:val="24"/>
        </w:rPr>
        <w:t>Climate change is increasingly linked to human health, but its possible effects on brain development are not well studied, especially in research that reconstructs childhood exposure after the fact. This study asked whether cumulative positive and negative childhood temperature anomalies (ages 6–16, informally called “heat/cold stress” and reconstructed from each participant’s age) are related to adult brain connectivity. We used diffusion MRI tractography data from 86 healthy adults, linked to the verified, 250-year Prague–</w:t>
      </w:r>
      <w:proofErr w:type="spellStart"/>
      <w:r w:rsidRPr="00B4372C">
        <w:rPr>
          <w:rFonts w:eastAsia="Cardo"/>
          <w:sz w:val="24"/>
          <w:szCs w:val="24"/>
        </w:rPr>
        <w:t>Klementinum</w:t>
      </w:r>
      <w:proofErr w:type="spellEnd"/>
      <w:r w:rsidRPr="00B4372C">
        <w:rPr>
          <w:rFonts w:eastAsia="Cardo"/>
          <w:sz w:val="24"/>
          <w:szCs w:val="24"/>
        </w:rPr>
        <w:t xml:space="preserve"> weather record. Both exposures were tested against prefrontal cortex (PFC) and limbic system connectivity in an exploratory framework (this analysis was not pre-registered), followed by eight further checks. In the main model, neither heat stress (β = 0.0003, 95% CI [−0.0004, 0.0010], p = 0.40) nor cold stress (β = −0.0002, 95% CI [−0.0026, 0.0022], p = 0.87) was related to PFC connectivity, and neither exposure was related to limbic connectivity (all p &gt; 0.6). This null pattern held up across three alternative model setups, an age-adjusted alternative formulation, heteroskedasticity-robust (HC3) inference, a Freedman–Lane permutation test (p = 0.86), a zero-inclusive connectivity definition, Bonferroni/Benjamini–Hochberg correction, and an anchor-year sensitivity analysis spanning the parent study’s multi-year timeline (2011–2015; only 1 of 10 exposure-by-year combinations was significant, about what we would expect from chance alone). Variance inflation factor checks still showed strong collinearity between age and both exposure measures (VIF 10–17), confirming that reconstructed exposure and participant age carry much of the same information, regardless of whether an association is ultimately found. While building this pipeline, an earlier version using a placeholder temperature series (created before we obtained the real weather record) had suggested a nominally significant cold-stress association. This association did not hold up once we replaced the placeholder with the verified historical record, which shows how important it is to confirm real data sources before interpreting any result. We found no reliable association between reconstructed childhood temperature exposure and adult brain connectivity in this sample, and we present this work as a methodological case study and a reproducible analysis pipeline for future, larger studies in this area.</w:t>
      </w:r>
    </w:p>
    <w:p w14:paraId="4363CB1A" w14:textId="77777777" w:rsidR="00813834" w:rsidRPr="00B4372C" w:rsidRDefault="00000000">
      <w:pPr>
        <w:spacing w:after="240" w:line="276" w:lineRule="auto"/>
      </w:pPr>
      <w:r w:rsidRPr="00B4372C">
        <w:rPr>
          <w:b/>
          <w:bCs/>
          <w:sz w:val="24"/>
          <w:szCs w:val="24"/>
        </w:rPr>
        <w:t xml:space="preserve">Keywords: </w:t>
      </w:r>
      <w:r w:rsidRPr="00B4372C">
        <w:rPr>
          <w:sz w:val="24"/>
          <w:szCs w:val="24"/>
        </w:rPr>
        <w:t>climate exposure, childhood development, prefrontal cortex, diffusion MRI, structural connectivity, sensitivity analysis, age-period-cohort, multiple comparisons, retrospective exposure reconstruction, reproducibility</w:t>
      </w:r>
    </w:p>
    <w:p w14:paraId="667380D4" w14:textId="77777777" w:rsidR="00813834" w:rsidRPr="00B4372C" w:rsidRDefault="00000000">
      <w:pPr>
        <w:spacing w:before="360" w:after="240" w:line="276" w:lineRule="auto"/>
      </w:pPr>
      <w:r w:rsidRPr="00B4372C">
        <w:rPr>
          <w:b/>
          <w:bCs/>
          <w:sz w:val="24"/>
          <w:szCs w:val="24"/>
        </w:rPr>
        <w:t>1. Introduction</w:t>
      </w:r>
    </w:p>
    <w:p w14:paraId="782243CB" w14:textId="77777777" w:rsidR="00813834" w:rsidRPr="00B4372C" w:rsidRDefault="00000000">
      <w:pPr>
        <w:spacing w:after="240" w:line="276" w:lineRule="auto"/>
      </w:pPr>
      <w:r w:rsidRPr="00B4372C">
        <w:rPr>
          <w:sz w:val="24"/>
          <w:szCs w:val="24"/>
        </w:rPr>
        <w:lastRenderedPageBreak/>
        <w:t>Climate change is now recognized as a major threat to human health (1). Rising global temperatures and more frequent heat waves have been linked to many physical and mental health problems, from cardiovascular strain to sleep loss (2) and climate-related anxiety (3,4). Most of this research has focused on cardiovascular, respiratory, and psychological outcomes. Far less attention has gone to a more specific question: could early-life exposure to temperature extremes leave a lasting, measurable mark on the structure of the developing brain?</w:t>
      </w:r>
    </w:p>
    <w:p w14:paraId="558FA979" w14:textId="77777777" w:rsidR="00813834" w:rsidRPr="00B4372C" w:rsidRDefault="00000000">
      <w:pPr>
        <w:spacing w:after="240" w:line="276" w:lineRule="auto"/>
      </w:pPr>
      <w:r w:rsidRPr="00B4372C">
        <w:rPr>
          <w:sz w:val="24"/>
          <w:szCs w:val="24"/>
        </w:rPr>
        <w:t>There is a biological reason to expect that childhood may be an especially sensitive window for this kind of exposure. Human cortical grey matter and structural connectivity keep maturing well into a person's twenties, and regions such as the prefrontal cortex (PFC) mature later than sensory and limbic regions (5,6). Developmental neuroscience has long pointed to “sensitive periods,” windows during which the brain is unusually responsive, for better or worse, to what is happening around it (7). Direct evidence that outdoor temperature specifically affects this process has only recently appeared: a 2024 study of 2,681 children from the Netherlands' Generation R birth cohort found that early-life heat and cold exposure were each linked to changes in white matter structure before adolescence. The cold effect was concentrated in pregnancy and infancy, and the heat effect in infancy and toddlerhood (8). That study used exposure data collected in real time and knew each child's exact scan date, both very different from what is available in the present study, as we explain below.</w:t>
      </w:r>
    </w:p>
    <w:p w14:paraId="03656200" w14:textId="77777777" w:rsidR="00813834" w:rsidRPr="00B4372C" w:rsidRDefault="00000000">
      <w:pPr>
        <w:spacing w:after="240" w:line="276" w:lineRule="auto"/>
      </w:pPr>
      <w:r w:rsidRPr="00B4372C">
        <w:rPr>
          <w:sz w:val="24"/>
          <w:szCs w:val="24"/>
        </w:rPr>
        <w:t xml:space="preserve">The present study asks a related but different question, using a very different kind of data: can a sign of childhood temperature exposure be detected after the fact, in adults whose exposure was never measured at the time and must instead be rebuilt from their age and a historical weather record? This kind of design is appealing because it can, in principle, be applied to any existing open neuroimaging dataset that includes basic demographic information, without needing a new, purpose-built study. As this paper shows, though, it is also much more fragile than a study that collects exposure data in real </w:t>
      </w:r>
      <w:proofErr w:type="gramStart"/>
      <w:r w:rsidRPr="00B4372C">
        <w:rPr>
          <w:sz w:val="24"/>
          <w:szCs w:val="24"/>
        </w:rPr>
        <w:t>time, and</w:t>
      </w:r>
      <w:proofErr w:type="gramEnd"/>
      <w:r w:rsidRPr="00B4372C">
        <w:rPr>
          <w:sz w:val="24"/>
          <w:szCs w:val="24"/>
        </w:rPr>
        <w:t xml:space="preserve"> explaining why </w:t>
      </w:r>
      <w:proofErr w:type="gramStart"/>
      <w:r w:rsidRPr="00B4372C">
        <w:rPr>
          <w:sz w:val="24"/>
          <w:szCs w:val="24"/>
        </w:rPr>
        <w:t>is the main goal of this paper</w:t>
      </w:r>
      <w:proofErr w:type="gramEnd"/>
      <w:r w:rsidRPr="00B4372C">
        <w:rPr>
          <w:sz w:val="24"/>
          <w:szCs w:val="24"/>
        </w:rPr>
        <w:t>.</w:t>
      </w:r>
    </w:p>
    <w:p w14:paraId="636D41B6" w14:textId="77777777" w:rsidR="00813834" w:rsidRPr="00B4372C" w:rsidRDefault="00000000">
      <w:pPr>
        <w:spacing w:after="240" w:line="276" w:lineRule="auto"/>
      </w:pPr>
      <w:r w:rsidRPr="00B4372C">
        <w:rPr>
          <w:sz w:val="24"/>
          <w:szCs w:val="24"/>
        </w:rPr>
        <w:t xml:space="preserve">We tested both childhood heat-stress and cold-stress exposure, in an exploratory framework (this was not pre-registered), against two structural connectivity outcomes chosen for their different developmental timelines: the prefrontal cortex, which matures late and so might be more open to the effects of cumulative childhood exposure, and the limbic system (cingulate cortex, hippocampus, </w:t>
      </w:r>
      <w:proofErr w:type="spellStart"/>
      <w:r w:rsidRPr="00B4372C">
        <w:rPr>
          <w:sz w:val="24"/>
          <w:szCs w:val="24"/>
        </w:rPr>
        <w:t>parahippocampal</w:t>
      </w:r>
      <w:proofErr w:type="spellEnd"/>
      <w:r w:rsidRPr="00B4372C">
        <w:rPr>
          <w:sz w:val="24"/>
          <w:szCs w:val="24"/>
        </w:rPr>
        <w:t xml:space="preserve"> gyrus, and amygdala), which matures earlier and served as a comparison network where we expected less sensitivity to this kind of exposure. As far as we know, no previous study has directly tested this combination of reconstructed exposures and brain outcomes, though we did not carry out a full systematic review of the literature to confirm this. We treated the first analysis as exploratory and hypothesis-</w:t>
      </w:r>
      <w:proofErr w:type="gramStart"/>
      <w:r w:rsidRPr="00B4372C">
        <w:rPr>
          <w:sz w:val="24"/>
          <w:szCs w:val="24"/>
        </w:rPr>
        <w:t>generating, and</w:t>
      </w:r>
      <w:proofErr w:type="gramEnd"/>
      <w:r w:rsidRPr="00B4372C">
        <w:rPr>
          <w:sz w:val="24"/>
          <w:szCs w:val="24"/>
        </w:rPr>
        <w:t xml:space="preserve"> then put any association we found through a structured series of checks: age adjustment, alternative model setups, an alternative connectivity definition, heteroskedasticity-robust inference, permutation testing, multiple-comparison correction, and, most importantly, a test of how sensitive our result was to an assumption we could not verify (the year each participant was scanned). Only after all of this did we draw any conclusion about whether the result could be trusted.</w:t>
      </w:r>
    </w:p>
    <w:p w14:paraId="717EC74B" w14:textId="77777777" w:rsidR="00813834" w:rsidRPr="00B4372C" w:rsidRDefault="00000000">
      <w:pPr>
        <w:spacing w:before="360" w:after="240" w:line="276" w:lineRule="auto"/>
      </w:pPr>
      <w:r w:rsidRPr="00B4372C">
        <w:rPr>
          <w:b/>
          <w:bCs/>
          <w:sz w:val="24"/>
          <w:szCs w:val="24"/>
        </w:rPr>
        <w:t>2. Materials and Methods</w:t>
      </w:r>
    </w:p>
    <w:p w14:paraId="27B082D5" w14:textId="77777777" w:rsidR="00813834" w:rsidRPr="00B4372C" w:rsidRDefault="00000000">
      <w:pPr>
        <w:spacing w:after="240" w:line="276" w:lineRule="auto"/>
      </w:pPr>
      <w:r w:rsidRPr="00B4372C">
        <w:rPr>
          <w:sz w:val="24"/>
          <w:szCs w:val="24"/>
        </w:rPr>
        <w:lastRenderedPageBreak/>
        <w:t>Figure 1 gives an overview of the full analysis pipeline.</w:t>
      </w:r>
    </w:p>
    <w:p w14:paraId="3997DF26" w14:textId="77777777" w:rsidR="00813834" w:rsidRPr="00B4372C" w:rsidRDefault="00000000">
      <w:pPr>
        <w:spacing w:before="280" w:after="200" w:line="276" w:lineRule="auto"/>
      </w:pPr>
      <w:r w:rsidRPr="00B4372C">
        <w:rPr>
          <w:b/>
          <w:bCs/>
          <w:sz w:val="24"/>
          <w:szCs w:val="24"/>
        </w:rPr>
        <w:t xml:space="preserve">2.1 </w:t>
      </w:r>
      <w:r w:rsidRPr="00B4372C">
        <w:rPr>
          <w:i/>
          <w:iCs/>
          <w:sz w:val="24"/>
          <w:szCs w:val="24"/>
        </w:rPr>
        <w:t>Dataset</w:t>
      </w:r>
    </w:p>
    <w:p w14:paraId="1258905F" w14:textId="77777777" w:rsidR="00813834" w:rsidRPr="00B4372C" w:rsidRDefault="00000000">
      <w:pPr>
        <w:spacing w:after="240" w:line="276" w:lineRule="auto"/>
      </w:pPr>
      <w:r w:rsidRPr="00B4372C">
        <w:rPr>
          <w:sz w:val="24"/>
          <w:szCs w:val="24"/>
        </w:rPr>
        <w:t>Structural connectivity data came from a publicly available diffusion MRI tractography dataset of 88 healthy adults from the Early-Stage Schizophrenia Outcome (ESO) study in Prague, Czech Republic (9). Connectivity matrices (90 × 90 regions, using the AAL brain atlas (10)) were built by the original research team using probabilistic tractography. The dataset includes basic demographic variables (age, sex, handedness, education, height, weight, BMI) but no record of each participant's exact scan date, which matters for Section 2.4. The study protocol was approved by the local Ethics Committee of the Prague Psychiatric Center on 29 June 2011 (protocol 69/11). The present analysis uses only this de-identified, publicly released dataset, and we collected no new data ourselves.</w:t>
      </w:r>
    </w:p>
    <w:p w14:paraId="6AA73EA3" w14:textId="77777777" w:rsidR="00813834" w:rsidRPr="00B4372C" w:rsidRDefault="00000000">
      <w:pPr>
        <w:spacing w:before="280" w:after="200" w:line="276" w:lineRule="auto"/>
      </w:pPr>
      <w:r w:rsidRPr="00B4372C">
        <w:rPr>
          <w:b/>
          <w:bCs/>
          <w:sz w:val="24"/>
          <w:szCs w:val="24"/>
        </w:rPr>
        <w:t xml:space="preserve">2.2 </w:t>
      </w:r>
      <w:r w:rsidRPr="00B4372C">
        <w:rPr>
          <w:i/>
          <w:iCs/>
          <w:sz w:val="24"/>
          <w:szCs w:val="24"/>
        </w:rPr>
        <w:t>Region Definitions</w:t>
      </w:r>
    </w:p>
    <w:p w14:paraId="2D1AE0E9" w14:textId="77777777" w:rsidR="00813834" w:rsidRPr="00B4372C" w:rsidRDefault="00000000">
      <w:pPr>
        <w:spacing w:after="240" w:line="276" w:lineRule="auto"/>
      </w:pPr>
      <w:r w:rsidRPr="00B4372C">
        <w:rPr>
          <w:sz w:val="24"/>
          <w:szCs w:val="24"/>
        </w:rPr>
        <w:t xml:space="preserve">Instead of picking brain regions by a numeric index range, we matched full anatomical names against the AAL atlas region list. This lowers the risk of small indexing mistakes, such as being off by one region. The prefrontal cortex network (20 regions, both hemispheres) included the superior, middle, and medial frontal </w:t>
      </w:r>
      <w:proofErr w:type="gramStart"/>
      <w:r w:rsidRPr="00B4372C">
        <w:rPr>
          <w:sz w:val="24"/>
          <w:szCs w:val="24"/>
        </w:rPr>
        <w:t>gyri</w:t>
      </w:r>
      <w:proofErr w:type="gramEnd"/>
      <w:r w:rsidRPr="00B4372C">
        <w:rPr>
          <w:sz w:val="24"/>
          <w:szCs w:val="24"/>
        </w:rPr>
        <w:t xml:space="preserve">, the superior and middle orbital </w:t>
      </w:r>
      <w:proofErr w:type="gramStart"/>
      <w:r w:rsidRPr="00B4372C">
        <w:rPr>
          <w:sz w:val="24"/>
          <w:szCs w:val="24"/>
        </w:rPr>
        <w:t>gyri</w:t>
      </w:r>
      <w:proofErr w:type="gramEnd"/>
      <w:r w:rsidRPr="00B4372C">
        <w:rPr>
          <w:sz w:val="24"/>
          <w:szCs w:val="24"/>
        </w:rPr>
        <w:t xml:space="preserve">, the inferior frontal gyrus (three subdivisions), the mid-orbital gyrus, and the rectal gyrus. The precentral gyrus (primary motor cortex), </w:t>
      </w:r>
      <w:proofErr w:type="spellStart"/>
      <w:r w:rsidRPr="00B4372C">
        <w:rPr>
          <w:sz w:val="24"/>
          <w:szCs w:val="24"/>
        </w:rPr>
        <w:t>rolandic</w:t>
      </w:r>
      <w:proofErr w:type="spellEnd"/>
      <w:r w:rsidRPr="00B4372C">
        <w:rPr>
          <w:sz w:val="24"/>
          <w:szCs w:val="24"/>
        </w:rPr>
        <w:t xml:space="preserve"> operculum, posterior-medial frontal region (supplementary motor area), and olfactory cortex sit in the same part of the AAL numbering but are not part of the prefrontal cortex by standard neuroanatomical definitions, so we left them out on purpose. The limbic network (12 regions, both hemispheres) included the anterior, middle, and posterior cingulate cortex, hippocampus, </w:t>
      </w:r>
      <w:proofErr w:type="spellStart"/>
      <w:r w:rsidRPr="00B4372C">
        <w:rPr>
          <w:sz w:val="24"/>
          <w:szCs w:val="24"/>
        </w:rPr>
        <w:t>parahippocampal</w:t>
      </w:r>
      <w:proofErr w:type="spellEnd"/>
      <w:r w:rsidRPr="00B4372C">
        <w:rPr>
          <w:sz w:val="24"/>
          <w:szCs w:val="24"/>
        </w:rPr>
        <w:t xml:space="preserve"> gyrus, and amygdala.</w:t>
      </w:r>
    </w:p>
    <w:p w14:paraId="7B33217C" w14:textId="77777777" w:rsidR="00813834" w:rsidRPr="00B4372C" w:rsidRDefault="00000000">
      <w:pPr>
        <w:spacing w:before="280" w:after="200" w:line="276" w:lineRule="auto"/>
      </w:pPr>
      <w:r w:rsidRPr="00B4372C">
        <w:rPr>
          <w:b/>
          <w:bCs/>
          <w:sz w:val="24"/>
          <w:szCs w:val="24"/>
        </w:rPr>
        <w:t xml:space="preserve">2.3 </w:t>
      </w:r>
      <w:r w:rsidRPr="00B4372C">
        <w:rPr>
          <w:i/>
          <w:iCs/>
          <w:sz w:val="24"/>
          <w:szCs w:val="24"/>
        </w:rPr>
        <w:t>Connectivity Matrix Processing</w:t>
      </w:r>
    </w:p>
    <w:p w14:paraId="73987FE4" w14:textId="77777777" w:rsidR="00813834" w:rsidRPr="00B4372C" w:rsidRDefault="00000000">
      <w:pPr>
        <w:spacing w:after="240" w:line="276" w:lineRule="auto"/>
      </w:pPr>
      <w:r w:rsidRPr="00B4372C">
        <w:rPr>
          <w:sz w:val="24"/>
          <w:szCs w:val="24"/>
        </w:rPr>
        <w:t>Raw connectivity matrices from probabilistic tractography are not guaranteed to be symmetric, because the number of streamlines counted from region A to region B can differ from the number counted from B to A. The original authors of this dataset confirm this directly and recommend symmetrizing the matrices before using them for modelling (9), as shown in eq1:</w:t>
      </w:r>
    </w:p>
    <w:p w14:paraId="3C6F32C2" w14:textId="77777777" w:rsidR="00813834" w:rsidRPr="00B4372C" w:rsidRDefault="00000000">
      <w:pPr>
        <w:tabs>
          <w:tab w:val="right" w:pos="9026"/>
        </w:tabs>
        <w:spacing w:after="240" w:line="276" w:lineRule="auto"/>
        <w:rPr>
          <w:sz w:val="24"/>
          <w:szCs w:val="24"/>
        </w:rPr>
      </w:pPr>
      <w:proofErr w:type="spellStart"/>
      <w:r w:rsidRPr="00B4372C">
        <w:rPr>
          <w:sz w:val="24"/>
          <w:szCs w:val="24"/>
        </w:rPr>
        <w:t>Asym</w:t>
      </w:r>
      <w:proofErr w:type="spellEnd"/>
      <w:r w:rsidRPr="00B4372C">
        <w:rPr>
          <w:sz w:val="24"/>
          <w:szCs w:val="24"/>
        </w:rPr>
        <w:t xml:space="preserve"> = (A + Aᵀ) / 2</w:t>
      </w:r>
      <w:r w:rsidRPr="00B4372C">
        <w:rPr>
          <w:sz w:val="24"/>
          <w:szCs w:val="24"/>
        </w:rPr>
        <w:tab/>
        <w:t>(eq1)</w:t>
      </w:r>
    </w:p>
    <w:p w14:paraId="10FB09BB" w14:textId="77777777" w:rsidR="00813834" w:rsidRPr="00B4372C" w:rsidRDefault="00000000">
      <w:pPr>
        <w:spacing w:after="240" w:line="276" w:lineRule="auto"/>
      </w:pPr>
      <w:r w:rsidRPr="00B4372C">
        <w:rPr>
          <w:sz w:val="24"/>
          <w:szCs w:val="24"/>
        </w:rPr>
        <w:t xml:space="preserve">We applied this step to every matrix before analysis. For each participant and each subnetwork, we then computed the mean positive within-network edge weight, meaning the average tractography-derived connection strength across all region pairs inside the subnetwork with a positive value. This is a simple average edge strength. It is not node degree, network density, or global efficiency, and we use this specific name for it throughout. Because the underlying data </w:t>
      </w:r>
      <w:proofErr w:type="gramStart"/>
      <w:r w:rsidRPr="00B4372C">
        <w:rPr>
          <w:sz w:val="24"/>
          <w:szCs w:val="24"/>
        </w:rPr>
        <w:t>come</w:t>
      </w:r>
      <w:proofErr w:type="gramEnd"/>
      <w:r w:rsidRPr="00B4372C">
        <w:rPr>
          <w:sz w:val="24"/>
          <w:szCs w:val="24"/>
        </w:rPr>
        <w:t xml:space="preserve"> from diffusion MRI tractography, this metric reflects structural (anatomical) connectivity only. It should not be compared directly to functional connectivity measures from resting-state or task fMRI.</w:t>
      </w:r>
    </w:p>
    <w:p w14:paraId="09B108D4" w14:textId="77777777" w:rsidR="00813834" w:rsidRPr="00B4372C" w:rsidRDefault="00000000">
      <w:pPr>
        <w:spacing w:before="280" w:after="200" w:line="276" w:lineRule="auto"/>
      </w:pPr>
      <w:r w:rsidRPr="00B4372C">
        <w:rPr>
          <w:b/>
          <w:bCs/>
          <w:sz w:val="24"/>
          <w:szCs w:val="24"/>
        </w:rPr>
        <w:t xml:space="preserve">2.4 </w:t>
      </w:r>
      <w:r w:rsidRPr="00B4372C">
        <w:rPr>
          <w:i/>
          <w:iCs/>
          <w:sz w:val="24"/>
          <w:szCs w:val="24"/>
        </w:rPr>
        <w:t>Childhood Climate Exposure</w:t>
      </w:r>
    </w:p>
    <w:p w14:paraId="67AC61D7" w14:textId="77777777" w:rsidR="00813834" w:rsidRPr="00B4372C" w:rsidRDefault="00000000">
      <w:pPr>
        <w:spacing w:after="240" w:line="276" w:lineRule="auto"/>
      </w:pPr>
      <w:r w:rsidRPr="00B4372C">
        <w:rPr>
          <w:sz w:val="24"/>
          <w:szCs w:val="24"/>
        </w:rPr>
        <w:lastRenderedPageBreak/>
        <w:t>We obtained historical annual mean temperature data for Prague from the Praha–</w:t>
      </w:r>
      <w:proofErr w:type="spellStart"/>
      <w:r w:rsidRPr="00B4372C">
        <w:rPr>
          <w:sz w:val="24"/>
          <w:szCs w:val="24"/>
        </w:rPr>
        <w:t>Klementinum</w:t>
      </w:r>
      <w:proofErr w:type="spellEnd"/>
      <w:r w:rsidRPr="00B4372C">
        <w:rPr>
          <w:sz w:val="24"/>
          <w:szCs w:val="24"/>
        </w:rPr>
        <w:t xml:space="preserve"> weather station, one of the longest continuous weather records in Central Europe, through the European Climate Assessment &amp; Dataset (11). For each participant, we calculated an approximate birth year by working backward from their recorded age, using a single assumed reference year (SCAN_ANCHOR_YEAR) for when all participants were assumed to have been scanned, since the dataset does not record individual scan dates. For each participant, we </w:t>
      </w:r>
      <w:proofErr w:type="gramStart"/>
      <w:r w:rsidRPr="00B4372C">
        <w:rPr>
          <w:sz w:val="24"/>
          <w:szCs w:val="24"/>
        </w:rPr>
        <w:t>added up</w:t>
      </w:r>
      <w:proofErr w:type="gramEnd"/>
      <w:r w:rsidRPr="00B4372C">
        <w:rPr>
          <w:sz w:val="24"/>
          <w:szCs w:val="24"/>
        </w:rPr>
        <w:t xml:space="preserve"> the positive annual temperature anomalies and, separately, the absolute value of the negative annual temperature anomalies, across the 11-year period from age 6 through age 16 inclusive. We call these two totals “heat stress” and “cold stress,” following common shorthand in this field, but we want to be clear about what they are not. They are cumulative positive and negative differences from a station-level annual average, not a validated measure of physiological heat or cold stress, and not a count of extreme-heat or extreme-cold days. A year with a warm annual average could still contain no heat waves at all, and the reverse is also true. This gap between what we measured and true thermal stress, together with the single-anchor-year assumption, is an important limitation of this design, and we return to it in Sections 3.7 and 5.</w:t>
      </w:r>
    </w:p>
    <w:p w14:paraId="5B32511E" w14:textId="77777777" w:rsidR="00813834" w:rsidRPr="00B4372C" w:rsidRDefault="00000000">
      <w:pPr>
        <w:spacing w:before="280" w:after="200" w:line="276" w:lineRule="auto"/>
      </w:pPr>
      <w:r w:rsidRPr="00B4372C">
        <w:rPr>
          <w:b/>
          <w:bCs/>
          <w:sz w:val="24"/>
          <w:szCs w:val="24"/>
        </w:rPr>
        <w:t xml:space="preserve">2.5 </w:t>
      </w:r>
      <w:r w:rsidRPr="00B4372C">
        <w:rPr>
          <w:i/>
          <w:iCs/>
          <w:sz w:val="24"/>
          <w:szCs w:val="24"/>
        </w:rPr>
        <w:t>Statistical Analysis</w:t>
      </w:r>
    </w:p>
    <w:p w14:paraId="345EC7D6" w14:textId="77777777" w:rsidR="00813834" w:rsidRPr="00B4372C" w:rsidRDefault="00000000">
      <w:pPr>
        <w:spacing w:after="240" w:line="276" w:lineRule="auto"/>
      </w:pPr>
      <w:r w:rsidRPr="00B4372C">
        <w:rPr>
          <w:sz w:val="24"/>
          <w:szCs w:val="24"/>
        </w:rPr>
        <w:t xml:space="preserve">We ran all analyses in Python (pandas, </w:t>
      </w:r>
      <w:proofErr w:type="spellStart"/>
      <w:r w:rsidRPr="00B4372C">
        <w:rPr>
          <w:sz w:val="24"/>
          <w:szCs w:val="24"/>
        </w:rPr>
        <w:t>numpy</w:t>
      </w:r>
      <w:proofErr w:type="spellEnd"/>
      <w:r w:rsidRPr="00B4372C">
        <w:rPr>
          <w:sz w:val="24"/>
          <w:szCs w:val="24"/>
        </w:rPr>
        <w:t xml:space="preserve">, </w:t>
      </w:r>
      <w:proofErr w:type="spellStart"/>
      <w:r w:rsidRPr="00B4372C">
        <w:rPr>
          <w:sz w:val="24"/>
          <w:szCs w:val="24"/>
        </w:rPr>
        <w:t>statsmodels</w:t>
      </w:r>
      <w:proofErr w:type="spellEnd"/>
      <w:r w:rsidRPr="00B4372C">
        <w:rPr>
          <w:sz w:val="24"/>
          <w:szCs w:val="24"/>
        </w:rPr>
        <w:t xml:space="preserve">, </w:t>
      </w:r>
      <w:proofErr w:type="spellStart"/>
      <w:r w:rsidRPr="00B4372C">
        <w:rPr>
          <w:sz w:val="24"/>
          <w:szCs w:val="24"/>
        </w:rPr>
        <w:t>networkx</w:t>
      </w:r>
      <w:proofErr w:type="spellEnd"/>
      <w:r w:rsidRPr="00B4372C">
        <w:rPr>
          <w:sz w:val="24"/>
          <w:szCs w:val="24"/>
        </w:rPr>
        <w:t xml:space="preserve">, </w:t>
      </w:r>
      <w:proofErr w:type="spellStart"/>
      <w:r w:rsidRPr="00B4372C">
        <w:rPr>
          <w:sz w:val="24"/>
          <w:szCs w:val="24"/>
        </w:rPr>
        <w:t>scipy</w:t>
      </w:r>
      <w:proofErr w:type="spellEnd"/>
      <w:r w:rsidRPr="00B4372C">
        <w:rPr>
          <w:sz w:val="24"/>
          <w:szCs w:val="24"/>
        </w:rPr>
        <w:t xml:space="preserve">). Both heat- and cold-stress values were entered as continuous predictors (not as exposure-group categories) in ordinary least-squares (OLS) regression models predicting PFC and limbic connectivity, adjusting for age, sex, and education. We merged the elementary-school and high-school categories into a single “high-school or less” category before analysis, because only one participant was in the elementary-school category. On its own, that single case gave that person too much influence on early versions of the model (a statistical problem called leverage), so we judged this </w:t>
      </w:r>
      <w:proofErr w:type="gramStart"/>
      <w:r w:rsidRPr="00B4372C">
        <w:rPr>
          <w:sz w:val="24"/>
          <w:szCs w:val="24"/>
        </w:rPr>
        <w:t>unsound</w:t>
      </w:r>
      <w:proofErr w:type="gramEnd"/>
      <w:r w:rsidRPr="00B4372C">
        <w:rPr>
          <w:sz w:val="24"/>
          <w:szCs w:val="24"/>
        </w:rPr>
        <w:t xml:space="preserve"> and fixed it. We report 95% confidence intervals and descriptive statistics (mean ± SD) alongside every p-value, and because this exploratory analysis involves four main comparisons (heat and cold stress, each against PFC and limbic connectivity), we also report Bonferroni- and Benjamini–Hochberg-corrected p-values for these four tests. After the main model, we ran eight further analyses: (</w:t>
      </w:r>
      <w:proofErr w:type="spellStart"/>
      <w:r w:rsidRPr="00B4372C">
        <w:rPr>
          <w:sz w:val="24"/>
          <w:szCs w:val="24"/>
        </w:rPr>
        <w:t>i</w:t>
      </w:r>
      <w:proofErr w:type="spellEnd"/>
      <w:r w:rsidRPr="00B4372C">
        <w:rPr>
          <w:sz w:val="24"/>
          <w:szCs w:val="24"/>
        </w:rPr>
        <w:t>) variance inflation factor (VIF) checks for multicollinearity among predictors; (ii) three alternative model setups (cold-only, heat-only, and both together) to see whether any association depended on including both exposures at once; (iii) an age-</w:t>
      </w:r>
      <w:proofErr w:type="spellStart"/>
      <w:r w:rsidRPr="00B4372C">
        <w:rPr>
          <w:sz w:val="24"/>
          <w:szCs w:val="24"/>
        </w:rPr>
        <w:t>residualized</w:t>
      </w:r>
      <w:proofErr w:type="spellEnd"/>
      <w:r w:rsidRPr="00B4372C">
        <w:rPr>
          <w:sz w:val="24"/>
          <w:szCs w:val="24"/>
        </w:rPr>
        <w:t xml:space="preserve"> alternative formulation, where each exposure measure was first regressed on age and the leftover residuals were used in place of the raw exposure variable. By the Frisch–Waugh–Lovell theorem, this approach is mathematically related to, not fully separate from, the age-adjusted main model, so we treat it as a check on our own pipeline rather than as a separate piece of evidence; (iv) heteroskedasticity-robust (HC3) standard errors and a Breusch–Pagan test; (v) a Freedman–Lane permutation test (10,000 permutations), which permutes residuals from a reduced model rather than the raw predictor, so that the real relationships between predictors stay intact even under the null hypothesis; (vi) a zero-inclusive connectivity check, recalculating the outcome as the mean edge weight across all within-network region pairs (including zero-weight pairs) instead of only positive edges, to see whether that choice was driving the result; (vii) the multiple-comparison-corrected p-values described above; and (viii) an anchor-year sensitivity analysis, where we varied SCAN_ANCHOR_YEAR across 2011–2015. We chose this range because the ESO study's documented history includes two separate ethics </w:t>
      </w:r>
      <w:r w:rsidRPr="00B4372C">
        <w:rPr>
          <w:sz w:val="24"/>
          <w:szCs w:val="24"/>
        </w:rPr>
        <w:lastRenderedPageBreak/>
        <w:t xml:space="preserve">approvals: one in 2011 at the Prague Psychiatric Center, and a later, distinct one (No. 127/17) at the National Institute of Mental Health, </w:t>
      </w:r>
      <w:proofErr w:type="spellStart"/>
      <w:r w:rsidRPr="00B4372C">
        <w:rPr>
          <w:sz w:val="24"/>
          <w:szCs w:val="24"/>
        </w:rPr>
        <w:t>Klecany</w:t>
      </w:r>
      <w:proofErr w:type="spellEnd"/>
      <w:r w:rsidRPr="00B4372C">
        <w:rPr>
          <w:sz w:val="24"/>
          <w:szCs w:val="24"/>
        </w:rPr>
        <w:t>. Together these show that the parent study ran for several years, but neither date tells us exactly when any specific participant's scan in this data release was taken. We could not confirm exact scan dates from the source publication or its supplementary materials, and not being able to pin this down from outside sources is itself part of what this study is trying to show (Section 4).</w:t>
      </w:r>
    </w:p>
    <w:p w14:paraId="332531B6" w14:textId="77777777" w:rsidR="00813834" w:rsidRPr="00B4372C" w:rsidRDefault="00000000">
      <w:pPr>
        <w:spacing w:before="360" w:after="240" w:line="276" w:lineRule="auto"/>
      </w:pPr>
      <w:r w:rsidRPr="00B4372C">
        <w:rPr>
          <w:b/>
          <w:bCs/>
          <w:sz w:val="24"/>
          <w:szCs w:val="24"/>
        </w:rPr>
        <w:t>3. Results</w:t>
      </w:r>
    </w:p>
    <w:p w14:paraId="34F0EC35" w14:textId="77777777" w:rsidR="00813834" w:rsidRPr="00B4372C" w:rsidRDefault="00000000">
      <w:pPr>
        <w:spacing w:before="280" w:after="200" w:line="276" w:lineRule="auto"/>
      </w:pPr>
      <w:r w:rsidRPr="00B4372C">
        <w:rPr>
          <w:b/>
          <w:bCs/>
          <w:sz w:val="24"/>
          <w:szCs w:val="24"/>
        </w:rPr>
        <w:t xml:space="preserve">3.1 </w:t>
      </w:r>
      <w:r w:rsidRPr="00B4372C">
        <w:rPr>
          <w:i/>
          <w:iCs/>
          <w:sz w:val="24"/>
          <w:szCs w:val="24"/>
        </w:rPr>
        <w:t>Sample</w:t>
      </w:r>
    </w:p>
    <w:p w14:paraId="19A285F9" w14:textId="77777777" w:rsidR="00813834" w:rsidRPr="00B4372C" w:rsidRDefault="00000000">
      <w:pPr>
        <w:spacing w:after="240" w:line="276" w:lineRule="auto"/>
      </w:pPr>
      <w:r w:rsidRPr="00B4372C">
        <w:rPr>
          <w:sz w:val="24"/>
          <w:szCs w:val="24"/>
        </w:rPr>
        <w:t xml:space="preserve">Of the 88 participants in the source dataset, 86 had complete data on every model variable (two were missing education) and were included in the main analysis (48 female, 38 </w:t>
      </w:r>
      <w:proofErr w:type="gramStart"/>
      <w:r w:rsidRPr="00B4372C">
        <w:rPr>
          <w:sz w:val="24"/>
          <w:szCs w:val="24"/>
        </w:rPr>
        <w:t>male</w:t>
      </w:r>
      <w:proofErr w:type="gramEnd"/>
      <w:r w:rsidRPr="00B4372C">
        <w:rPr>
          <w:sz w:val="24"/>
          <w:szCs w:val="24"/>
        </w:rPr>
        <w:t>; age range 18.8–48.7 years).</w:t>
      </w:r>
    </w:p>
    <w:p w14:paraId="0AFA5756" w14:textId="77777777" w:rsidR="00813834" w:rsidRPr="00B4372C" w:rsidRDefault="00000000">
      <w:pPr>
        <w:spacing w:before="280" w:after="200" w:line="276" w:lineRule="auto"/>
      </w:pPr>
      <w:r w:rsidRPr="00B4372C">
        <w:rPr>
          <w:b/>
          <w:bCs/>
          <w:sz w:val="24"/>
          <w:szCs w:val="24"/>
        </w:rPr>
        <w:t xml:space="preserve">3.2 </w:t>
      </w:r>
      <w:r w:rsidRPr="00B4372C">
        <w:rPr>
          <w:i/>
          <w:iCs/>
          <w:sz w:val="24"/>
          <w:szCs w:val="24"/>
        </w:rPr>
        <w:t>Descriptive Statistics</w:t>
      </w:r>
    </w:p>
    <w:p w14:paraId="40F5225C" w14:textId="77777777" w:rsidR="00813834" w:rsidRPr="00B4372C" w:rsidRDefault="00000000">
      <w:pPr>
        <w:spacing w:before="200" w:after="120" w:line="276" w:lineRule="auto"/>
      </w:pPr>
      <w:r w:rsidRPr="00B4372C">
        <w:rPr>
          <w:b/>
          <w:bCs/>
          <w:sz w:val="24"/>
          <w:szCs w:val="24"/>
        </w:rPr>
        <w:t xml:space="preserve">Table 1. </w:t>
      </w:r>
      <w:r w:rsidRPr="00B4372C">
        <w:rPr>
          <w:sz w:val="24"/>
          <w:szCs w:val="24"/>
        </w:rPr>
        <w:t>Descriptive statistics for key variables, N = 86 (mean ± SD, range).</w:t>
      </w:r>
    </w:p>
    <w:tbl>
      <w:tblPr>
        <w:tblStyle w:val="a"/>
        <w:tblW w:w="8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00"/>
        <w:gridCol w:w="2200"/>
        <w:gridCol w:w="2200"/>
      </w:tblGrid>
      <w:tr w:rsidR="00813834" w:rsidRPr="00B4372C" w14:paraId="53B67746" w14:textId="77777777">
        <w:trPr>
          <w:cantSplit/>
          <w:tblHeader/>
        </w:trPr>
        <w:tc>
          <w:tcPr>
            <w:tcW w:w="4200" w:type="dxa"/>
            <w:shd w:val="clear" w:color="auto" w:fill="E8E8E8"/>
            <w:tcMar>
              <w:top w:w="60" w:type="dxa"/>
              <w:left w:w="100" w:type="dxa"/>
              <w:bottom w:w="60" w:type="dxa"/>
              <w:right w:w="100" w:type="dxa"/>
            </w:tcMar>
          </w:tcPr>
          <w:p w14:paraId="1733EC08" w14:textId="77777777" w:rsidR="00813834" w:rsidRPr="00B4372C" w:rsidRDefault="00000000">
            <w:r w:rsidRPr="00B4372C">
              <w:rPr>
                <w:b/>
                <w:bCs/>
              </w:rPr>
              <w:t>Variable</w:t>
            </w:r>
          </w:p>
        </w:tc>
        <w:tc>
          <w:tcPr>
            <w:tcW w:w="2200" w:type="dxa"/>
            <w:shd w:val="clear" w:color="auto" w:fill="E8E8E8"/>
            <w:tcMar>
              <w:top w:w="60" w:type="dxa"/>
              <w:left w:w="100" w:type="dxa"/>
              <w:bottom w:w="60" w:type="dxa"/>
              <w:right w:w="100" w:type="dxa"/>
            </w:tcMar>
          </w:tcPr>
          <w:p w14:paraId="3DF2A2C2" w14:textId="77777777" w:rsidR="00813834" w:rsidRPr="00B4372C" w:rsidRDefault="00000000">
            <w:r w:rsidRPr="00B4372C">
              <w:rPr>
                <w:b/>
                <w:bCs/>
              </w:rPr>
              <w:t>Mean ± SD</w:t>
            </w:r>
          </w:p>
        </w:tc>
        <w:tc>
          <w:tcPr>
            <w:tcW w:w="2200" w:type="dxa"/>
            <w:shd w:val="clear" w:color="auto" w:fill="E8E8E8"/>
            <w:tcMar>
              <w:top w:w="60" w:type="dxa"/>
              <w:left w:w="100" w:type="dxa"/>
              <w:bottom w:w="60" w:type="dxa"/>
              <w:right w:w="100" w:type="dxa"/>
            </w:tcMar>
          </w:tcPr>
          <w:p w14:paraId="205ABAA1" w14:textId="77777777" w:rsidR="00813834" w:rsidRPr="00B4372C" w:rsidRDefault="00000000">
            <w:r w:rsidRPr="00B4372C">
              <w:rPr>
                <w:b/>
                <w:bCs/>
              </w:rPr>
              <w:t>Range</w:t>
            </w:r>
          </w:p>
        </w:tc>
      </w:tr>
      <w:tr w:rsidR="00813834" w:rsidRPr="00B4372C" w14:paraId="38C64497" w14:textId="77777777">
        <w:trPr>
          <w:cantSplit/>
        </w:trPr>
        <w:tc>
          <w:tcPr>
            <w:tcW w:w="4200" w:type="dxa"/>
            <w:tcMar>
              <w:top w:w="60" w:type="dxa"/>
              <w:left w:w="100" w:type="dxa"/>
              <w:bottom w:w="60" w:type="dxa"/>
              <w:right w:w="100" w:type="dxa"/>
            </w:tcMar>
          </w:tcPr>
          <w:p w14:paraId="1A0A8888" w14:textId="77777777" w:rsidR="00813834" w:rsidRPr="00B4372C" w:rsidRDefault="00000000">
            <w:r w:rsidRPr="00B4372C">
              <w:t>PFC connectivity</w:t>
            </w:r>
          </w:p>
        </w:tc>
        <w:tc>
          <w:tcPr>
            <w:tcW w:w="2200" w:type="dxa"/>
            <w:tcMar>
              <w:top w:w="60" w:type="dxa"/>
              <w:left w:w="100" w:type="dxa"/>
              <w:bottom w:w="60" w:type="dxa"/>
              <w:right w:w="100" w:type="dxa"/>
            </w:tcMar>
          </w:tcPr>
          <w:p w14:paraId="2124838E" w14:textId="77777777" w:rsidR="00813834" w:rsidRPr="00B4372C" w:rsidRDefault="00000000">
            <w:pPr>
              <w:jc w:val="center"/>
            </w:pPr>
            <w:r w:rsidRPr="00B4372C">
              <w:t>0.0251 ± 0.0024</w:t>
            </w:r>
          </w:p>
        </w:tc>
        <w:tc>
          <w:tcPr>
            <w:tcW w:w="2200" w:type="dxa"/>
            <w:tcMar>
              <w:top w:w="60" w:type="dxa"/>
              <w:left w:w="100" w:type="dxa"/>
              <w:bottom w:w="60" w:type="dxa"/>
              <w:right w:w="100" w:type="dxa"/>
            </w:tcMar>
          </w:tcPr>
          <w:p w14:paraId="10D79044" w14:textId="77777777" w:rsidR="00813834" w:rsidRPr="00B4372C" w:rsidRDefault="00000000">
            <w:pPr>
              <w:jc w:val="center"/>
            </w:pPr>
            <w:r w:rsidRPr="00B4372C">
              <w:t>0.0209–0.0330</w:t>
            </w:r>
          </w:p>
        </w:tc>
      </w:tr>
      <w:tr w:rsidR="00813834" w:rsidRPr="00B4372C" w14:paraId="517BA810" w14:textId="77777777">
        <w:trPr>
          <w:cantSplit/>
        </w:trPr>
        <w:tc>
          <w:tcPr>
            <w:tcW w:w="4200" w:type="dxa"/>
            <w:tcMar>
              <w:top w:w="60" w:type="dxa"/>
              <w:left w:w="100" w:type="dxa"/>
              <w:bottom w:w="60" w:type="dxa"/>
              <w:right w:w="100" w:type="dxa"/>
            </w:tcMar>
          </w:tcPr>
          <w:p w14:paraId="29421E10" w14:textId="77777777" w:rsidR="00813834" w:rsidRPr="00B4372C" w:rsidRDefault="00000000">
            <w:r w:rsidRPr="00B4372C">
              <w:t>Limbic connectivity</w:t>
            </w:r>
          </w:p>
        </w:tc>
        <w:tc>
          <w:tcPr>
            <w:tcW w:w="2200" w:type="dxa"/>
            <w:tcMar>
              <w:top w:w="60" w:type="dxa"/>
              <w:left w:w="100" w:type="dxa"/>
              <w:bottom w:w="60" w:type="dxa"/>
              <w:right w:w="100" w:type="dxa"/>
            </w:tcMar>
          </w:tcPr>
          <w:p w14:paraId="6888110B" w14:textId="77777777" w:rsidR="00813834" w:rsidRPr="00B4372C" w:rsidRDefault="00000000">
            <w:pPr>
              <w:jc w:val="center"/>
            </w:pPr>
            <w:r w:rsidRPr="00B4372C">
              <w:t>0.0264 ± 0.0040</w:t>
            </w:r>
          </w:p>
        </w:tc>
        <w:tc>
          <w:tcPr>
            <w:tcW w:w="2200" w:type="dxa"/>
            <w:tcMar>
              <w:top w:w="60" w:type="dxa"/>
              <w:left w:w="100" w:type="dxa"/>
              <w:bottom w:w="60" w:type="dxa"/>
              <w:right w:w="100" w:type="dxa"/>
            </w:tcMar>
          </w:tcPr>
          <w:p w14:paraId="4702CCE8" w14:textId="77777777" w:rsidR="00813834" w:rsidRPr="00B4372C" w:rsidRDefault="00000000">
            <w:pPr>
              <w:jc w:val="center"/>
            </w:pPr>
            <w:r w:rsidRPr="00B4372C">
              <w:t>0.0178–0.0370</w:t>
            </w:r>
          </w:p>
        </w:tc>
      </w:tr>
      <w:tr w:rsidR="00813834" w:rsidRPr="00B4372C" w14:paraId="6C2EFB13" w14:textId="77777777">
        <w:trPr>
          <w:cantSplit/>
        </w:trPr>
        <w:tc>
          <w:tcPr>
            <w:tcW w:w="4200" w:type="dxa"/>
            <w:tcMar>
              <w:top w:w="60" w:type="dxa"/>
              <w:left w:w="100" w:type="dxa"/>
              <w:bottom w:w="60" w:type="dxa"/>
              <w:right w:w="100" w:type="dxa"/>
            </w:tcMar>
          </w:tcPr>
          <w:p w14:paraId="0FEB481B" w14:textId="77777777" w:rsidR="00813834" w:rsidRPr="00B4372C" w:rsidRDefault="00000000">
            <w:r w:rsidRPr="00B4372C">
              <w:t>Cumulative positive anomaly (“heat stress”)</w:t>
            </w:r>
          </w:p>
        </w:tc>
        <w:tc>
          <w:tcPr>
            <w:tcW w:w="2200" w:type="dxa"/>
            <w:tcMar>
              <w:top w:w="60" w:type="dxa"/>
              <w:left w:w="100" w:type="dxa"/>
              <w:bottom w:w="60" w:type="dxa"/>
              <w:right w:w="100" w:type="dxa"/>
            </w:tcMar>
          </w:tcPr>
          <w:p w14:paraId="5039E290" w14:textId="77777777" w:rsidR="00813834" w:rsidRPr="00B4372C" w:rsidRDefault="00000000">
            <w:pPr>
              <w:jc w:val="center"/>
            </w:pPr>
            <w:r w:rsidRPr="00B4372C">
              <w:t>11.47 ± 3.16</w:t>
            </w:r>
          </w:p>
        </w:tc>
        <w:tc>
          <w:tcPr>
            <w:tcW w:w="2200" w:type="dxa"/>
            <w:tcMar>
              <w:top w:w="60" w:type="dxa"/>
              <w:left w:w="100" w:type="dxa"/>
              <w:bottom w:w="60" w:type="dxa"/>
              <w:right w:w="100" w:type="dxa"/>
            </w:tcMar>
          </w:tcPr>
          <w:p w14:paraId="57B59556" w14:textId="77777777" w:rsidR="00813834" w:rsidRPr="00B4372C" w:rsidRDefault="00000000">
            <w:pPr>
              <w:jc w:val="center"/>
            </w:pPr>
            <w:r w:rsidRPr="00B4372C">
              <w:t>2.14–14.60</w:t>
            </w:r>
          </w:p>
        </w:tc>
      </w:tr>
      <w:tr w:rsidR="00813834" w:rsidRPr="00B4372C" w14:paraId="067E0E8A" w14:textId="77777777">
        <w:trPr>
          <w:cantSplit/>
        </w:trPr>
        <w:tc>
          <w:tcPr>
            <w:tcW w:w="4200" w:type="dxa"/>
            <w:tcMar>
              <w:top w:w="60" w:type="dxa"/>
              <w:left w:w="100" w:type="dxa"/>
              <w:bottom w:w="60" w:type="dxa"/>
              <w:right w:w="100" w:type="dxa"/>
            </w:tcMar>
          </w:tcPr>
          <w:p w14:paraId="61630B40" w14:textId="77777777" w:rsidR="00813834" w:rsidRPr="00B4372C" w:rsidRDefault="00000000">
            <w:r w:rsidRPr="00B4372C">
              <w:t>Cumulative negative anomaly (“cold stress”)</w:t>
            </w:r>
          </w:p>
        </w:tc>
        <w:tc>
          <w:tcPr>
            <w:tcW w:w="2200" w:type="dxa"/>
            <w:tcMar>
              <w:top w:w="60" w:type="dxa"/>
              <w:left w:w="100" w:type="dxa"/>
              <w:bottom w:w="60" w:type="dxa"/>
              <w:right w:w="100" w:type="dxa"/>
            </w:tcMar>
          </w:tcPr>
          <w:p w14:paraId="2FB38020" w14:textId="77777777" w:rsidR="00813834" w:rsidRPr="00B4372C" w:rsidRDefault="00000000">
            <w:pPr>
              <w:jc w:val="center"/>
            </w:pPr>
            <w:r w:rsidRPr="00B4372C">
              <w:t>0.67 ± 0.71</w:t>
            </w:r>
          </w:p>
        </w:tc>
        <w:tc>
          <w:tcPr>
            <w:tcW w:w="2200" w:type="dxa"/>
            <w:tcMar>
              <w:top w:w="60" w:type="dxa"/>
              <w:left w:w="100" w:type="dxa"/>
              <w:bottom w:w="60" w:type="dxa"/>
              <w:right w:w="100" w:type="dxa"/>
            </w:tcMar>
          </w:tcPr>
          <w:p w14:paraId="1447185B" w14:textId="77777777" w:rsidR="00813834" w:rsidRPr="00B4372C" w:rsidRDefault="00000000">
            <w:pPr>
              <w:jc w:val="center"/>
            </w:pPr>
            <w:r w:rsidRPr="00B4372C">
              <w:t>0.00–2.69</w:t>
            </w:r>
          </w:p>
        </w:tc>
      </w:tr>
      <w:tr w:rsidR="00813834" w:rsidRPr="00B4372C" w14:paraId="12B74B8C" w14:textId="77777777">
        <w:trPr>
          <w:cantSplit/>
        </w:trPr>
        <w:tc>
          <w:tcPr>
            <w:tcW w:w="4200" w:type="dxa"/>
            <w:tcMar>
              <w:top w:w="60" w:type="dxa"/>
              <w:left w:w="100" w:type="dxa"/>
              <w:bottom w:w="60" w:type="dxa"/>
              <w:right w:w="100" w:type="dxa"/>
            </w:tcMar>
          </w:tcPr>
          <w:p w14:paraId="2D006F71" w14:textId="77777777" w:rsidR="00813834" w:rsidRPr="00B4372C" w:rsidRDefault="00000000">
            <w:r w:rsidRPr="00B4372C">
              <w:t>Age (years)</w:t>
            </w:r>
          </w:p>
        </w:tc>
        <w:tc>
          <w:tcPr>
            <w:tcW w:w="2200" w:type="dxa"/>
            <w:tcMar>
              <w:top w:w="60" w:type="dxa"/>
              <w:left w:w="100" w:type="dxa"/>
              <w:bottom w:w="60" w:type="dxa"/>
              <w:right w:w="100" w:type="dxa"/>
            </w:tcMar>
          </w:tcPr>
          <w:p w14:paraId="04C01B72" w14:textId="77777777" w:rsidR="00813834" w:rsidRPr="00B4372C" w:rsidRDefault="00000000">
            <w:pPr>
              <w:jc w:val="center"/>
            </w:pPr>
            <w:r w:rsidRPr="00B4372C">
              <w:t>27.63 ± 6.77</w:t>
            </w:r>
          </w:p>
        </w:tc>
        <w:tc>
          <w:tcPr>
            <w:tcW w:w="2200" w:type="dxa"/>
            <w:tcMar>
              <w:top w:w="60" w:type="dxa"/>
              <w:left w:w="100" w:type="dxa"/>
              <w:bottom w:w="60" w:type="dxa"/>
              <w:right w:w="100" w:type="dxa"/>
            </w:tcMar>
          </w:tcPr>
          <w:p w14:paraId="58E98C46" w14:textId="77777777" w:rsidR="00813834" w:rsidRPr="00B4372C" w:rsidRDefault="00000000">
            <w:pPr>
              <w:jc w:val="center"/>
            </w:pPr>
            <w:r w:rsidRPr="00B4372C">
              <w:t>18.8–48.7</w:t>
            </w:r>
          </w:p>
        </w:tc>
      </w:tr>
    </w:tbl>
    <w:p w14:paraId="1CDA05D7" w14:textId="77777777" w:rsidR="00813834" w:rsidRPr="00B4372C" w:rsidRDefault="00000000">
      <w:pPr>
        <w:spacing w:before="280" w:after="200" w:line="276" w:lineRule="auto"/>
      </w:pPr>
      <w:r w:rsidRPr="00B4372C">
        <w:rPr>
          <w:b/>
          <w:bCs/>
          <w:sz w:val="24"/>
          <w:szCs w:val="24"/>
        </w:rPr>
        <w:t xml:space="preserve">3.3 </w:t>
      </w:r>
      <w:r w:rsidRPr="00B4372C">
        <w:rPr>
          <w:i/>
          <w:iCs/>
          <w:sz w:val="24"/>
          <w:szCs w:val="24"/>
        </w:rPr>
        <w:t>Primary Exploratory Models</w:t>
      </w:r>
    </w:p>
    <w:p w14:paraId="731EC39F" w14:textId="77777777" w:rsidR="00813834" w:rsidRPr="00B4372C" w:rsidRDefault="00000000">
      <w:pPr>
        <w:spacing w:after="240" w:line="276" w:lineRule="auto"/>
      </w:pPr>
      <w:r w:rsidRPr="00B4372C">
        <w:rPr>
          <w:sz w:val="24"/>
          <w:szCs w:val="24"/>
        </w:rPr>
        <w:t>Table 2 shows the main, age-adjusted OLS models for PFC and limbic connectivity, including 95% confidence intervals.</w:t>
      </w:r>
    </w:p>
    <w:p w14:paraId="7E43A5A4" w14:textId="77777777" w:rsidR="00813834" w:rsidRPr="00B4372C" w:rsidRDefault="00000000">
      <w:pPr>
        <w:spacing w:before="200" w:after="120" w:line="276" w:lineRule="auto"/>
      </w:pPr>
      <w:r w:rsidRPr="00B4372C">
        <w:rPr>
          <w:b/>
          <w:bCs/>
          <w:sz w:val="24"/>
          <w:szCs w:val="24"/>
        </w:rPr>
        <w:t xml:space="preserve">Table 2. </w:t>
      </w:r>
      <w:r w:rsidRPr="00B4372C">
        <w:rPr>
          <w:sz w:val="24"/>
          <w:szCs w:val="24"/>
        </w:rPr>
        <w:t>Primary OLS models (age-adjusted), N = 86.</w:t>
      </w:r>
    </w:p>
    <w:tbl>
      <w:tblPr>
        <w:tblStyle w:val="a0"/>
        <w:tblW w:w="8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00"/>
        <w:gridCol w:w="1900"/>
        <w:gridCol w:w="900"/>
        <w:gridCol w:w="1900"/>
        <w:gridCol w:w="900"/>
      </w:tblGrid>
      <w:tr w:rsidR="00813834" w:rsidRPr="00B4372C" w14:paraId="0589F6C6" w14:textId="77777777">
        <w:trPr>
          <w:cantSplit/>
          <w:tblHeader/>
        </w:trPr>
        <w:tc>
          <w:tcPr>
            <w:tcW w:w="2900" w:type="dxa"/>
            <w:shd w:val="clear" w:color="auto" w:fill="E8E8E8"/>
            <w:tcMar>
              <w:top w:w="60" w:type="dxa"/>
              <w:left w:w="100" w:type="dxa"/>
              <w:bottom w:w="60" w:type="dxa"/>
              <w:right w:w="100" w:type="dxa"/>
            </w:tcMar>
          </w:tcPr>
          <w:p w14:paraId="04368097" w14:textId="77777777" w:rsidR="00813834" w:rsidRPr="00B4372C" w:rsidRDefault="00000000">
            <w:r w:rsidRPr="00B4372C">
              <w:rPr>
                <w:b/>
                <w:bCs/>
              </w:rPr>
              <w:t>Predictor</w:t>
            </w:r>
          </w:p>
        </w:tc>
        <w:tc>
          <w:tcPr>
            <w:tcW w:w="1900" w:type="dxa"/>
            <w:shd w:val="clear" w:color="auto" w:fill="E8E8E8"/>
            <w:tcMar>
              <w:top w:w="60" w:type="dxa"/>
              <w:left w:w="100" w:type="dxa"/>
              <w:bottom w:w="60" w:type="dxa"/>
              <w:right w:w="100" w:type="dxa"/>
            </w:tcMar>
          </w:tcPr>
          <w:p w14:paraId="39EFC5A5" w14:textId="77777777" w:rsidR="00813834" w:rsidRPr="00B4372C" w:rsidRDefault="00000000">
            <w:r w:rsidRPr="00B4372C">
              <w:rPr>
                <w:b/>
                <w:bCs/>
              </w:rPr>
              <w:t>PFC β [95% CI]</w:t>
            </w:r>
          </w:p>
        </w:tc>
        <w:tc>
          <w:tcPr>
            <w:tcW w:w="900" w:type="dxa"/>
            <w:shd w:val="clear" w:color="auto" w:fill="E8E8E8"/>
            <w:tcMar>
              <w:top w:w="60" w:type="dxa"/>
              <w:left w:w="100" w:type="dxa"/>
              <w:bottom w:w="60" w:type="dxa"/>
              <w:right w:w="100" w:type="dxa"/>
            </w:tcMar>
          </w:tcPr>
          <w:p w14:paraId="3E7E2BE6" w14:textId="77777777" w:rsidR="00813834" w:rsidRPr="00B4372C" w:rsidRDefault="00000000">
            <w:r w:rsidRPr="00B4372C">
              <w:rPr>
                <w:b/>
                <w:bCs/>
              </w:rPr>
              <w:t>PFC p</w:t>
            </w:r>
          </w:p>
        </w:tc>
        <w:tc>
          <w:tcPr>
            <w:tcW w:w="1900" w:type="dxa"/>
            <w:shd w:val="clear" w:color="auto" w:fill="E8E8E8"/>
            <w:tcMar>
              <w:top w:w="60" w:type="dxa"/>
              <w:left w:w="100" w:type="dxa"/>
              <w:bottom w:w="60" w:type="dxa"/>
              <w:right w:w="100" w:type="dxa"/>
            </w:tcMar>
          </w:tcPr>
          <w:p w14:paraId="0966F20C" w14:textId="77777777" w:rsidR="00813834" w:rsidRPr="00B4372C" w:rsidRDefault="00000000">
            <w:r w:rsidRPr="00B4372C">
              <w:rPr>
                <w:b/>
                <w:bCs/>
              </w:rPr>
              <w:t>Limbic β [95% CI]</w:t>
            </w:r>
          </w:p>
        </w:tc>
        <w:tc>
          <w:tcPr>
            <w:tcW w:w="900" w:type="dxa"/>
            <w:shd w:val="clear" w:color="auto" w:fill="E8E8E8"/>
            <w:tcMar>
              <w:top w:w="60" w:type="dxa"/>
              <w:left w:w="100" w:type="dxa"/>
              <w:bottom w:w="60" w:type="dxa"/>
              <w:right w:w="100" w:type="dxa"/>
            </w:tcMar>
          </w:tcPr>
          <w:p w14:paraId="4D606185" w14:textId="77777777" w:rsidR="00813834" w:rsidRPr="00B4372C" w:rsidRDefault="00000000">
            <w:r w:rsidRPr="00B4372C">
              <w:rPr>
                <w:b/>
                <w:bCs/>
              </w:rPr>
              <w:t>Limbic p</w:t>
            </w:r>
          </w:p>
        </w:tc>
      </w:tr>
      <w:tr w:rsidR="00813834" w:rsidRPr="00B4372C" w14:paraId="1A737774" w14:textId="77777777">
        <w:trPr>
          <w:cantSplit/>
        </w:trPr>
        <w:tc>
          <w:tcPr>
            <w:tcW w:w="2900" w:type="dxa"/>
            <w:tcMar>
              <w:top w:w="60" w:type="dxa"/>
              <w:left w:w="100" w:type="dxa"/>
              <w:bottom w:w="60" w:type="dxa"/>
              <w:right w:w="100" w:type="dxa"/>
            </w:tcMar>
          </w:tcPr>
          <w:p w14:paraId="18CCBA09" w14:textId="77777777" w:rsidR="00813834" w:rsidRPr="00B4372C" w:rsidRDefault="00000000">
            <w:r w:rsidRPr="00B4372C">
              <w:t>Intercept</w:t>
            </w:r>
          </w:p>
        </w:tc>
        <w:tc>
          <w:tcPr>
            <w:tcW w:w="1900" w:type="dxa"/>
            <w:tcMar>
              <w:top w:w="60" w:type="dxa"/>
              <w:left w:w="100" w:type="dxa"/>
              <w:bottom w:w="60" w:type="dxa"/>
              <w:right w:w="100" w:type="dxa"/>
            </w:tcMar>
          </w:tcPr>
          <w:p w14:paraId="0109B647" w14:textId="77777777" w:rsidR="00813834" w:rsidRPr="00B4372C" w:rsidRDefault="00000000">
            <w:pPr>
              <w:jc w:val="center"/>
            </w:pPr>
            <w:r w:rsidRPr="00B4372C">
              <w:t>0.0157 [0.001, 0.030]</w:t>
            </w:r>
          </w:p>
        </w:tc>
        <w:tc>
          <w:tcPr>
            <w:tcW w:w="900" w:type="dxa"/>
            <w:tcMar>
              <w:top w:w="60" w:type="dxa"/>
              <w:left w:w="100" w:type="dxa"/>
              <w:bottom w:w="60" w:type="dxa"/>
              <w:right w:w="100" w:type="dxa"/>
            </w:tcMar>
          </w:tcPr>
          <w:p w14:paraId="6CA26E73" w14:textId="77777777" w:rsidR="00813834" w:rsidRPr="00B4372C" w:rsidRDefault="00000000">
            <w:pPr>
              <w:jc w:val="center"/>
            </w:pPr>
            <w:r w:rsidRPr="00B4372C">
              <w:t>0.035</w:t>
            </w:r>
          </w:p>
        </w:tc>
        <w:tc>
          <w:tcPr>
            <w:tcW w:w="1900" w:type="dxa"/>
            <w:tcMar>
              <w:top w:w="60" w:type="dxa"/>
              <w:left w:w="100" w:type="dxa"/>
              <w:bottom w:w="60" w:type="dxa"/>
              <w:right w:w="100" w:type="dxa"/>
            </w:tcMar>
          </w:tcPr>
          <w:p w14:paraId="2E741582" w14:textId="77777777" w:rsidR="00813834" w:rsidRPr="00B4372C" w:rsidRDefault="00000000">
            <w:pPr>
              <w:jc w:val="center"/>
            </w:pPr>
            <w:r w:rsidRPr="00B4372C">
              <w:t>0.0364 [0.012, 0.061]</w:t>
            </w:r>
          </w:p>
        </w:tc>
        <w:tc>
          <w:tcPr>
            <w:tcW w:w="900" w:type="dxa"/>
            <w:tcMar>
              <w:top w:w="60" w:type="dxa"/>
              <w:left w:w="100" w:type="dxa"/>
              <w:bottom w:w="60" w:type="dxa"/>
              <w:right w:w="100" w:type="dxa"/>
            </w:tcMar>
          </w:tcPr>
          <w:p w14:paraId="3669F89D" w14:textId="77777777" w:rsidR="00813834" w:rsidRPr="00B4372C" w:rsidRDefault="00000000">
            <w:pPr>
              <w:jc w:val="center"/>
            </w:pPr>
            <w:r w:rsidRPr="00B4372C">
              <w:t>0.004</w:t>
            </w:r>
          </w:p>
        </w:tc>
      </w:tr>
      <w:tr w:rsidR="00813834" w:rsidRPr="00B4372C" w14:paraId="3D259330" w14:textId="77777777">
        <w:trPr>
          <w:cantSplit/>
        </w:trPr>
        <w:tc>
          <w:tcPr>
            <w:tcW w:w="2900" w:type="dxa"/>
            <w:tcMar>
              <w:top w:w="60" w:type="dxa"/>
              <w:left w:w="100" w:type="dxa"/>
              <w:bottom w:w="60" w:type="dxa"/>
              <w:right w:w="100" w:type="dxa"/>
            </w:tcMar>
          </w:tcPr>
          <w:p w14:paraId="5ABA5D81" w14:textId="77777777" w:rsidR="00813834" w:rsidRPr="00B4372C" w:rsidRDefault="00000000">
            <w:r w:rsidRPr="00B4372C">
              <w:t>Heat Stress</w:t>
            </w:r>
          </w:p>
        </w:tc>
        <w:tc>
          <w:tcPr>
            <w:tcW w:w="1900" w:type="dxa"/>
            <w:tcMar>
              <w:top w:w="60" w:type="dxa"/>
              <w:left w:w="100" w:type="dxa"/>
              <w:bottom w:w="60" w:type="dxa"/>
              <w:right w:w="100" w:type="dxa"/>
            </w:tcMar>
          </w:tcPr>
          <w:p w14:paraId="3AA1F8D4" w14:textId="77777777" w:rsidR="00813834" w:rsidRPr="00B4372C" w:rsidRDefault="00000000">
            <w:pPr>
              <w:jc w:val="center"/>
            </w:pPr>
            <w:r w:rsidRPr="00B4372C">
              <w:rPr>
                <w:rFonts w:eastAsia="Gungsuh"/>
              </w:rPr>
              <w:t>0.0003 [−0.0004, 0.0010]</w:t>
            </w:r>
          </w:p>
        </w:tc>
        <w:tc>
          <w:tcPr>
            <w:tcW w:w="900" w:type="dxa"/>
            <w:tcMar>
              <w:top w:w="60" w:type="dxa"/>
              <w:left w:w="100" w:type="dxa"/>
              <w:bottom w:w="60" w:type="dxa"/>
              <w:right w:w="100" w:type="dxa"/>
            </w:tcMar>
          </w:tcPr>
          <w:p w14:paraId="72D3A41F" w14:textId="77777777" w:rsidR="00813834" w:rsidRPr="00B4372C" w:rsidRDefault="00000000">
            <w:pPr>
              <w:jc w:val="center"/>
            </w:pPr>
            <w:r w:rsidRPr="00B4372C">
              <w:t>0.402</w:t>
            </w:r>
          </w:p>
        </w:tc>
        <w:tc>
          <w:tcPr>
            <w:tcW w:w="1900" w:type="dxa"/>
            <w:tcMar>
              <w:top w:w="60" w:type="dxa"/>
              <w:left w:w="100" w:type="dxa"/>
              <w:bottom w:w="60" w:type="dxa"/>
              <w:right w:w="100" w:type="dxa"/>
            </w:tcMar>
          </w:tcPr>
          <w:p w14:paraId="3C4C2190" w14:textId="77777777" w:rsidR="00813834" w:rsidRPr="00B4372C" w:rsidRDefault="00000000">
            <w:pPr>
              <w:jc w:val="center"/>
            </w:pPr>
            <w:r w:rsidRPr="00B4372C">
              <w:rPr>
                <w:rFonts w:eastAsia="Gungsuh"/>
              </w:rPr>
              <w:t>−0.0003 [−0.0015, 0.0009]</w:t>
            </w:r>
          </w:p>
        </w:tc>
        <w:tc>
          <w:tcPr>
            <w:tcW w:w="900" w:type="dxa"/>
            <w:tcMar>
              <w:top w:w="60" w:type="dxa"/>
              <w:left w:w="100" w:type="dxa"/>
              <w:bottom w:w="60" w:type="dxa"/>
              <w:right w:w="100" w:type="dxa"/>
            </w:tcMar>
          </w:tcPr>
          <w:p w14:paraId="4FB06528" w14:textId="77777777" w:rsidR="00813834" w:rsidRPr="00B4372C" w:rsidRDefault="00000000">
            <w:pPr>
              <w:jc w:val="center"/>
            </w:pPr>
            <w:r w:rsidRPr="00B4372C">
              <w:t>0.616</w:t>
            </w:r>
          </w:p>
        </w:tc>
      </w:tr>
      <w:tr w:rsidR="00813834" w:rsidRPr="00B4372C" w14:paraId="3213F6C2" w14:textId="77777777">
        <w:trPr>
          <w:cantSplit/>
        </w:trPr>
        <w:tc>
          <w:tcPr>
            <w:tcW w:w="2900" w:type="dxa"/>
            <w:tcMar>
              <w:top w:w="60" w:type="dxa"/>
              <w:left w:w="100" w:type="dxa"/>
              <w:bottom w:w="60" w:type="dxa"/>
              <w:right w:w="100" w:type="dxa"/>
            </w:tcMar>
          </w:tcPr>
          <w:p w14:paraId="658C623D" w14:textId="77777777" w:rsidR="00813834" w:rsidRPr="00B4372C" w:rsidRDefault="00000000">
            <w:r w:rsidRPr="00B4372C">
              <w:t>Cold Stress</w:t>
            </w:r>
          </w:p>
        </w:tc>
        <w:tc>
          <w:tcPr>
            <w:tcW w:w="1900" w:type="dxa"/>
            <w:tcMar>
              <w:top w:w="60" w:type="dxa"/>
              <w:left w:w="100" w:type="dxa"/>
              <w:bottom w:w="60" w:type="dxa"/>
              <w:right w:w="100" w:type="dxa"/>
            </w:tcMar>
          </w:tcPr>
          <w:p w14:paraId="55A1BB24" w14:textId="77777777" w:rsidR="00813834" w:rsidRPr="00B4372C" w:rsidRDefault="00000000">
            <w:pPr>
              <w:jc w:val="center"/>
            </w:pPr>
            <w:r w:rsidRPr="00B4372C">
              <w:rPr>
                <w:rFonts w:eastAsia="Gungsuh"/>
              </w:rPr>
              <w:t>−0.0002 [−0.0026, 0.0022]</w:t>
            </w:r>
          </w:p>
        </w:tc>
        <w:tc>
          <w:tcPr>
            <w:tcW w:w="900" w:type="dxa"/>
            <w:tcMar>
              <w:top w:w="60" w:type="dxa"/>
              <w:left w:w="100" w:type="dxa"/>
              <w:bottom w:w="60" w:type="dxa"/>
              <w:right w:w="100" w:type="dxa"/>
            </w:tcMar>
          </w:tcPr>
          <w:p w14:paraId="38952D05" w14:textId="77777777" w:rsidR="00813834" w:rsidRPr="00B4372C" w:rsidRDefault="00000000">
            <w:pPr>
              <w:jc w:val="center"/>
            </w:pPr>
            <w:r w:rsidRPr="00B4372C">
              <w:t>0.867</w:t>
            </w:r>
          </w:p>
        </w:tc>
        <w:tc>
          <w:tcPr>
            <w:tcW w:w="1900" w:type="dxa"/>
            <w:tcMar>
              <w:top w:w="60" w:type="dxa"/>
              <w:left w:w="100" w:type="dxa"/>
              <w:bottom w:w="60" w:type="dxa"/>
              <w:right w:w="100" w:type="dxa"/>
            </w:tcMar>
          </w:tcPr>
          <w:p w14:paraId="4DECE398" w14:textId="77777777" w:rsidR="00813834" w:rsidRPr="00B4372C" w:rsidRDefault="00000000">
            <w:pPr>
              <w:jc w:val="center"/>
            </w:pPr>
            <w:r w:rsidRPr="00B4372C">
              <w:rPr>
                <w:rFonts w:eastAsia="Gungsuh"/>
              </w:rPr>
              <w:t>0.0003 [−0.0038, 0.0044]</w:t>
            </w:r>
          </w:p>
        </w:tc>
        <w:tc>
          <w:tcPr>
            <w:tcW w:w="900" w:type="dxa"/>
            <w:tcMar>
              <w:top w:w="60" w:type="dxa"/>
              <w:left w:w="100" w:type="dxa"/>
              <w:bottom w:w="60" w:type="dxa"/>
              <w:right w:w="100" w:type="dxa"/>
            </w:tcMar>
          </w:tcPr>
          <w:p w14:paraId="13E422B3" w14:textId="77777777" w:rsidR="00813834" w:rsidRPr="00B4372C" w:rsidRDefault="00000000">
            <w:pPr>
              <w:jc w:val="center"/>
            </w:pPr>
            <w:r w:rsidRPr="00B4372C">
              <w:t>0.890</w:t>
            </w:r>
          </w:p>
        </w:tc>
      </w:tr>
      <w:tr w:rsidR="00813834" w:rsidRPr="00B4372C" w14:paraId="7044B2B7" w14:textId="77777777">
        <w:trPr>
          <w:cantSplit/>
        </w:trPr>
        <w:tc>
          <w:tcPr>
            <w:tcW w:w="2900" w:type="dxa"/>
            <w:tcMar>
              <w:top w:w="60" w:type="dxa"/>
              <w:left w:w="100" w:type="dxa"/>
              <w:bottom w:w="60" w:type="dxa"/>
              <w:right w:w="100" w:type="dxa"/>
            </w:tcMar>
          </w:tcPr>
          <w:p w14:paraId="42EE4020" w14:textId="77777777" w:rsidR="00813834" w:rsidRPr="00B4372C" w:rsidRDefault="00000000">
            <w:r w:rsidRPr="00B4372C">
              <w:t>Age (years)</w:t>
            </w:r>
          </w:p>
        </w:tc>
        <w:tc>
          <w:tcPr>
            <w:tcW w:w="1900" w:type="dxa"/>
            <w:tcMar>
              <w:top w:w="60" w:type="dxa"/>
              <w:left w:w="100" w:type="dxa"/>
              <w:bottom w:w="60" w:type="dxa"/>
              <w:right w:w="100" w:type="dxa"/>
            </w:tcMar>
          </w:tcPr>
          <w:p w14:paraId="491EE8B0" w14:textId="77777777" w:rsidR="00813834" w:rsidRPr="00B4372C" w:rsidRDefault="00000000">
            <w:pPr>
              <w:jc w:val="center"/>
            </w:pPr>
            <w:r w:rsidRPr="00B4372C">
              <w:rPr>
                <w:rFonts w:eastAsia="Gungsuh"/>
              </w:rPr>
              <w:t>0.0002 [−0.0000, 0.0005]</w:t>
            </w:r>
          </w:p>
        </w:tc>
        <w:tc>
          <w:tcPr>
            <w:tcW w:w="900" w:type="dxa"/>
            <w:tcMar>
              <w:top w:w="60" w:type="dxa"/>
              <w:left w:w="100" w:type="dxa"/>
              <w:bottom w:w="60" w:type="dxa"/>
              <w:right w:w="100" w:type="dxa"/>
            </w:tcMar>
          </w:tcPr>
          <w:p w14:paraId="41D17257" w14:textId="77777777" w:rsidR="00813834" w:rsidRPr="00B4372C" w:rsidRDefault="00000000">
            <w:pPr>
              <w:jc w:val="center"/>
            </w:pPr>
            <w:r w:rsidRPr="00B4372C">
              <w:t>0.106</w:t>
            </w:r>
          </w:p>
        </w:tc>
        <w:tc>
          <w:tcPr>
            <w:tcW w:w="1900" w:type="dxa"/>
            <w:tcMar>
              <w:top w:w="60" w:type="dxa"/>
              <w:left w:w="100" w:type="dxa"/>
              <w:bottom w:w="60" w:type="dxa"/>
              <w:right w:w="100" w:type="dxa"/>
            </w:tcMar>
          </w:tcPr>
          <w:p w14:paraId="1B1C5B9C" w14:textId="77777777" w:rsidR="00813834" w:rsidRPr="00B4372C" w:rsidRDefault="00000000">
            <w:pPr>
              <w:jc w:val="center"/>
            </w:pPr>
            <w:r w:rsidRPr="00B4372C">
              <w:rPr>
                <w:rFonts w:eastAsia="Gungsuh"/>
              </w:rPr>
              <w:t>−0.0002 [−0.0006, 0.0002]</w:t>
            </w:r>
          </w:p>
        </w:tc>
        <w:tc>
          <w:tcPr>
            <w:tcW w:w="900" w:type="dxa"/>
            <w:tcMar>
              <w:top w:w="60" w:type="dxa"/>
              <w:left w:w="100" w:type="dxa"/>
              <w:bottom w:w="60" w:type="dxa"/>
              <w:right w:w="100" w:type="dxa"/>
            </w:tcMar>
          </w:tcPr>
          <w:p w14:paraId="29F327A5" w14:textId="77777777" w:rsidR="00813834" w:rsidRPr="00B4372C" w:rsidRDefault="00000000">
            <w:pPr>
              <w:jc w:val="center"/>
            </w:pPr>
            <w:r w:rsidRPr="00B4372C">
              <w:t>0.365</w:t>
            </w:r>
          </w:p>
        </w:tc>
      </w:tr>
      <w:tr w:rsidR="00813834" w:rsidRPr="00B4372C" w14:paraId="1A082848" w14:textId="77777777">
        <w:trPr>
          <w:cantSplit/>
        </w:trPr>
        <w:tc>
          <w:tcPr>
            <w:tcW w:w="2900" w:type="dxa"/>
            <w:tcMar>
              <w:top w:w="60" w:type="dxa"/>
              <w:left w:w="100" w:type="dxa"/>
              <w:bottom w:w="60" w:type="dxa"/>
              <w:right w:w="100" w:type="dxa"/>
            </w:tcMar>
          </w:tcPr>
          <w:p w14:paraId="16890527" w14:textId="77777777" w:rsidR="00813834" w:rsidRPr="00B4372C" w:rsidRDefault="00000000">
            <w:r w:rsidRPr="00B4372C">
              <w:t>Gender</w:t>
            </w:r>
          </w:p>
        </w:tc>
        <w:tc>
          <w:tcPr>
            <w:tcW w:w="1900" w:type="dxa"/>
            <w:tcMar>
              <w:top w:w="60" w:type="dxa"/>
              <w:left w:w="100" w:type="dxa"/>
              <w:bottom w:w="60" w:type="dxa"/>
              <w:right w:w="100" w:type="dxa"/>
            </w:tcMar>
          </w:tcPr>
          <w:p w14:paraId="21976796" w14:textId="77777777" w:rsidR="00813834" w:rsidRPr="00B4372C" w:rsidRDefault="00000000">
            <w:pPr>
              <w:jc w:val="center"/>
            </w:pPr>
            <w:r w:rsidRPr="00B4372C">
              <w:rPr>
                <w:rFonts w:eastAsia="Gungsuh"/>
              </w:rPr>
              <w:t>0.0005 [−0.0005, 0.0015]</w:t>
            </w:r>
          </w:p>
        </w:tc>
        <w:tc>
          <w:tcPr>
            <w:tcW w:w="900" w:type="dxa"/>
            <w:tcMar>
              <w:top w:w="60" w:type="dxa"/>
              <w:left w:w="100" w:type="dxa"/>
              <w:bottom w:w="60" w:type="dxa"/>
              <w:right w:w="100" w:type="dxa"/>
            </w:tcMar>
          </w:tcPr>
          <w:p w14:paraId="486DA4BB" w14:textId="77777777" w:rsidR="00813834" w:rsidRPr="00B4372C" w:rsidRDefault="00000000">
            <w:pPr>
              <w:jc w:val="center"/>
            </w:pPr>
            <w:r w:rsidRPr="00B4372C">
              <w:t>0.341</w:t>
            </w:r>
          </w:p>
        </w:tc>
        <w:tc>
          <w:tcPr>
            <w:tcW w:w="1900" w:type="dxa"/>
            <w:tcMar>
              <w:top w:w="60" w:type="dxa"/>
              <w:left w:w="100" w:type="dxa"/>
              <w:bottom w:w="60" w:type="dxa"/>
              <w:right w:w="100" w:type="dxa"/>
            </w:tcMar>
          </w:tcPr>
          <w:p w14:paraId="31557F76" w14:textId="77777777" w:rsidR="00813834" w:rsidRPr="00B4372C" w:rsidRDefault="00000000">
            <w:pPr>
              <w:jc w:val="center"/>
            </w:pPr>
            <w:r w:rsidRPr="00B4372C">
              <w:rPr>
                <w:rFonts w:eastAsia="Gungsuh"/>
              </w:rPr>
              <w:t>−0.0016 [−0.0033, 0.0002]</w:t>
            </w:r>
          </w:p>
        </w:tc>
        <w:tc>
          <w:tcPr>
            <w:tcW w:w="900" w:type="dxa"/>
            <w:tcMar>
              <w:top w:w="60" w:type="dxa"/>
              <w:left w:w="100" w:type="dxa"/>
              <w:bottom w:w="60" w:type="dxa"/>
              <w:right w:w="100" w:type="dxa"/>
            </w:tcMar>
          </w:tcPr>
          <w:p w14:paraId="3807B06D" w14:textId="77777777" w:rsidR="00813834" w:rsidRPr="00B4372C" w:rsidRDefault="00000000">
            <w:pPr>
              <w:jc w:val="center"/>
            </w:pPr>
            <w:r w:rsidRPr="00B4372C">
              <w:t>0.078</w:t>
            </w:r>
          </w:p>
        </w:tc>
      </w:tr>
      <w:tr w:rsidR="00813834" w:rsidRPr="00B4372C" w14:paraId="20E9AC69" w14:textId="77777777">
        <w:trPr>
          <w:cantSplit/>
        </w:trPr>
        <w:tc>
          <w:tcPr>
            <w:tcW w:w="2900" w:type="dxa"/>
            <w:tcMar>
              <w:top w:w="60" w:type="dxa"/>
              <w:left w:w="100" w:type="dxa"/>
              <w:bottom w:w="60" w:type="dxa"/>
              <w:right w:w="100" w:type="dxa"/>
            </w:tcMar>
          </w:tcPr>
          <w:p w14:paraId="45FE0E19" w14:textId="77777777" w:rsidR="00813834" w:rsidRPr="00B4372C" w:rsidRDefault="00000000">
            <w:r w:rsidRPr="00B4372C">
              <w:t>Education (HS or less)</w:t>
            </w:r>
          </w:p>
        </w:tc>
        <w:tc>
          <w:tcPr>
            <w:tcW w:w="1900" w:type="dxa"/>
            <w:tcMar>
              <w:top w:w="60" w:type="dxa"/>
              <w:left w:w="100" w:type="dxa"/>
              <w:bottom w:w="60" w:type="dxa"/>
              <w:right w:w="100" w:type="dxa"/>
            </w:tcMar>
          </w:tcPr>
          <w:p w14:paraId="3E6FBAE9" w14:textId="77777777" w:rsidR="00813834" w:rsidRPr="00B4372C" w:rsidRDefault="00000000">
            <w:pPr>
              <w:jc w:val="center"/>
            </w:pPr>
            <w:r w:rsidRPr="00B4372C">
              <w:rPr>
                <w:rFonts w:eastAsia="Gungsuh"/>
              </w:rPr>
              <w:t>0.0000 [−0.0012, 0.0012]</w:t>
            </w:r>
          </w:p>
        </w:tc>
        <w:tc>
          <w:tcPr>
            <w:tcW w:w="900" w:type="dxa"/>
            <w:tcMar>
              <w:top w:w="60" w:type="dxa"/>
              <w:left w:w="100" w:type="dxa"/>
              <w:bottom w:w="60" w:type="dxa"/>
              <w:right w:w="100" w:type="dxa"/>
            </w:tcMar>
          </w:tcPr>
          <w:p w14:paraId="5F6250B6" w14:textId="77777777" w:rsidR="00813834" w:rsidRPr="00B4372C" w:rsidRDefault="00000000">
            <w:pPr>
              <w:jc w:val="center"/>
            </w:pPr>
            <w:r w:rsidRPr="00B4372C">
              <w:t>0.955</w:t>
            </w:r>
          </w:p>
        </w:tc>
        <w:tc>
          <w:tcPr>
            <w:tcW w:w="1900" w:type="dxa"/>
            <w:tcMar>
              <w:top w:w="60" w:type="dxa"/>
              <w:left w:w="100" w:type="dxa"/>
              <w:bottom w:w="60" w:type="dxa"/>
              <w:right w:w="100" w:type="dxa"/>
            </w:tcMar>
          </w:tcPr>
          <w:p w14:paraId="59BF4EAD" w14:textId="77777777" w:rsidR="00813834" w:rsidRPr="00B4372C" w:rsidRDefault="00000000">
            <w:pPr>
              <w:jc w:val="center"/>
            </w:pPr>
            <w:r w:rsidRPr="00B4372C">
              <w:rPr>
                <w:rFonts w:eastAsia="Gungsuh"/>
              </w:rPr>
              <w:t>−0.0009 [−0.0029, 0.0011]</w:t>
            </w:r>
          </w:p>
        </w:tc>
        <w:tc>
          <w:tcPr>
            <w:tcW w:w="900" w:type="dxa"/>
            <w:tcMar>
              <w:top w:w="60" w:type="dxa"/>
              <w:left w:w="100" w:type="dxa"/>
              <w:bottom w:w="60" w:type="dxa"/>
              <w:right w:w="100" w:type="dxa"/>
            </w:tcMar>
          </w:tcPr>
          <w:p w14:paraId="1B3A26A8" w14:textId="77777777" w:rsidR="00813834" w:rsidRPr="00B4372C" w:rsidRDefault="00000000">
            <w:pPr>
              <w:jc w:val="center"/>
            </w:pPr>
            <w:r w:rsidRPr="00B4372C">
              <w:t>0.366</w:t>
            </w:r>
          </w:p>
        </w:tc>
      </w:tr>
    </w:tbl>
    <w:p w14:paraId="3F880685" w14:textId="77777777" w:rsidR="00813834" w:rsidRPr="00B4372C" w:rsidRDefault="00000000">
      <w:pPr>
        <w:spacing w:before="80" w:after="240" w:line="276" w:lineRule="auto"/>
      </w:pPr>
      <w:r w:rsidRPr="00B4372C">
        <w:rPr>
          <w:rFonts w:eastAsia="Gungsuh"/>
          <w:sz w:val="24"/>
          <w:szCs w:val="24"/>
        </w:rPr>
        <w:lastRenderedPageBreak/>
        <w:t>PFC model R² = 0.062, adjusted R² = 0.004; Limbic model R² = 0.056, adjusted R² = −0.003.</w:t>
      </w:r>
    </w:p>
    <w:p w14:paraId="606EF601" w14:textId="77777777" w:rsidR="00813834" w:rsidRPr="00B4372C" w:rsidRDefault="00000000">
      <w:pPr>
        <w:spacing w:after="240" w:line="276" w:lineRule="auto"/>
      </w:pPr>
      <w:r w:rsidRPr="00B4372C">
        <w:rPr>
          <w:rFonts w:eastAsia="Gungsuh"/>
          <w:sz w:val="24"/>
          <w:szCs w:val="24"/>
        </w:rPr>
        <w:t>Neither estimated childhood heat stress nor cold stress (both reconstructed from participants' age, not directly measured) was related to PFC or limbic connectivity. The adjusted R² for both models was close to zero (PFC: 0.004; Limbic: −0.003), showing that these predictors, taken together, do not explain more variance than we would expect by chance once model complexity is penalized. As Sections 3.4 through 3.10 describe in detail, this null result held up across every alternative setup and robustness check we ran. We also report, openly, that an earlier development version of this analysis, using a placeholder climate series, had suggested a nominally significant cold-stress association. That association did not hold up once we substituted the verified historical record (Section 2.4); see Section 4 for more on this.</w:t>
      </w:r>
    </w:p>
    <w:p w14:paraId="1BE06E77" w14:textId="77777777" w:rsidR="00813834" w:rsidRPr="00B4372C" w:rsidRDefault="00000000">
      <w:pPr>
        <w:spacing w:before="280" w:after="200" w:line="276" w:lineRule="auto"/>
      </w:pPr>
      <w:r w:rsidRPr="00B4372C">
        <w:rPr>
          <w:b/>
          <w:bCs/>
          <w:sz w:val="24"/>
          <w:szCs w:val="24"/>
        </w:rPr>
        <w:t xml:space="preserve">3.4 </w:t>
      </w:r>
      <w:r w:rsidRPr="00B4372C">
        <w:rPr>
          <w:i/>
          <w:iCs/>
          <w:sz w:val="24"/>
          <w:szCs w:val="24"/>
        </w:rPr>
        <w:t>Multicollinearity Diagnostics</w:t>
      </w:r>
    </w:p>
    <w:p w14:paraId="0BFA8681" w14:textId="77777777" w:rsidR="00813834" w:rsidRPr="00B4372C" w:rsidRDefault="00000000">
      <w:pPr>
        <w:spacing w:after="240" w:line="276" w:lineRule="auto"/>
      </w:pPr>
      <w:r w:rsidRPr="00B4372C">
        <w:rPr>
          <w:rFonts w:eastAsia="Gungsuh"/>
          <w:sz w:val="24"/>
          <w:szCs w:val="24"/>
        </w:rPr>
        <w:t>Variance inflation factors stayed high for age and both exposure measures, even with the verified climate record: age = 11.42, heat stress = 16.95, cold stress = 10.31 (</w:t>
      </w:r>
      <w:proofErr w:type="gramStart"/>
      <w:r w:rsidRPr="00B4372C">
        <w:rPr>
          <w:rFonts w:eastAsia="Gungsuh"/>
          <w:sz w:val="24"/>
          <w:szCs w:val="24"/>
        </w:rPr>
        <w:t>compare</w:t>
      </w:r>
      <w:proofErr w:type="gramEnd"/>
      <w:r w:rsidRPr="00B4372C">
        <w:rPr>
          <w:rFonts w:eastAsia="Gungsuh"/>
          <w:sz w:val="24"/>
          <w:szCs w:val="24"/>
        </w:rPr>
        <w:t xml:space="preserve"> with gender = 1.01). The correlation between age and cold stress was 0.922, and between age and heat stress was −0.953. This confirms that the age-period-cohort collinearity we describe in Section 4 is a structural feature of this type of reconstruction design. It </w:t>
      </w:r>
      <w:proofErr w:type="gramStart"/>
      <w:r w:rsidRPr="00B4372C">
        <w:rPr>
          <w:rFonts w:eastAsia="Gungsuh"/>
          <w:sz w:val="24"/>
          <w:szCs w:val="24"/>
        </w:rPr>
        <w:t>shows up</w:t>
      </w:r>
      <w:proofErr w:type="gramEnd"/>
      <w:r w:rsidRPr="00B4372C">
        <w:rPr>
          <w:rFonts w:eastAsia="Gungsuh"/>
          <w:sz w:val="24"/>
          <w:szCs w:val="24"/>
        </w:rPr>
        <w:t xml:space="preserve"> whether the underlying climate series is real or a placeholder, and </w:t>
      </w:r>
      <w:proofErr w:type="gramStart"/>
      <w:r w:rsidRPr="00B4372C">
        <w:rPr>
          <w:rFonts w:eastAsia="Gungsuh"/>
          <w:sz w:val="24"/>
          <w:szCs w:val="24"/>
        </w:rPr>
        <w:t>whether or not</w:t>
      </w:r>
      <w:proofErr w:type="gramEnd"/>
      <w:r w:rsidRPr="00B4372C">
        <w:rPr>
          <w:rFonts w:eastAsia="Gungsuh"/>
          <w:sz w:val="24"/>
          <w:szCs w:val="24"/>
        </w:rPr>
        <w:t xml:space="preserve"> an association is ultimately found.</w:t>
      </w:r>
    </w:p>
    <w:p w14:paraId="2506A9FA" w14:textId="77777777" w:rsidR="00813834" w:rsidRPr="00B4372C" w:rsidRDefault="00000000">
      <w:pPr>
        <w:spacing w:before="280" w:after="200" w:line="276" w:lineRule="auto"/>
      </w:pPr>
      <w:r w:rsidRPr="00B4372C">
        <w:rPr>
          <w:b/>
          <w:bCs/>
          <w:sz w:val="24"/>
          <w:szCs w:val="24"/>
        </w:rPr>
        <w:t xml:space="preserve">3.5 </w:t>
      </w:r>
      <w:r w:rsidRPr="00B4372C">
        <w:rPr>
          <w:i/>
          <w:iCs/>
          <w:sz w:val="24"/>
          <w:szCs w:val="24"/>
        </w:rPr>
        <w:t>Alternative Specifications</w:t>
      </w:r>
    </w:p>
    <w:p w14:paraId="0BB3AE9F" w14:textId="77777777" w:rsidR="00813834" w:rsidRPr="00B4372C" w:rsidRDefault="00000000">
      <w:pPr>
        <w:spacing w:after="240" w:line="276" w:lineRule="auto"/>
      </w:pPr>
      <w:r w:rsidRPr="00B4372C">
        <w:rPr>
          <w:sz w:val="24"/>
          <w:szCs w:val="24"/>
        </w:rPr>
        <w:t>Table 3 compares three model setups for PFC connectivity.</w:t>
      </w:r>
    </w:p>
    <w:p w14:paraId="073EB23A" w14:textId="77777777" w:rsidR="00813834" w:rsidRPr="00B4372C" w:rsidRDefault="00000000">
      <w:pPr>
        <w:spacing w:before="200" w:after="120" w:line="276" w:lineRule="auto"/>
      </w:pPr>
      <w:r w:rsidRPr="00B4372C">
        <w:rPr>
          <w:b/>
          <w:bCs/>
          <w:sz w:val="24"/>
          <w:szCs w:val="24"/>
        </w:rPr>
        <w:t xml:space="preserve">Table 3. </w:t>
      </w:r>
      <w:r w:rsidRPr="00B4372C">
        <w:rPr>
          <w:sz w:val="24"/>
          <w:szCs w:val="24"/>
        </w:rPr>
        <w:t>Alternative specifications, PFC outcome, age/sex/</w:t>
      </w:r>
      <w:proofErr w:type="gramStart"/>
      <w:r w:rsidRPr="00B4372C">
        <w:rPr>
          <w:sz w:val="24"/>
          <w:szCs w:val="24"/>
        </w:rPr>
        <w:t>education-adjusted</w:t>
      </w:r>
      <w:proofErr w:type="gramEnd"/>
      <w:r w:rsidRPr="00B4372C">
        <w:rPr>
          <w:sz w:val="24"/>
          <w:szCs w:val="24"/>
        </w:rPr>
        <w:t>.</w:t>
      </w:r>
    </w:p>
    <w:tbl>
      <w:tblPr>
        <w:tblStyle w:val="a1"/>
        <w:tblW w:w="88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0"/>
        <w:gridCol w:w="1500"/>
        <w:gridCol w:w="1200"/>
        <w:gridCol w:w="1500"/>
        <w:gridCol w:w="1200"/>
      </w:tblGrid>
      <w:tr w:rsidR="00813834" w:rsidRPr="00B4372C" w14:paraId="1A7BBC93" w14:textId="77777777">
        <w:trPr>
          <w:cantSplit/>
          <w:tblHeader/>
        </w:trPr>
        <w:tc>
          <w:tcPr>
            <w:tcW w:w="3400" w:type="dxa"/>
            <w:shd w:val="clear" w:color="auto" w:fill="E8E8E8"/>
            <w:tcMar>
              <w:top w:w="60" w:type="dxa"/>
              <w:left w:w="100" w:type="dxa"/>
              <w:bottom w:w="60" w:type="dxa"/>
              <w:right w:w="100" w:type="dxa"/>
            </w:tcMar>
          </w:tcPr>
          <w:p w14:paraId="0B4811D9" w14:textId="77777777" w:rsidR="00813834" w:rsidRPr="00B4372C" w:rsidRDefault="00000000">
            <w:r w:rsidRPr="00B4372C">
              <w:rPr>
                <w:b/>
                <w:bCs/>
              </w:rPr>
              <w:t>Specification</w:t>
            </w:r>
          </w:p>
        </w:tc>
        <w:tc>
          <w:tcPr>
            <w:tcW w:w="1500" w:type="dxa"/>
            <w:shd w:val="clear" w:color="auto" w:fill="E8E8E8"/>
            <w:tcMar>
              <w:top w:w="60" w:type="dxa"/>
              <w:left w:w="100" w:type="dxa"/>
              <w:bottom w:w="60" w:type="dxa"/>
              <w:right w:w="100" w:type="dxa"/>
            </w:tcMar>
          </w:tcPr>
          <w:p w14:paraId="66E15CD7" w14:textId="77777777" w:rsidR="00813834" w:rsidRPr="00B4372C" w:rsidRDefault="00000000">
            <w:r w:rsidRPr="00B4372C">
              <w:rPr>
                <w:b/>
                <w:bCs/>
              </w:rPr>
              <w:t>Cold β</w:t>
            </w:r>
          </w:p>
        </w:tc>
        <w:tc>
          <w:tcPr>
            <w:tcW w:w="1200" w:type="dxa"/>
            <w:shd w:val="clear" w:color="auto" w:fill="E8E8E8"/>
            <w:tcMar>
              <w:top w:w="60" w:type="dxa"/>
              <w:left w:w="100" w:type="dxa"/>
              <w:bottom w:w="60" w:type="dxa"/>
              <w:right w:w="100" w:type="dxa"/>
            </w:tcMar>
          </w:tcPr>
          <w:p w14:paraId="6EB387FB" w14:textId="77777777" w:rsidR="00813834" w:rsidRPr="00B4372C" w:rsidRDefault="00000000">
            <w:r w:rsidRPr="00B4372C">
              <w:rPr>
                <w:b/>
                <w:bCs/>
              </w:rPr>
              <w:t>Cold p</w:t>
            </w:r>
          </w:p>
        </w:tc>
        <w:tc>
          <w:tcPr>
            <w:tcW w:w="1500" w:type="dxa"/>
            <w:shd w:val="clear" w:color="auto" w:fill="E8E8E8"/>
            <w:tcMar>
              <w:top w:w="60" w:type="dxa"/>
              <w:left w:w="100" w:type="dxa"/>
              <w:bottom w:w="60" w:type="dxa"/>
              <w:right w:w="100" w:type="dxa"/>
            </w:tcMar>
          </w:tcPr>
          <w:p w14:paraId="7874AD41" w14:textId="77777777" w:rsidR="00813834" w:rsidRPr="00B4372C" w:rsidRDefault="00000000">
            <w:r w:rsidRPr="00B4372C">
              <w:rPr>
                <w:b/>
                <w:bCs/>
              </w:rPr>
              <w:t>Heat β</w:t>
            </w:r>
          </w:p>
        </w:tc>
        <w:tc>
          <w:tcPr>
            <w:tcW w:w="1200" w:type="dxa"/>
            <w:shd w:val="clear" w:color="auto" w:fill="E8E8E8"/>
            <w:tcMar>
              <w:top w:w="60" w:type="dxa"/>
              <w:left w:w="100" w:type="dxa"/>
              <w:bottom w:w="60" w:type="dxa"/>
              <w:right w:w="100" w:type="dxa"/>
            </w:tcMar>
          </w:tcPr>
          <w:p w14:paraId="2F27873B" w14:textId="77777777" w:rsidR="00813834" w:rsidRPr="00B4372C" w:rsidRDefault="00000000">
            <w:r w:rsidRPr="00B4372C">
              <w:rPr>
                <w:b/>
                <w:bCs/>
              </w:rPr>
              <w:t>Heat p</w:t>
            </w:r>
          </w:p>
        </w:tc>
      </w:tr>
      <w:tr w:rsidR="00813834" w:rsidRPr="00B4372C" w14:paraId="4F924BB3" w14:textId="77777777">
        <w:trPr>
          <w:cantSplit/>
        </w:trPr>
        <w:tc>
          <w:tcPr>
            <w:tcW w:w="3400" w:type="dxa"/>
            <w:tcMar>
              <w:top w:w="60" w:type="dxa"/>
              <w:left w:w="100" w:type="dxa"/>
              <w:bottom w:w="60" w:type="dxa"/>
              <w:right w:w="100" w:type="dxa"/>
            </w:tcMar>
          </w:tcPr>
          <w:p w14:paraId="17FE1A96" w14:textId="77777777" w:rsidR="00813834" w:rsidRPr="00B4372C" w:rsidRDefault="00000000">
            <w:r w:rsidRPr="00B4372C">
              <w:t>A: Cold stress only</w:t>
            </w:r>
          </w:p>
        </w:tc>
        <w:tc>
          <w:tcPr>
            <w:tcW w:w="1500" w:type="dxa"/>
            <w:tcMar>
              <w:top w:w="60" w:type="dxa"/>
              <w:left w:w="100" w:type="dxa"/>
              <w:bottom w:w="60" w:type="dxa"/>
              <w:right w:w="100" w:type="dxa"/>
            </w:tcMar>
          </w:tcPr>
          <w:p w14:paraId="0A4EB567" w14:textId="77777777" w:rsidR="00813834" w:rsidRPr="00B4372C" w:rsidRDefault="00000000">
            <w:pPr>
              <w:jc w:val="center"/>
            </w:pPr>
            <w:r w:rsidRPr="00B4372C">
              <w:rPr>
                <w:rFonts w:eastAsia="Gungsuh"/>
              </w:rPr>
              <w:t>−0.0008</w:t>
            </w:r>
          </w:p>
        </w:tc>
        <w:tc>
          <w:tcPr>
            <w:tcW w:w="1200" w:type="dxa"/>
            <w:tcMar>
              <w:top w:w="60" w:type="dxa"/>
              <w:left w:w="100" w:type="dxa"/>
              <w:bottom w:w="60" w:type="dxa"/>
              <w:right w:w="100" w:type="dxa"/>
            </w:tcMar>
          </w:tcPr>
          <w:p w14:paraId="0891D9C8" w14:textId="77777777" w:rsidR="00813834" w:rsidRPr="00B4372C" w:rsidRDefault="00000000">
            <w:pPr>
              <w:jc w:val="center"/>
            </w:pPr>
            <w:r w:rsidRPr="00B4372C">
              <w:t>0.372</w:t>
            </w:r>
          </w:p>
        </w:tc>
        <w:tc>
          <w:tcPr>
            <w:tcW w:w="1500" w:type="dxa"/>
            <w:tcMar>
              <w:top w:w="60" w:type="dxa"/>
              <w:left w:w="100" w:type="dxa"/>
              <w:bottom w:w="60" w:type="dxa"/>
              <w:right w:w="100" w:type="dxa"/>
            </w:tcMar>
          </w:tcPr>
          <w:p w14:paraId="5E5C8B52" w14:textId="77777777" w:rsidR="00813834" w:rsidRPr="00B4372C" w:rsidRDefault="00000000">
            <w:pPr>
              <w:jc w:val="center"/>
            </w:pPr>
            <w:r w:rsidRPr="00B4372C">
              <w:t>—</w:t>
            </w:r>
          </w:p>
        </w:tc>
        <w:tc>
          <w:tcPr>
            <w:tcW w:w="1200" w:type="dxa"/>
            <w:tcMar>
              <w:top w:w="60" w:type="dxa"/>
              <w:left w:w="100" w:type="dxa"/>
              <w:bottom w:w="60" w:type="dxa"/>
              <w:right w:w="100" w:type="dxa"/>
            </w:tcMar>
          </w:tcPr>
          <w:p w14:paraId="1F59B570" w14:textId="77777777" w:rsidR="00813834" w:rsidRPr="00B4372C" w:rsidRDefault="00000000">
            <w:pPr>
              <w:jc w:val="center"/>
            </w:pPr>
            <w:r w:rsidRPr="00B4372C">
              <w:t>—</w:t>
            </w:r>
          </w:p>
        </w:tc>
      </w:tr>
      <w:tr w:rsidR="00813834" w:rsidRPr="00B4372C" w14:paraId="4758BF50" w14:textId="77777777">
        <w:trPr>
          <w:cantSplit/>
        </w:trPr>
        <w:tc>
          <w:tcPr>
            <w:tcW w:w="3400" w:type="dxa"/>
            <w:tcMar>
              <w:top w:w="60" w:type="dxa"/>
              <w:left w:w="100" w:type="dxa"/>
              <w:bottom w:w="60" w:type="dxa"/>
              <w:right w:w="100" w:type="dxa"/>
            </w:tcMar>
          </w:tcPr>
          <w:p w14:paraId="3A6EECD7" w14:textId="77777777" w:rsidR="00813834" w:rsidRPr="00B4372C" w:rsidRDefault="00000000">
            <w:r w:rsidRPr="00B4372C">
              <w:t>B: Heat stress only</w:t>
            </w:r>
          </w:p>
        </w:tc>
        <w:tc>
          <w:tcPr>
            <w:tcW w:w="1500" w:type="dxa"/>
            <w:tcMar>
              <w:top w:w="60" w:type="dxa"/>
              <w:left w:w="100" w:type="dxa"/>
              <w:bottom w:w="60" w:type="dxa"/>
              <w:right w:w="100" w:type="dxa"/>
            </w:tcMar>
          </w:tcPr>
          <w:p w14:paraId="4C80D3A3" w14:textId="77777777" w:rsidR="00813834" w:rsidRPr="00B4372C" w:rsidRDefault="00000000">
            <w:pPr>
              <w:jc w:val="center"/>
            </w:pPr>
            <w:r w:rsidRPr="00B4372C">
              <w:t>—</w:t>
            </w:r>
          </w:p>
        </w:tc>
        <w:tc>
          <w:tcPr>
            <w:tcW w:w="1200" w:type="dxa"/>
            <w:tcMar>
              <w:top w:w="60" w:type="dxa"/>
              <w:left w:w="100" w:type="dxa"/>
              <w:bottom w:w="60" w:type="dxa"/>
              <w:right w:w="100" w:type="dxa"/>
            </w:tcMar>
          </w:tcPr>
          <w:p w14:paraId="054404C3" w14:textId="77777777" w:rsidR="00813834" w:rsidRPr="00B4372C" w:rsidRDefault="00000000">
            <w:pPr>
              <w:jc w:val="center"/>
            </w:pPr>
            <w:r w:rsidRPr="00B4372C">
              <w:t>—</w:t>
            </w:r>
          </w:p>
        </w:tc>
        <w:tc>
          <w:tcPr>
            <w:tcW w:w="1500" w:type="dxa"/>
            <w:tcMar>
              <w:top w:w="60" w:type="dxa"/>
              <w:left w:w="100" w:type="dxa"/>
              <w:bottom w:w="60" w:type="dxa"/>
              <w:right w:w="100" w:type="dxa"/>
            </w:tcMar>
          </w:tcPr>
          <w:p w14:paraId="1D775993" w14:textId="77777777" w:rsidR="00813834" w:rsidRPr="00B4372C" w:rsidRDefault="00000000">
            <w:pPr>
              <w:jc w:val="center"/>
            </w:pPr>
            <w:r w:rsidRPr="00B4372C">
              <w:t>0.0003</w:t>
            </w:r>
          </w:p>
        </w:tc>
        <w:tc>
          <w:tcPr>
            <w:tcW w:w="1200" w:type="dxa"/>
            <w:tcMar>
              <w:top w:w="60" w:type="dxa"/>
              <w:left w:w="100" w:type="dxa"/>
              <w:bottom w:w="60" w:type="dxa"/>
              <w:right w:w="100" w:type="dxa"/>
            </w:tcMar>
          </w:tcPr>
          <w:p w14:paraId="06B420BE" w14:textId="77777777" w:rsidR="00813834" w:rsidRPr="00B4372C" w:rsidRDefault="00000000">
            <w:pPr>
              <w:jc w:val="center"/>
            </w:pPr>
            <w:r w:rsidRPr="00B4372C">
              <w:t>0.224</w:t>
            </w:r>
          </w:p>
        </w:tc>
      </w:tr>
      <w:tr w:rsidR="00813834" w:rsidRPr="00B4372C" w14:paraId="69E2E58F" w14:textId="77777777">
        <w:trPr>
          <w:cantSplit/>
        </w:trPr>
        <w:tc>
          <w:tcPr>
            <w:tcW w:w="3400" w:type="dxa"/>
            <w:tcMar>
              <w:top w:w="60" w:type="dxa"/>
              <w:left w:w="100" w:type="dxa"/>
              <w:bottom w:w="60" w:type="dxa"/>
              <w:right w:w="100" w:type="dxa"/>
            </w:tcMar>
          </w:tcPr>
          <w:p w14:paraId="32B032EF" w14:textId="77777777" w:rsidR="00813834" w:rsidRPr="00B4372C" w:rsidRDefault="00000000">
            <w:r w:rsidRPr="00B4372C">
              <w:t>C: Both together (primary)</w:t>
            </w:r>
          </w:p>
        </w:tc>
        <w:tc>
          <w:tcPr>
            <w:tcW w:w="1500" w:type="dxa"/>
            <w:tcMar>
              <w:top w:w="60" w:type="dxa"/>
              <w:left w:w="100" w:type="dxa"/>
              <w:bottom w:w="60" w:type="dxa"/>
              <w:right w:w="100" w:type="dxa"/>
            </w:tcMar>
          </w:tcPr>
          <w:p w14:paraId="2C9ED09E" w14:textId="77777777" w:rsidR="00813834" w:rsidRPr="00B4372C" w:rsidRDefault="00000000">
            <w:pPr>
              <w:jc w:val="center"/>
            </w:pPr>
            <w:r w:rsidRPr="00B4372C">
              <w:rPr>
                <w:rFonts w:eastAsia="Gungsuh"/>
              </w:rPr>
              <w:t>−0.0002</w:t>
            </w:r>
          </w:p>
        </w:tc>
        <w:tc>
          <w:tcPr>
            <w:tcW w:w="1200" w:type="dxa"/>
            <w:tcMar>
              <w:top w:w="60" w:type="dxa"/>
              <w:left w:w="100" w:type="dxa"/>
              <w:bottom w:w="60" w:type="dxa"/>
              <w:right w:w="100" w:type="dxa"/>
            </w:tcMar>
          </w:tcPr>
          <w:p w14:paraId="63B61669" w14:textId="77777777" w:rsidR="00813834" w:rsidRPr="00B4372C" w:rsidRDefault="00000000">
            <w:pPr>
              <w:jc w:val="center"/>
            </w:pPr>
            <w:r w:rsidRPr="00B4372C">
              <w:t>0.867</w:t>
            </w:r>
          </w:p>
        </w:tc>
        <w:tc>
          <w:tcPr>
            <w:tcW w:w="1500" w:type="dxa"/>
            <w:tcMar>
              <w:top w:w="60" w:type="dxa"/>
              <w:left w:w="100" w:type="dxa"/>
              <w:bottom w:w="60" w:type="dxa"/>
              <w:right w:w="100" w:type="dxa"/>
            </w:tcMar>
          </w:tcPr>
          <w:p w14:paraId="5B86B241" w14:textId="77777777" w:rsidR="00813834" w:rsidRPr="00B4372C" w:rsidRDefault="00000000">
            <w:pPr>
              <w:jc w:val="center"/>
            </w:pPr>
            <w:r w:rsidRPr="00B4372C">
              <w:t>0.0003</w:t>
            </w:r>
          </w:p>
        </w:tc>
        <w:tc>
          <w:tcPr>
            <w:tcW w:w="1200" w:type="dxa"/>
            <w:tcMar>
              <w:top w:w="60" w:type="dxa"/>
              <w:left w:w="100" w:type="dxa"/>
              <w:bottom w:w="60" w:type="dxa"/>
              <w:right w:w="100" w:type="dxa"/>
            </w:tcMar>
          </w:tcPr>
          <w:p w14:paraId="597147F8" w14:textId="77777777" w:rsidR="00813834" w:rsidRPr="00B4372C" w:rsidRDefault="00000000">
            <w:pPr>
              <w:jc w:val="center"/>
            </w:pPr>
            <w:r w:rsidRPr="00B4372C">
              <w:t>0.402</w:t>
            </w:r>
          </w:p>
        </w:tc>
      </w:tr>
    </w:tbl>
    <w:p w14:paraId="408D9171" w14:textId="77777777" w:rsidR="00813834" w:rsidRPr="00B4372C" w:rsidRDefault="00000000">
      <w:pPr>
        <w:spacing w:after="240" w:line="276" w:lineRule="auto"/>
      </w:pPr>
      <w:r w:rsidRPr="00B4372C">
        <w:rPr>
          <w:sz w:val="24"/>
          <w:szCs w:val="24"/>
        </w:rPr>
        <w:t>Neither exposure was related to PFC connectivity whether tested alone or together, so the null result does not depend on which specific model setup we chose.</w:t>
      </w:r>
    </w:p>
    <w:p w14:paraId="12116482" w14:textId="77777777" w:rsidR="00813834" w:rsidRPr="00B4372C" w:rsidRDefault="00000000">
      <w:pPr>
        <w:spacing w:before="280" w:after="200" w:line="276" w:lineRule="auto"/>
      </w:pPr>
      <w:r w:rsidRPr="00B4372C">
        <w:rPr>
          <w:b/>
          <w:bCs/>
          <w:sz w:val="24"/>
          <w:szCs w:val="24"/>
        </w:rPr>
        <w:t xml:space="preserve">3.6 </w:t>
      </w:r>
      <w:proofErr w:type="spellStart"/>
      <w:r w:rsidRPr="00B4372C">
        <w:rPr>
          <w:i/>
          <w:iCs/>
          <w:sz w:val="24"/>
          <w:szCs w:val="24"/>
        </w:rPr>
        <w:t>Residualization</w:t>
      </w:r>
      <w:proofErr w:type="spellEnd"/>
      <w:r w:rsidRPr="00B4372C">
        <w:rPr>
          <w:i/>
          <w:iCs/>
          <w:sz w:val="24"/>
          <w:szCs w:val="24"/>
        </w:rPr>
        <w:t xml:space="preserve">: </w:t>
      </w:r>
      <w:proofErr w:type="gramStart"/>
      <w:r w:rsidRPr="00B4372C">
        <w:rPr>
          <w:i/>
          <w:iCs/>
          <w:sz w:val="24"/>
          <w:szCs w:val="24"/>
        </w:rPr>
        <w:t>An Alternative</w:t>
      </w:r>
      <w:proofErr w:type="gramEnd"/>
      <w:r w:rsidRPr="00B4372C">
        <w:rPr>
          <w:i/>
          <w:iCs/>
          <w:sz w:val="24"/>
          <w:szCs w:val="24"/>
        </w:rPr>
        <w:t xml:space="preserve"> Formulation, Not Independent Evidence</w:t>
      </w:r>
    </w:p>
    <w:p w14:paraId="40499B81" w14:textId="77777777" w:rsidR="00813834" w:rsidRPr="00B4372C" w:rsidRDefault="00000000">
      <w:pPr>
        <w:spacing w:after="240" w:line="276" w:lineRule="auto"/>
      </w:pPr>
      <w:r w:rsidRPr="00B4372C">
        <w:rPr>
          <w:rFonts w:eastAsia="Cardo"/>
          <w:sz w:val="24"/>
          <w:szCs w:val="24"/>
        </w:rPr>
        <w:t xml:space="preserve">After removing the linear effect of age from each exposure measure and re-fitting the model without age as a separate covariate, both coefficients stayed small and non-significant (heat: β = 0.0002, p = 0.497; cold: β = −0.0004, p = 0.734). This matches the age-adjusted main model, as we would expect from the Frisch–Waugh–Lovell theorem. We want to be clear that this match is a mathematical property of two correctly built, equivalent formulations, not a second, independent piece of evidence. We report it as a consistency check on our own pipeline, not as an extra robustness check in the usual sense. We also note that the </w:t>
      </w:r>
      <w:proofErr w:type="spellStart"/>
      <w:r w:rsidRPr="00B4372C">
        <w:rPr>
          <w:rFonts w:eastAsia="Cardo"/>
          <w:sz w:val="24"/>
          <w:szCs w:val="24"/>
        </w:rPr>
        <w:t>residualized</w:t>
      </w:r>
      <w:proofErr w:type="spellEnd"/>
      <w:r w:rsidRPr="00B4372C">
        <w:rPr>
          <w:rFonts w:eastAsia="Cardo"/>
          <w:sz w:val="24"/>
          <w:szCs w:val="24"/>
        </w:rPr>
        <w:t xml:space="preserve"> heat and cold measures were still fairly correlated with each other (r = −0.594) even after removing what they both share with age, which means they are not fully independent measures of exposure.</w:t>
      </w:r>
    </w:p>
    <w:p w14:paraId="62DF7A41" w14:textId="77777777" w:rsidR="00813834" w:rsidRPr="00B4372C" w:rsidRDefault="00000000">
      <w:pPr>
        <w:spacing w:before="280" w:after="200" w:line="276" w:lineRule="auto"/>
      </w:pPr>
      <w:r w:rsidRPr="00B4372C">
        <w:rPr>
          <w:b/>
          <w:bCs/>
          <w:sz w:val="24"/>
          <w:szCs w:val="24"/>
        </w:rPr>
        <w:lastRenderedPageBreak/>
        <w:t xml:space="preserve">3.7 </w:t>
      </w:r>
      <w:r w:rsidRPr="00B4372C">
        <w:rPr>
          <w:i/>
          <w:iCs/>
          <w:sz w:val="24"/>
          <w:szCs w:val="24"/>
        </w:rPr>
        <w:t>Zero-Inclusive Connectivity Check</w:t>
      </w:r>
    </w:p>
    <w:p w14:paraId="3261FA03" w14:textId="77777777" w:rsidR="00813834" w:rsidRPr="00B4372C" w:rsidRDefault="00000000">
      <w:pPr>
        <w:spacing w:after="240" w:line="276" w:lineRule="auto"/>
      </w:pPr>
      <w:r w:rsidRPr="00B4372C">
        <w:rPr>
          <w:sz w:val="24"/>
          <w:szCs w:val="24"/>
        </w:rPr>
        <w:t>Section 2.3 defines the connectivity outcome as the mean positive within-network edge weight, leaving out zero-weight and negative pairs. To check whether this choice affected our conclusions, we recalculated PFC connectivity as the mean edge weight across all within-network region pairs, including the zero-weight ones. Under this alternative definition, neither exposure came close to significance (cold: p = 0.776; heat: p = 0.914), matching the main-model result.</w:t>
      </w:r>
    </w:p>
    <w:p w14:paraId="73C11C3B" w14:textId="77777777" w:rsidR="00813834" w:rsidRPr="00B4372C" w:rsidRDefault="00000000">
      <w:pPr>
        <w:spacing w:before="280" w:after="200" w:line="276" w:lineRule="auto"/>
      </w:pPr>
      <w:r w:rsidRPr="00B4372C">
        <w:rPr>
          <w:b/>
          <w:bCs/>
          <w:sz w:val="24"/>
          <w:szCs w:val="24"/>
        </w:rPr>
        <w:t xml:space="preserve">3.8 </w:t>
      </w:r>
      <w:r w:rsidRPr="00B4372C">
        <w:rPr>
          <w:i/>
          <w:iCs/>
          <w:sz w:val="24"/>
          <w:szCs w:val="24"/>
        </w:rPr>
        <w:t>Robust Inference</w:t>
      </w:r>
    </w:p>
    <w:p w14:paraId="5264E6CA" w14:textId="77777777" w:rsidR="00813834" w:rsidRPr="00B4372C" w:rsidRDefault="00000000">
      <w:pPr>
        <w:spacing w:after="240" w:line="276" w:lineRule="auto"/>
      </w:pPr>
      <w:r w:rsidRPr="00B4372C">
        <w:rPr>
          <w:sz w:val="24"/>
          <w:szCs w:val="24"/>
        </w:rPr>
        <w:t>A Breusch–Pagan test found no strong evidence of heteroskedasticity (p = 0.420). Residual normality was violated, however (Shapiro–Wilk p = 0.002), which is why we ran heteroskedasticity- and non-normality-robust checks even though we had already seen a null result. Under HC3 robust standard errors, both exposures stayed non-significant (cold: p = 0.850; heat: p = 0.348). Under a Freedman–Lane permutation test (10,000 permutations, which permutes residuals from a reduced model instead of the raw exposure variable, so the real relationships between predictors are preserved), the cold-stress association stayed non-significant (p = 0.863), matching the classical and HC3 results.</w:t>
      </w:r>
    </w:p>
    <w:p w14:paraId="03F6A7D5" w14:textId="77777777" w:rsidR="00813834" w:rsidRPr="00B4372C" w:rsidRDefault="00000000">
      <w:pPr>
        <w:spacing w:before="280" w:after="200" w:line="276" w:lineRule="auto"/>
      </w:pPr>
      <w:r w:rsidRPr="00B4372C">
        <w:rPr>
          <w:b/>
          <w:bCs/>
          <w:sz w:val="24"/>
          <w:szCs w:val="24"/>
        </w:rPr>
        <w:t xml:space="preserve">3.9 </w:t>
      </w:r>
      <w:r w:rsidRPr="00B4372C">
        <w:rPr>
          <w:i/>
          <w:iCs/>
          <w:sz w:val="24"/>
          <w:szCs w:val="24"/>
        </w:rPr>
        <w:t>Multiple-Comparison Correction</w:t>
      </w:r>
    </w:p>
    <w:p w14:paraId="28913EB1" w14:textId="77777777" w:rsidR="00813834" w:rsidRPr="00B4372C" w:rsidRDefault="00000000">
      <w:pPr>
        <w:spacing w:after="240" w:line="276" w:lineRule="auto"/>
      </w:pPr>
      <w:r w:rsidRPr="00B4372C">
        <w:rPr>
          <w:sz w:val="24"/>
          <w:szCs w:val="24"/>
        </w:rPr>
        <w:t>Because this exploratory analysis tested two exposures against two outcomes (four main comparisons), we applied both Bonferroni and Benjamini–Hochberg (FDR) correction across these four p-values. Table 4 shows the result.</w:t>
      </w:r>
    </w:p>
    <w:p w14:paraId="671EDB7F" w14:textId="77777777" w:rsidR="00813834" w:rsidRPr="00B4372C" w:rsidRDefault="00000000">
      <w:pPr>
        <w:spacing w:before="200" w:after="120" w:line="276" w:lineRule="auto"/>
      </w:pPr>
      <w:r w:rsidRPr="00B4372C">
        <w:rPr>
          <w:b/>
          <w:bCs/>
          <w:sz w:val="24"/>
          <w:szCs w:val="24"/>
        </w:rPr>
        <w:t xml:space="preserve">Table 4. </w:t>
      </w:r>
      <w:r w:rsidRPr="00B4372C">
        <w:rPr>
          <w:sz w:val="24"/>
          <w:szCs w:val="24"/>
        </w:rPr>
        <w:t>Multiple-comparison correction across the four primary exposure–outcome comparisons.</w:t>
      </w:r>
    </w:p>
    <w:tbl>
      <w:tblPr>
        <w:tblStyle w:val="a2"/>
        <w:tblW w:w="7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1600"/>
        <w:gridCol w:w="1900"/>
        <w:gridCol w:w="1500"/>
      </w:tblGrid>
      <w:tr w:rsidR="00813834" w:rsidRPr="00B4372C" w14:paraId="6DB8579E" w14:textId="77777777">
        <w:trPr>
          <w:cantSplit/>
          <w:tblHeader/>
        </w:trPr>
        <w:tc>
          <w:tcPr>
            <w:tcW w:w="2600" w:type="dxa"/>
            <w:shd w:val="clear" w:color="auto" w:fill="E8E8E8"/>
            <w:tcMar>
              <w:top w:w="60" w:type="dxa"/>
              <w:left w:w="100" w:type="dxa"/>
              <w:bottom w:w="60" w:type="dxa"/>
              <w:right w:w="100" w:type="dxa"/>
            </w:tcMar>
          </w:tcPr>
          <w:p w14:paraId="25D7971E" w14:textId="77777777" w:rsidR="00813834" w:rsidRPr="00B4372C" w:rsidRDefault="00000000">
            <w:r w:rsidRPr="00B4372C">
              <w:rPr>
                <w:b/>
                <w:bCs/>
              </w:rPr>
              <w:t>Comparison</w:t>
            </w:r>
          </w:p>
        </w:tc>
        <w:tc>
          <w:tcPr>
            <w:tcW w:w="1600" w:type="dxa"/>
            <w:shd w:val="clear" w:color="auto" w:fill="E8E8E8"/>
            <w:tcMar>
              <w:top w:w="60" w:type="dxa"/>
              <w:left w:w="100" w:type="dxa"/>
              <w:bottom w:w="60" w:type="dxa"/>
              <w:right w:w="100" w:type="dxa"/>
            </w:tcMar>
          </w:tcPr>
          <w:p w14:paraId="5ACD16AA" w14:textId="77777777" w:rsidR="00813834" w:rsidRPr="00B4372C" w:rsidRDefault="00000000">
            <w:r w:rsidRPr="00B4372C">
              <w:rPr>
                <w:b/>
                <w:bCs/>
              </w:rPr>
              <w:t>Raw p</w:t>
            </w:r>
          </w:p>
        </w:tc>
        <w:tc>
          <w:tcPr>
            <w:tcW w:w="1900" w:type="dxa"/>
            <w:shd w:val="clear" w:color="auto" w:fill="E8E8E8"/>
            <w:tcMar>
              <w:top w:w="60" w:type="dxa"/>
              <w:left w:w="100" w:type="dxa"/>
              <w:bottom w:w="60" w:type="dxa"/>
              <w:right w:w="100" w:type="dxa"/>
            </w:tcMar>
          </w:tcPr>
          <w:p w14:paraId="08EB5D84" w14:textId="77777777" w:rsidR="00813834" w:rsidRPr="00B4372C" w:rsidRDefault="00000000">
            <w:r w:rsidRPr="00B4372C">
              <w:rPr>
                <w:b/>
                <w:bCs/>
              </w:rPr>
              <w:t>Bonferroni p</w:t>
            </w:r>
          </w:p>
        </w:tc>
        <w:tc>
          <w:tcPr>
            <w:tcW w:w="1500" w:type="dxa"/>
            <w:shd w:val="clear" w:color="auto" w:fill="E8E8E8"/>
            <w:tcMar>
              <w:top w:w="60" w:type="dxa"/>
              <w:left w:w="100" w:type="dxa"/>
              <w:bottom w:w="60" w:type="dxa"/>
              <w:right w:w="100" w:type="dxa"/>
            </w:tcMar>
          </w:tcPr>
          <w:p w14:paraId="486F37B1" w14:textId="77777777" w:rsidR="00813834" w:rsidRPr="00B4372C" w:rsidRDefault="00000000">
            <w:r w:rsidRPr="00B4372C">
              <w:rPr>
                <w:b/>
                <w:bCs/>
              </w:rPr>
              <w:t>FDR p</w:t>
            </w:r>
          </w:p>
        </w:tc>
      </w:tr>
      <w:tr w:rsidR="00813834" w:rsidRPr="00B4372C" w14:paraId="22F4CCEF" w14:textId="77777777">
        <w:trPr>
          <w:cantSplit/>
        </w:trPr>
        <w:tc>
          <w:tcPr>
            <w:tcW w:w="2600" w:type="dxa"/>
            <w:tcMar>
              <w:top w:w="60" w:type="dxa"/>
              <w:left w:w="100" w:type="dxa"/>
              <w:bottom w:w="60" w:type="dxa"/>
              <w:right w:w="100" w:type="dxa"/>
            </w:tcMar>
          </w:tcPr>
          <w:p w14:paraId="54062BD4" w14:textId="77777777" w:rsidR="00813834" w:rsidRPr="00B4372C" w:rsidRDefault="00000000">
            <w:r w:rsidRPr="00B4372C">
              <w:rPr>
                <w:rFonts w:eastAsia="Cardo"/>
              </w:rPr>
              <w:t>Heat → PFC</w:t>
            </w:r>
          </w:p>
        </w:tc>
        <w:tc>
          <w:tcPr>
            <w:tcW w:w="1600" w:type="dxa"/>
            <w:tcMar>
              <w:top w:w="60" w:type="dxa"/>
              <w:left w:w="100" w:type="dxa"/>
              <w:bottom w:w="60" w:type="dxa"/>
              <w:right w:w="100" w:type="dxa"/>
            </w:tcMar>
          </w:tcPr>
          <w:p w14:paraId="0BCC3F5B" w14:textId="77777777" w:rsidR="00813834" w:rsidRPr="00B4372C" w:rsidRDefault="00000000">
            <w:pPr>
              <w:jc w:val="center"/>
            </w:pPr>
            <w:r w:rsidRPr="00B4372C">
              <w:t>0.402</w:t>
            </w:r>
          </w:p>
        </w:tc>
        <w:tc>
          <w:tcPr>
            <w:tcW w:w="1900" w:type="dxa"/>
            <w:tcMar>
              <w:top w:w="60" w:type="dxa"/>
              <w:left w:w="100" w:type="dxa"/>
              <w:bottom w:w="60" w:type="dxa"/>
              <w:right w:w="100" w:type="dxa"/>
            </w:tcMar>
          </w:tcPr>
          <w:p w14:paraId="35A749A5" w14:textId="77777777" w:rsidR="00813834" w:rsidRPr="00B4372C" w:rsidRDefault="00000000">
            <w:pPr>
              <w:jc w:val="center"/>
            </w:pPr>
            <w:r w:rsidRPr="00B4372C">
              <w:t>1.000</w:t>
            </w:r>
          </w:p>
        </w:tc>
        <w:tc>
          <w:tcPr>
            <w:tcW w:w="1500" w:type="dxa"/>
            <w:tcMar>
              <w:top w:w="60" w:type="dxa"/>
              <w:left w:w="100" w:type="dxa"/>
              <w:bottom w:w="60" w:type="dxa"/>
              <w:right w:w="100" w:type="dxa"/>
            </w:tcMar>
          </w:tcPr>
          <w:p w14:paraId="6DC112A2" w14:textId="77777777" w:rsidR="00813834" w:rsidRPr="00B4372C" w:rsidRDefault="00000000">
            <w:pPr>
              <w:jc w:val="center"/>
            </w:pPr>
            <w:r w:rsidRPr="00B4372C">
              <w:t>0.890</w:t>
            </w:r>
          </w:p>
        </w:tc>
      </w:tr>
      <w:tr w:rsidR="00813834" w:rsidRPr="00B4372C" w14:paraId="1B13671D" w14:textId="77777777">
        <w:trPr>
          <w:cantSplit/>
        </w:trPr>
        <w:tc>
          <w:tcPr>
            <w:tcW w:w="2600" w:type="dxa"/>
            <w:tcMar>
              <w:top w:w="60" w:type="dxa"/>
              <w:left w:w="100" w:type="dxa"/>
              <w:bottom w:w="60" w:type="dxa"/>
              <w:right w:w="100" w:type="dxa"/>
            </w:tcMar>
          </w:tcPr>
          <w:p w14:paraId="2466BEDF" w14:textId="77777777" w:rsidR="00813834" w:rsidRPr="00B4372C" w:rsidRDefault="00000000">
            <w:r w:rsidRPr="00B4372C">
              <w:rPr>
                <w:rFonts w:eastAsia="Cardo"/>
              </w:rPr>
              <w:t>Cold → PFC</w:t>
            </w:r>
          </w:p>
        </w:tc>
        <w:tc>
          <w:tcPr>
            <w:tcW w:w="1600" w:type="dxa"/>
            <w:tcMar>
              <w:top w:w="60" w:type="dxa"/>
              <w:left w:w="100" w:type="dxa"/>
              <w:bottom w:w="60" w:type="dxa"/>
              <w:right w:w="100" w:type="dxa"/>
            </w:tcMar>
          </w:tcPr>
          <w:p w14:paraId="14B546E2" w14:textId="77777777" w:rsidR="00813834" w:rsidRPr="00B4372C" w:rsidRDefault="00000000">
            <w:pPr>
              <w:jc w:val="center"/>
            </w:pPr>
            <w:r w:rsidRPr="00B4372C">
              <w:t>0.867</w:t>
            </w:r>
          </w:p>
        </w:tc>
        <w:tc>
          <w:tcPr>
            <w:tcW w:w="1900" w:type="dxa"/>
            <w:tcMar>
              <w:top w:w="60" w:type="dxa"/>
              <w:left w:w="100" w:type="dxa"/>
              <w:bottom w:w="60" w:type="dxa"/>
              <w:right w:w="100" w:type="dxa"/>
            </w:tcMar>
          </w:tcPr>
          <w:p w14:paraId="096D05BA" w14:textId="77777777" w:rsidR="00813834" w:rsidRPr="00B4372C" w:rsidRDefault="00000000">
            <w:pPr>
              <w:jc w:val="center"/>
            </w:pPr>
            <w:r w:rsidRPr="00B4372C">
              <w:t>1.000</w:t>
            </w:r>
          </w:p>
        </w:tc>
        <w:tc>
          <w:tcPr>
            <w:tcW w:w="1500" w:type="dxa"/>
            <w:tcMar>
              <w:top w:w="60" w:type="dxa"/>
              <w:left w:w="100" w:type="dxa"/>
              <w:bottom w:w="60" w:type="dxa"/>
              <w:right w:w="100" w:type="dxa"/>
            </w:tcMar>
          </w:tcPr>
          <w:p w14:paraId="368157D5" w14:textId="77777777" w:rsidR="00813834" w:rsidRPr="00B4372C" w:rsidRDefault="00000000">
            <w:pPr>
              <w:jc w:val="center"/>
            </w:pPr>
            <w:r w:rsidRPr="00B4372C">
              <w:t>0.890</w:t>
            </w:r>
          </w:p>
        </w:tc>
      </w:tr>
      <w:tr w:rsidR="00813834" w:rsidRPr="00B4372C" w14:paraId="4BC5343E" w14:textId="77777777">
        <w:trPr>
          <w:cantSplit/>
        </w:trPr>
        <w:tc>
          <w:tcPr>
            <w:tcW w:w="2600" w:type="dxa"/>
            <w:tcMar>
              <w:top w:w="60" w:type="dxa"/>
              <w:left w:w="100" w:type="dxa"/>
              <w:bottom w:w="60" w:type="dxa"/>
              <w:right w:w="100" w:type="dxa"/>
            </w:tcMar>
          </w:tcPr>
          <w:p w14:paraId="52678A1E" w14:textId="77777777" w:rsidR="00813834" w:rsidRPr="00B4372C" w:rsidRDefault="00000000">
            <w:r w:rsidRPr="00B4372C">
              <w:rPr>
                <w:rFonts w:eastAsia="Cardo"/>
              </w:rPr>
              <w:t>Heat → Limbic</w:t>
            </w:r>
          </w:p>
        </w:tc>
        <w:tc>
          <w:tcPr>
            <w:tcW w:w="1600" w:type="dxa"/>
            <w:tcMar>
              <w:top w:w="60" w:type="dxa"/>
              <w:left w:w="100" w:type="dxa"/>
              <w:bottom w:w="60" w:type="dxa"/>
              <w:right w:w="100" w:type="dxa"/>
            </w:tcMar>
          </w:tcPr>
          <w:p w14:paraId="692A7EC8" w14:textId="77777777" w:rsidR="00813834" w:rsidRPr="00B4372C" w:rsidRDefault="00000000">
            <w:pPr>
              <w:jc w:val="center"/>
            </w:pPr>
            <w:r w:rsidRPr="00B4372C">
              <w:t>0.616</w:t>
            </w:r>
          </w:p>
        </w:tc>
        <w:tc>
          <w:tcPr>
            <w:tcW w:w="1900" w:type="dxa"/>
            <w:tcMar>
              <w:top w:w="60" w:type="dxa"/>
              <w:left w:w="100" w:type="dxa"/>
              <w:bottom w:w="60" w:type="dxa"/>
              <w:right w:w="100" w:type="dxa"/>
            </w:tcMar>
          </w:tcPr>
          <w:p w14:paraId="1E4EAF5A" w14:textId="77777777" w:rsidR="00813834" w:rsidRPr="00B4372C" w:rsidRDefault="00000000">
            <w:pPr>
              <w:jc w:val="center"/>
            </w:pPr>
            <w:r w:rsidRPr="00B4372C">
              <w:t>1.000</w:t>
            </w:r>
          </w:p>
        </w:tc>
        <w:tc>
          <w:tcPr>
            <w:tcW w:w="1500" w:type="dxa"/>
            <w:tcMar>
              <w:top w:w="60" w:type="dxa"/>
              <w:left w:w="100" w:type="dxa"/>
              <w:bottom w:w="60" w:type="dxa"/>
              <w:right w:w="100" w:type="dxa"/>
            </w:tcMar>
          </w:tcPr>
          <w:p w14:paraId="4BA9CA5D" w14:textId="77777777" w:rsidR="00813834" w:rsidRPr="00B4372C" w:rsidRDefault="00000000">
            <w:pPr>
              <w:jc w:val="center"/>
            </w:pPr>
            <w:r w:rsidRPr="00B4372C">
              <w:t>0.890</w:t>
            </w:r>
          </w:p>
        </w:tc>
      </w:tr>
      <w:tr w:rsidR="00813834" w:rsidRPr="00B4372C" w14:paraId="1B9EE65F" w14:textId="77777777">
        <w:trPr>
          <w:cantSplit/>
        </w:trPr>
        <w:tc>
          <w:tcPr>
            <w:tcW w:w="2600" w:type="dxa"/>
            <w:tcMar>
              <w:top w:w="60" w:type="dxa"/>
              <w:left w:w="100" w:type="dxa"/>
              <w:bottom w:w="60" w:type="dxa"/>
              <w:right w:w="100" w:type="dxa"/>
            </w:tcMar>
          </w:tcPr>
          <w:p w14:paraId="6771FBEC" w14:textId="77777777" w:rsidR="00813834" w:rsidRPr="00B4372C" w:rsidRDefault="00000000">
            <w:r w:rsidRPr="00B4372C">
              <w:rPr>
                <w:rFonts w:eastAsia="Cardo"/>
              </w:rPr>
              <w:t>Cold → Limbic</w:t>
            </w:r>
          </w:p>
        </w:tc>
        <w:tc>
          <w:tcPr>
            <w:tcW w:w="1600" w:type="dxa"/>
            <w:tcMar>
              <w:top w:w="60" w:type="dxa"/>
              <w:left w:w="100" w:type="dxa"/>
              <w:bottom w:w="60" w:type="dxa"/>
              <w:right w:w="100" w:type="dxa"/>
            </w:tcMar>
          </w:tcPr>
          <w:p w14:paraId="1ADA7EED" w14:textId="77777777" w:rsidR="00813834" w:rsidRPr="00B4372C" w:rsidRDefault="00000000">
            <w:pPr>
              <w:jc w:val="center"/>
            </w:pPr>
            <w:r w:rsidRPr="00B4372C">
              <w:t>0.890</w:t>
            </w:r>
          </w:p>
        </w:tc>
        <w:tc>
          <w:tcPr>
            <w:tcW w:w="1900" w:type="dxa"/>
            <w:tcMar>
              <w:top w:w="60" w:type="dxa"/>
              <w:left w:w="100" w:type="dxa"/>
              <w:bottom w:w="60" w:type="dxa"/>
              <w:right w:w="100" w:type="dxa"/>
            </w:tcMar>
          </w:tcPr>
          <w:p w14:paraId="4B441D0B" w14:textId="77777777" w:rsidR="00813834" w:rsidRPr="00B4372C" w:rsidRDefault="00000000">
            <w:pPr>
              <w:jc w:val="center"/>
            </w:pPr>
            <w:r w:rsidRPr="00B4372C">
              <w:t>1.000</w:t>
            </w:r>
          </w:p>
        </w:tc>
        <w:tc>
          <w:tcPr>
            <w:tcW w:w="1500" w:type="dxa"/>
            <w:tcMar>
              <w:top w:w="60" w:type="dxa"/>
              <w:left w:w="100" w:type="dxa"/>
              <w:bottom w:w="60" w:type="dxa"/>
              <w:right w:w="100" w:type="dxa"/>
            </w:tcMar>
          </w:tcPr>
          <w:p w14:paraId="0F1B0BC3" w14:textId="77777777" w:rsidR="00813834" w:rsidRPr="00B4372C" w:rsidRDefault="00000000">
            <w:pPr>
              <w:jc w:val="center"/>
            </w:pPr>
            <w:r w:rsidRPr="00B4372C">
              <w:t>0.890</w:t>
            </w:r>
          </w:p>
        </w:tc>
      </w:tr>
    </w:tbl>
    <w:p w14:paraId="39F89CA2" w14:textId="77777777" w:rsidR="00813834" w:rsidRPr="00B4372C" w:rsidRDefault="00000000">
      <w:pPr>
        <w:spacing w:after="240" w:line="276" w:lineRule="auto"/>
      </w:pPr>
      <w:r w:rsidRPr="00B4372C">
        <w:rPr>
          <w:sz w:val="24"/>
          <w:szCs w:val="24"/>
        </w:rPr>
        <w:t>None of the four exposure-outcome comparisons came close to significance even before correction, so this step does not change our conclusions. We report it for completeness and because it was part of our planned analysis pipeline (Section 2.5).</w:t>
      </w:r>
    </w:p>
    <w:p w14:paraId="119DCFB1" w14:textId="77777777" w:rsidR="00813834" w:rsidRPr="00B4372C" w:rsidRDefault="00000000">
      <w:pPr>
        <w:spacing w:before="280" w:after="200" w:line="276" w:lineRule="auto"/>
      </w:pPr>
      <w:r w:rsidRPr="00B4372C">
        <w:rPr>
          <w:b/>
          <w:bCs/>
          <w:sz w:val="24"/>
          <w:szCs w:val="24"/>
        </w:rPr>
        <w:t xml:space="preserve">3.10 </w:t>
      </w:r>
      <w:r w:rsidRPr="00B4372C">
        <w:rPr>
          <w:i/>
          <w:iCs/>
          <w:sz w:val="24"/>
          <w:szCs w:val="24"/>
        </w:rPr>
        <w:t>Anchor-Year Sensitivity Analysis</w:t>
      </w:r>
    </w:p>
    <w:p w14:paraId="6E356ECC" w14:textId="77777777" w:rsidR="00813834" w:rsidRPr="00B4372C" w:rsidRDefault="00000000">
      <w:pPr>
        <w:spacing w:after="240" w:line="276" w:lineRule="auto"/>
      </w:pPr>
      <w:r w:rsidRPr="00B4372C">
        <w:rPr>
          <w:sz w:val="24"/>
          <w:szCs w:val="24"/>
        </w:rPr>
        <w:t>We varied the SCAN_ANCHOR_YEAR assumption (Section 2.4) across 2011–2015. Table 5 shows the result for each assumed year.</w:t>
      </w:r>
    </w:p>
    <w:p w14:paraId="12E87C7A" w14:textId="77777777" w:rsidR="00813834" w:rsidRPr="00B4372C" w:rsidRDefault="00000000">
      <w:pPr>
        <w:spacing w:before="200" w:after="120" w:line="276" w:lineRule="auto"/>
      </w:pPr>
      <w:r w:rsidRPr="00B4372C">
        <w:rPr>
          <w:b/>
          <w:bCs/>
          <w:sz w:val="24"/>
          <w:szCs w:val="24"/>
        </w:rPr>
        <w:t xml:space="preserve">Table 5. </w:t>
      </w:r>
      <w:r w:rsidRPr="00B4372C">
        <w:rPr>
          <w:sz w:val="24"/>
          <w:szCs w:val="24"/>
        </w:rPr>
        <w:t>Cold- and heat-stress association with PFC connectivity across assumed scan-anchor years.</w:t>
      </w:r>
    </w:p>
    <w:tbl>
      <w:tblPr>
        <w:tblStyle w:val="a3"/>
        <w:tblW w:w="8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1500"/>
        <w:gridCol w:w="1200"/>
        <w:gridCol w:w="1500"/>
        <w:gridCol w:w="1200"/>
      </w:tblGrid>
      <w:tr w:rsidR="00813834" w:rsidRPr="00B4372C" w14:paraId="5671028F" w14:textId="77777777">
        <w:trPr>
          <w:cantSplit/>
          <w:tblHeader/>
        </w:trPr>
        <w:tc>
          <w:tcPr>
            <w:tcW w:w="2600" w:type="dxa"/>
            <w:shd w:val="clear" w:color="auto" w:fill="E8E8E8"/>
            <w:tcMar>
              <w:top w:w="60" w:type="dxa"/>
              <w:left w:w="100" w:type="dxa"/>
              <w:bottom w:w="60" w:type="dxa"/>
              <w:right w:w="100" w:type="dxa"/>
            </w:tcMar>
          </w:tcPr>
          <w:p w14:paraId="7BFC0B3D" w14:textId="77777777" w:rsidR="00813834" w:rsidRPr="00B4372C" w:rsidRDefault="00000000">
            <w:r w:rsidRPr="00B4372C">
              <w:rPr>
                <w:b/>
                <w:bCs/>
              </w:rPr>
              <w:lastRenderedPageBreak/>
              <w:t>Anchor year</w:t>
            </w:r>
          </w:p>
        </w:tc>
        <w:tc>
          <w:tcPr>
            <w:tcW w:w="1500" w:type="dxa"/>
            <w:shd w:val="clear" w:color="auto" w:fill="E8E8E8"/>
            <w:tcMar>
              <w:top w:w="60" w:type="dxa"/>
              <w:left w:w="100" w:type="dxa"/>
              <w:bottom w:w="60" w:type="dxa"/>
              <w:right w:w="100" w:type="dxa"/>
            </w:tcMar>
          </w:tcPr>
          <w:p w14:paraId="0F4828D6" w14:textId="77777777" w:rsidR="00813834" w:rsidRPr="00B4372C" w:rsidRDefault="00000000">
            <w:r w:rsidRPr="00B4372C">
              <w:rPr>
                <w:b/>
                <w:bCs/>
              </w:rPr>
              <w:t>Cold β</w:t>
            </w:r>
          </w:p>
        </w:tc>
        <w:tc>
          <w:tcPr>
            <w:tcW w:w="1200" w:type="dxa"/>
            <w:shd w:val="clear" w:color="auto" w:fill="E8E8E8"/>
            <w:tcMar>
              <w:top w:w="60" w:type="dxa"/>
              <w:left w:w="100" w:type="dxa"/>
              <w:bottom w:w="60" w:type="dxa"/>
              <w:right w:w="100" w:type="dxa"/>
            </w:tcMar>
          </w:tcPr>
          <w:p w14:paraId="5E534F04" w14:textId="77777777" w:rsidR="00813834" w:rsidRPr="00B4372C" w:rsidRDefault="00000000">
            <w:r w:rsidRPr="00B4372C">
              <w:rPr>
                <w:b/>
                <w:bCs/>
              </w:rPr>
              <w:t>Cold p</w:t>
            </w:r>
          </w:p>
        </w:tc>
        <w:tc>
          <w:tcPr>
            <w:tcW w:w="1500" w:type="dxa"/>
            <w:shd w:val="clear" w:color="auto" w:fill="E8E8E8"/>
            <w:tcMar>
              <w:top w:w="60" w:type="dxa"/>
              <w:left w:w="100" w:type="dxa"/>
              <w:bottom w:w="60" w:type="dxa"/>
              <w:right w:w="100" w:type="dxa"/>
            </w:tcMar>
          </w:tcPr>
          <w:p w14:paraId="3D0B2BEA" w14:textId="77777777" w:rsidR="00813834" w:rsidRPr="00B4372C" w:rsidRDefault="00000000">
            <w:r w:rsidRPr="00B4372C">
              <w:rPr>
                <w:b/>
                <w:bCs/>
              </w:rPr>
              <w:t>Heat β</w:t>
            </w:r>
          </w:p>
        </w:tc>
        <w:tc>
          <w:tcPr>
            <w:tcW w:w="1200" w:type="dxa"/>
            <w:shd w:val="clear" w:color="auto" w:fill="E8E8E8"/>
            <w:tcMar>
              <w:top w:w="60" w:type="dxa"/>
              <w:left w:w="100" w:type="dxa"/>
              <w:bottom w:w="60" w:type="dxa"/>
              <w:right w:w="100" w:type="dxa"/>
            </w:tcMar>
          </w:tcPr>
          <w:p w14:paraId="70A07337" w14:textId="77777777" w:rsidR="00813834" w:rsidRPr="00B4372C" w:rsidRDefault="00000000">
            <w:r w:rsidRPr="00B4372C">
              <w:rPr>
                <w:b/>
                <w:bCs/>
              </w:rPr>
              <w:t>Heat p</w:t>
            </w:r>
          </w:p>
        </w:tc>
      </w:tr>
      <w:tr w:rsidR="00813834" w:rsidRPr="00B4372C" w14:paraId="42A7746E" w14:textId="77777777">
        <w:trPr>
          <w:cantSplit/>
        </w:trPr>
        <w:tc>
          <w:tcPr>
            <w:tcW w:w="2600" w:type="dxa"/>
            <w:tcMar>
              <w:top w:w="60" w:type="dxa"/>
              <w:left w:w="100" w:type="dxa"/>
              <w:bottom w:w="60" w:type="dxa"/>
              <w:right w:w="100" w:type="dxa"/>
            </w:tcMar>
          </w:tcPr>
          <w:p w14:paraId="487C1246" w14:textId="77777777" w:rsidR="00813834" w:rsidRPr="00B4372C" w:rsidRDefault="00000000">
            <w:r w:rsidRPr="00B4372C">
              <w:t>2011</w:t>
            </w:r>
          </w:p>
        </w:tc>
        <w:tc>
          <w:tcPr>
            <w:tcW w:w="1500" w:type="dxa"/>
            <w:tcMar>
              <w:top w:w="60" w:type="dxa"/>
              <w:left w:w="100" w:type="dxa"/>
              <w:bottom w:w="60" w:type="dxa"/>
              <w:right w:w="100" w:type="dxa"/>
            </w:tcMar>
          </w:tcPr>
          <w:p w14:paraId="5AD5D79A" w14:textId="77777777" w:rsidR="00813834" w:rsidRPr="00B4372C" w:rsidRDefault="00000000">
            <w:pPr>
              <w:jc w:val="center"/>
            </w:pPr>
            <w:r w:rsidRPr="00B4372C">
              <w:t>+0.0016</w:t>
            </w:r>
          </w:p>
        </w:tc>
        <w:tc>
          <w:tcPr>
            <w:tcW w:w="1200" w:type="dxa"/>
            <w:tcMar>
              <w:top w:w="60" w:type="dxa"/>
              <w:left w:w="100" w:type="dxa"/>
              <w:bottom w:w="60" w:type="dxa"/>
              <w:right w:w="100" w:type="dxa"/>
            </w:tcMar>
          </w:tcPr>
          <w:p w14:paraId="58BD166C" w14:textId="77777777" w:rsidR="00813834" w:rsidRPr="00B4372C" w:rsidRDefault="00000000">
            <w:pPr>
              <w:jc w:val="center"/>
            </w:pPr>
            <w:r w:rsidRPr="00B4372C">
              <w:t>0.143</w:t>
            </w:r>
          </w:p>
        </w:tc>
        <w:tc>
          <w:tcPr>
            <w:tcW w:w="1500" w:type="dxa"/>
            <w:tcMar>
              <w:top w:w="60" w:type="dxa"/>
              <w:left w:w="100" w:type="dxa"/>
              <w:bottom w:w="60" w:type="dxa"/>
              <w:right w:w="100" w:type="dxa"/>
            </w:tcMar>
          </w:tcPr>
          <w:p w14:paraId="69120127" w14:textId="77777777" w:rsidR="00813834" w:rsidRPr="00B4372C" w:rsidRDefault="00000000">
            <w:pPr>
              <w:jc w:val="center"/>
            </w:pPr>
            <w:r w:rsidRPr="00B4372C">
              <w:t>+0.0010</w:t>
            </w:r>
          </w:p>
        </w:tc>
        <w:tc>
          <w:tcPr>
            <w:tcW w:w="1200" w:type="dxa"/>
            <w:tcMar>
              <w:top w:w="60" w:type="dxa"/>
              <w:left w:w="100" w:type="dxa"/>
              <w:bottom w:w="60" w:type="dxa"/>
              <w:right w:w="100" w:type="dxa"/>
            </w:tcMar>
          </w:tcPr>
          <w:p w14:paraId="72C31FCA" w14:textId="77777777" w:rsidR="00813834" w:rsidRPr="00B4372C" w:rsidRDefault="00000000">
            <w:pPr>
              <w:jc w:val="center"/>
            </w:pPr>
            <w:r w:rsidRPr="00B4372C">
              <w:t>0.041</w:t>
            </w:r>
          </w:p>
        </w:tc>
      </w:tr>
      <w:tr w:rsidR="00813834" w:rsidRPr="00B4372C" w14:paraId="0715DB3D" w14:textId="77777777">
        <w:trPr>
          <w:cantSplit/>
        </w:trPr>
        <w:tc>
          <w:tcPr>
            <w:tcW w:w="2600" w:type="dxa"/>
            <w:tcMar>
              <w:top w:w="60" w:type="dxa"/>
              <w:left w:w="100" w:type="dxa"/>
              <w:bottom w:w="60" w:type="dxa"/>
              <w:right w:w="100" w:type="dxa"/>
            </w:tcMar>
          </w:tcPr>
          <w:p w14:paraId="2D2A771B" w14:textId="77777777" w:rsidR="00813834" w:rsidRPr="00B4372C" w:rsidRDefault="00000000">
            <w:r w:rsidRPr="00B4372C">
              <w:t>2012</w:t>
            </w:r>
          </w:p>
        </w:tc>
        <w:tc>
          <w:tcPr>
            <w:tcW w:w="1500" w:type="dxa"/>
            <w:tcMar>
              <w:top w:w="60" w:type="dxa"/>
              <w:left w:w="100" w:type="dxa"/>
              <w:bottom w:w="60" w:type="dxa"/>
              <w:right w:w="100" w:type="dxa"/>
            </w:tcMar>
          </w:tcPr>
          <w:p w14:paraId="512803CD" w14:textId="77777777" w:rsidR="00813834" w:rsidRPr="00B4372C" w:rsidRDefault="00000000">
            <w:pPr>
              <w:jc w:val="center"/>
            </w:pPr>
            <w:r w:rsidRPr="00B4372C">
              <w:t>+0.0017</w:t>
            </w:r>
          </w:p>
        </w:tc>
        <w:tc>
          <w:tcPr>
            <w:tcW w:w="1200" w:type="dxa"/>
            <w:tcMar>
              <w:top w:w="60" w:type="dxa"/>
              <w:left w:w="100" w:type="dxa"/>
              <w:bottom w:w="60" w:type="dxa"/>
              <w:right w:w="100" w:type="dxa"/>
            </w:tcMar>
          </w:tcPr>
          <w:p w14:paraId="0726A3C5" w14:textId="77777777" w:rsidR="00813834" w:rsidRPr="00B4372C" w:rsidRDefault="00000000">
            <w:pPr>
              <w:jc w:val="center"/>
            </w:pPr>
            <w:r w:rsidRPr="00B4372C">
              <w:t>0.155</w:t>
            </w:r>
          </w:p>
        </w:tc>
        <w:tc>
          <w:tcPr>
            <w:tcW w:w="1500" w:type="dxa"/>
            <w:tcMar>
              <w:top w:w="60" w:type="dxa"/>
              <w:left w:w="100" w:type="dxa"/>
              <w:bottom w:w="60" w:type="dxa"/>
              <w:right w:w="100" w:type="dxa"/>
            </w:tcMar>
          </w:tcPr>
          <w:p w14:paraId="70657D4D" w14:textId="77777777" w:rsidR="00813834" w:rsidRPr="00B4372C" w:rsidRDefault="00000000">
            <w:pPr>
              <w:jc w:val="center"/>
            </w:pPr>
            <w:r w:rsidRPr="00B4372C">
              <w:t>+0.0007</w:t>
            </w:r>
          </w:p>
        </w:tc>
        <w:tc>
          <w:tcPr>
            <w:tcW w:w="1200" w:type="dxa"/>
            <w:tcMar>
              <w:top w:w="60" w:type="dxa"/>
              <w:left w:w="100" w:type="dxa"/>
              <w:bottom w:w="60" w:type="dxa"/>
              <w:right w:w="100" w:type="dxa"/>
            </w:tcMar>
          </w:tcPr>
          <w:p w14:paraId="0084F0C8" w14:textId="77777777" w:rsidR="00813834" w:rsidRPr="00B4372C" w:rsidRDefault="00000000">
            <w:pPr>
              <w:jc w:val="center"/>
            </w:pPr>
            <w:r w:rsidRPr="00B4372C">
              <w:t>0.166</w:t>
            </w:r>
          </w:p>
        </w:tc>
      </w:tr>
      <w:tr w:rsidR="00813834" w:rsidRPr="00B4372C" w14:paraId="0EE5C129" w14:textId="77777777">
        <w:trPr>
          <w:cantSplit/>
        </w:trPr>
        <w:tc>
          <w:tcPr>
            <w:tcW w:w="2600" w:type="dxa"/>
            <w:tcMar>
              <w:top w:w="60" w:type="dxa"/>
              <w:left w:w="100" w:type="dxa"/>
              <w:bottom w:w="60" w:type="dxa"/>
              <w:right w:w="100" w:type="dxa"/>
            </w:tcMar>
          </w:tcPr>
          <w:p w14:paraId="6C885793" w14:textId="77777777" w:rsidR="00813834" w:rsidRPr="00B4372C" w:rsidRDefault="00000000">
            <w:r w:rsidRPr="00B4372C">
              <w:t>2013</w:t>
            </w:r>
          </w:p>
        </w:tc>
        <w:tc>
          <w:tcPr>
            <w:tcW w:w="1500" w:type="dxa"/>
            <w:tcMar>
              <w:top w:w="60" w:type="dxa"/>
              <w:left w:w="100" w:type="dxa"/>
              <w:bottom w:w="60" w:type="dxa"/>
              <w:right w:w="100" w:type="dxa"/>
            </w:tcMar>
          </w:tcPr>
          <w:p w14:paraId="45949262" w14:textId="77777777" w:rsidR="00813834" w:rsidRPr="00B4372C" w:rsidRDefault="00000000">
            <w:pPr>
              <w:jc w:val="center"/>
            </w:pPr>
            <w:r w:rsidRPr="00B4372C">
              <w:t>+0.0003</w:t>
            </w:r>
          </w:p>
        </w:tc>
        <w:tc>
          <w:tcPr>
            <w:tcW w:w="1200" w:type="dxa"/>
            <w:tcMar>
              <w:top w:w="60" w:type="dxa"/>
              <w:left w:w="100" w:type="dxa"/>
              <w:bottom w:w="60" w:type="dxa"/>
              <w:right w:w="100" w:type="dxa"/>
            </w:tcMar>
          </w:tcPr>
          <w:p w14:paraId="6FC09217" w14:textId="77777777" w:rsidR="00813834" w:rsidRPr="00B4372C" w:rsidRDefault="00000000">
            <w:pPr>
              <w:jc w:val="center"/>
            </w:pPr>
            <w:r w:rsidRPr="00B4372C">
              <w:t>0.775</w:t>
            </w:r>
          </w:p>
        </w:tc>
        <w:tc>
          <w:tcPr>
            <w:tcW w:w="1500" w:type="dxa"/>
            <w:tcMar>
              <w:top w:w="60" w:type="dxa"/>
              <w:left w:w="100" w:type="dxa"/>
              <w:bottom w:w="60" w:type="dxa"/>
              <w:right w:w="100" w:type="dxa"/>
            </w:tcMar>
          </w:tcPr>
          <w:p w14:paraId="49B16A0D" w14:textId="77777777" w:rsidR="00813834" w:rsidRPr="00B4372C" w:rsidRDefault="00000000">
            <w:pPr>
              <w:jc w:val="center"/>
            </w:pPr>
            <w:r w:rsidRPr="00B4372C">
              <w:t>+0.0001</w:t>
            </w:r>
          </w:p>
        </w:tc>
        <w:tc>
          <w:tcPr>
            <w:tcW w:w="1200" w:type="dxa"/>
            <w:tcMar>
              <w:top w:w="60" w:type="dxa"/>
              <w:left w:w="100" w:type="dxa"/>
              <w:bottom w:w="60" w:type="dxa"/>
              <w:right w:w="100" w:type="dxa"/>
            </w:tcMar>
          </w:tcPr>
          <w:p w14:paraId="363E4B91" w14:textId="77777777" w:rsidR="00813834" w:rsidRPr="00B4372C" w:rsidRDefault="00000000">
            <w:pPr>
              <w:jc w:val="center"/>
            </w:pPr>
            <w:r w:rsidRPr="00B4372C">
              <w:t>0.873</w:t>
            </w:r>
          </w:p>
        </w:tc>
      </w:tr>
      <w:tr w:rsidR="00813834" w:rsidRPr="00B4372C" w14:paraId="24D80A5F" w14:textId="77777777">
        <w:trPr>
          <w:cantSplit/>
        </w:trPr>
        <w:tc>
          <w:tcPr>
            <w:tcW w:w="2600" w:type="dxa"/>
            <w:tcMar>
              <w:top w:w="60" w:type="dxa"/>
              <w:left w:w="100" w:type="dxa"/>
              <w:bottom w:w="60" w:type="dxa"/>
              <w:right w:w="100" w:type="dxa"/>
            </w:tcMar>
          </w:tcPr>
          <w:p w14:paraId="1F300050" w14:textId="77777777" w:rsidR="00813834" w:rsidRPr="00B4372C" w:rsidRDefault="00000000">
            <w:r w:rsidRPr="00B4372C">
              <w:t>2014</w:t>
            </w:r>
          </w:p>
        </w:tc>
        <w:tc>
          <w:tcPr>
            <w:tcW w:w="1500" w:type="dxa"/>
            <w:tcMar>
              <w:top w:w="60" w:type="dxa"/>
              <w:left w:w="100" w:type="dxa"/>
              <w:bottom w:w="60" w:type="dxa"/>
              <w:right w:w="100" w:type="dxa"/>
            </w:tcMar>
          </w:tcPr>
          <w:p w14:paraId="0F88BC4E" w14:textId="77777777" w:rsidR="00813834" w:rsidRPr="00B4372C" w:rsidRDefault="00000000">
            <w:pPr>
              <w:jc w:val="center"/>
            </w:pPr>
            <w:r w:rsidRPr="00B4372C">
              <w:rPr>
                <w:rFonts w:eastAsia="Gungsuh"/>
              </w:rPr>
              <w:t>−0.0009</w:t>
            </w:r>
          </w:p>
        </w:tc>
        <w:tc>
          <w:tcPr>
            <w:tcW w:w="1200" w:type="dxa"/>
            <w:tcMar>
              <w:top w:w="60" w:type="dxa"/>
              <w:left w:w="100" w:type="dxa"/>
              <w:bottom w:w="60" w:type="dxa"/>
              <w:right w:w="100" w:type="dxa"/>
            </w:tcMar>
          </w:tcPr>
          <w:p w14:paraId="0BACBB81" w14:textId="77777777" w:rsidR="00813834" w:rsidRPr="00B4372C" w:rsidRDefault="00000000">
            <w:pPr>
              <w:jc w:val="center"/>
            </w:pPr>
            <w:r w:rsidRPr="00B4372C">
              <w:t>0.400</w:t>
            </w:r>
          </w:p>
        </w:tc>
        <w:tc>
          <w:tcPr>
            <w:tcW w:w="1500" w:type="dxa"/>
            <w:tcMar>
              <w:top w:w="60" w:type="dxa"/>
              <w:left w:w="100" w:type="dxa"/>
              <w:bottom w:w="60" w:type="dxa"/>
              <w:right w:w="100" w:type="dxa"/>
            </w:tcMar>
          </w:tcPr>
          <w:p w14:paraId="7CA1FC0E" w14:textId="77777777" w:rsidR="00813834" w:rsidRPr="00B4372C" w:rsidRDefault="00000000">
            <w:pPr>
              <w:jc w:val="center"/>
            </w:pPr>
            <w:r w:rsidRPr="00B4372C">
              <w:rPr>
                <w:rFonts w:eastAsia="Gungsuh"/>
              </w:rPr>
              <w:t>−0.0004</w:t>
            </w:r>
          </w:p>
        </w:tc>
        <w:tc>
          <w:tcPr>
            <w:tcW w:w="1200" w:type="dxa"/>
            <w:tcMar>
              <w:top w:w="60" w:type="dxa"/>
              <w:left w:w="100" w:type="dxa"/>
              <w:bottom w:w="60" w:type="dxa"/>
              <w:right w:w="100" w:type="dxa"/>
            </w:tcMar>
          </w:tcPr>
          <w:p w14:paraId="6D4FAE21" w14:textId="77777777" w:rsidR="00813834" w:rsidRPr="00B4372C" w:rsidRDefault="00000000">
            <w:pPr>
              <w:jc w:val="center"/>
            </w:pPr>
            <w:r w:rsidRPr="00B4372C">
              <w:t>0.267</w:t>
            </w:r>
          </w:p>
        </w:tc>
      </w:tr>
      <w:tr w:rsidR="00813834" w:rsidRPr="00B4372C" w14:paraId="412F4A77" w14:textId="77777777">
        <w:trPr>
          <w:cantSplit/>
        </w:trPr>
        <w:tc>
          <w:tcPr>
            <w:tcW w:w="2600" w:type="dxa"/>
            <w:tcMar>
              <w:top w:w="60" w:type="dxa"/>
              <w:left w:w="100" w:type="dxa"/>
              <w:bottom w:w="60" w:type="dxa"/>
              <w:right w:w="100" w:type="dxa"/>
            </w:tcMar>
          </w:tcPr>
          <w:p w14:paraId="0F12A506" w14:textId="77777777" w:rsidR="00813834" w:rsidRPr="00B4372C" w:rsidRDefault="00000000">
            <w:r w:rsidRPr="00B4372C">
              <w:t>2015 (used above)</w:t>
            </w:r>
          </w:p>
        </w:tc>
        <w:tc>
          <w:tcPr>
            <w:tcW w:w="1500" w:type="dxa"/>
            <w:tcMar>
              <w:top w:w="60" w:type="dxa"/>
              <w:left w:w="100" w:type="dxa"/>
              <w:bottom w:w="60" w:type="dxa"/>
              <w:right w:w="100" w:type="dxa"/>
            </w:tcMar>
          </w:tcPr>
          <w:p w14:paraId="595187BB" w14:textId="77777777" w:rsidR="00813834" w:rsidRPr="00B4372C" w:rsidRDefault="00000000">
            <w:pPr>
              <w:jc w:val="center"/>
            </w:pPr>
            <w:r w:rsidRPr="00B4372C">
              <w:rPr>
                <w:rFonts w:eastAsia="Gungsuh"/>
              </w:rPr>
              <w:t>−0.0002</w:t>
            </w:r>
          </w:p>
        </w:tc>
        <w:tc>
          <w:tcPr>
            <w:tcW w:w="1200" w:type="dxa"/>
            <w:tcMar>
              <w:top w:w="60" w:type="dxa"/>
              <w:left w:w="100" w:type="dxa"/>
              <w:bottom w:w="60" w:type="dxa"/>
              <w:right w:w="100" w:type="dxa"/>
            </w:tcMar>
          </w:tcPr>
          <w:p w14:paraId="27D105C0" w14:textId="77777777" w:rsidR="00813834" w:rsidRPr="00B4372C" w:rsidRDefault="00000000">
            <w:pPr>
              <w:jc w:val="center"/>
            </w:pPr>
            <w:r w:rsidRPr="00B4372C">
              <w:t>0.867</w:t>
            </w:r>
          </w:p>
        </w:tc>
        <w:tc>
          <w:tcPr>
            <w:tcW w:w="1500" w:type="dxa"/>
            <w:tcMar>
              <w:top w:w="60" w:type="dxa"/>
              <w:left w:w="100" w:type="dxa"/>
              <w:bottom w:w="60" w:type="dxa"/>
              <w:right w:w="100" w:type="dxa"/>
            </w:tcMar>
          </w:tcPr>
          <w:p w14:paraId="18D6510C" w14:textId="77777777" w:rsidR="00813834" w:rsidRPr="00B4372C" w:rsidRDefault="00000000">
            <w:pPr>
              <w:jc w:val="center"/>
            </w:pPr>
            <w:r w:rsidRPr="00B4372C">
              <w:t>+0.0003</w:t>
            </w:r>
          </w:p>
        </w:tc>
        <w:tc>
          <w:tcPr>
            <w:tcW w:w="1200" w:type="dxa"/>
            <w:tcMar>
              <w:top w:w="60" w:type="dxa"/>
              <w:left w:w="100" w:type="dxa"/>
              <w:bottom w:w="60" w:type="dxa"/>
              <w:right w:w="100" w:type="dxa"/>
            </w:tcMar>
          </w:tcPr>
          <w:p w14:paraId="70EFF8F9" w14:textId="77777777" w:rsidR="00813834" w:rsidRPr="00B4372C" w:rsidRDefault="00000000">
            <w:pPr>
              <w:jc w:val="center"/>
            </w:pPr>
            <w:r w:rsidRPr="00B4372C">
              <w:t>0.402</w:t>
            </w:r>
          </w:p>
        </w:tc>
      </w:tr>
    </w:tbl>
    <w:p w14:paraId="4E48812F" w14:textId="77777777" w:rsidR="00813834" w:rsidRPr="00B4372C" w:rsidRDefault="00000000">
      <w:pPr>
        <w:spacing w:after="240" w:line="276" w:lineRule="auto"/>
      </w:pPr>
      <w:r w:rsidRPr="00B4372C">
        <w:rPr>
          <w:sz w:val="24"/>
          <w:szCs w:val="24"/>
        </w:rPr>
        <w:t>Across the 10 exposure-by-anchor-year combinations we tested, only one (heat stress at anchor year 2011, p = 0.041) reached conventional significance. This is close to the number we would expect from chance alone at α = 0.05 (0.05 × 10 = 0.5 expected false positives), and it is not the same exposure or direction as the coefficient that looked nominally significant during pipeline development with placeholder data (see Section 4). The cold-stress coefficient was never significant at any tested anchor year, and it even changed sign twice across the range (positive in 2011–2013, negative in 2014–2015), which fits with noise rather than a real trend. Figure 2 shows this pattern.</w:t>
      </w:r>
    </w:p>
    <w:p w14:paraId="4E90CCA1" w14:textId="77777777" w:rsidR="00813834" w:rsidRPr="00B4372C" w:rsidRDefault="00000000">
      <w:pPr>
        <w:spacing w:before="360" w:after="240" w:line="276" w:lineRule="auto"/>
      </w:pPr>
      <w:r w:rsidRPr="00B4372C">
        <w:rPr>
          <w:b/>
          <w:bCs/>
          <w:sz w:val="24"/>
          <w:szCs w:val="24"/>
        </w:rPr>
        <w:t>4. Discussion</w:t>
      </w:r>
    </w:p>
    <w:p w14:paraId="24070D30" w14:textId="77777777" w:rsidR="00813834" w:rsidRPr="00B4372C" w:rsidRDefault="00000000">
      <w:pPr>
        <w:spacing w:after="240" w:line="276" w:lineRule="auto"/>
      </w:pPr>
      <w:r w:rsidRPr="00B4372C">
        <w:rPr>
          <w:rFonts w:eastAsia="Gungsuh"/>
          <w:sz w:val="24"/>
          <w:szCs w:val="24"/>
        </w:rPr>
        <w:t>Using an exploratory approach, we found no association between reconstructed childhood heat or cold stress and adult PFC or limbic connectivity, in the main model or in any of the eight further checks (Sections 3.4 through 3.10). This null result held up whether we tested exposures alone or together, under an alternative connectivity definition, under heteroskedasticity-robust and permutation-based inference, after multiple-comparison correction, and across a five-year range of assumed scan dates. The adjusted R² values in both main models (Section 3.3) were close to zero (PFC: 0.004; Limbic: −0.003), showing that the fitted models gave little to no explanatory improvement over a model with no predictors at all. Given our limited sample size, however, this and the other null results above do not by themselves prove that no small or moderate true association exists. We return to this point in Section 5.</w:t>
      </w:r>
    </w:p>
    <w:p w14:paraId="3D91B5F7" w14:textId="77777777" w:rsidR="00813834" w:rsidRPr="00B4372C" w:rsidRDefault="00000000">
      <w:pPr>
        <w:spacing w:after="240" w:line="276" w:lineRule="auto"/>
      </w:pPr>
      <w:r w:rsidRPr="00B4372C">
        <w:rPr>
          <w:rFonts w:eastAsia="Cardo"/>
          <w:sz w:val="24"/>
          <w:szCs w:val="24"/>
        </w:rPr>
        <w:t>This straightforward null result was not, however, our first result, and we think the story behind it is worth telling in full. While building this analysis pipeline, before we had obtained the verified Prague–</w:t>
      </w:r>
      <w:proofErr w:type="spellStart"/>
      <w:r w:rsidRPr="00B4372C">
        <w:rPr>
          <w:rFonts w:eastAsia="Cardo"/>
          <w:sz w:val="24"/>
          <w:szCs w:val="24"/>
        </w:rPr>
        <w:t>Klementinum</w:t>
      </w:r>
      <w:proofErr w:type="spellEnd"/>
      <w:r w:rsidRPr="00B4372C">
        <w:rPr>
          <w:rFonts w:eastAsia="Cardo"/>
          <w:sz w:val="24"/>
          <w:szCs w:val="24"/>
        </w:rPr>
        <w:t xml:space="preserve"> record (Section 2.4), we tested the same models against a placeholder temperature series that we built by hand to have a plausible-looking long-term warming trend, just to check that the code worked. That placeholder series produced a nominally significant cold-stress association with PFC connectivity (β = −0.0040, p = 0.023, uncorrected), which is what led us to build the full set of sensitivity checks reported in this paper's methods. Every one of those checks, including the age-period-cohort diagnostics, the alternative connectivity definition, the multiple-comparison correction, and the anchor-year sensitivity analysis, already gave us reasons to distrust that placeholder-based association well before we had the real data to test it against. It did not survive multiple-comparison correction, it weakened under a zero-inclusive connectivity definition, and it was significant in only 2 of 5 tested anchor years. When we later obtained and substituted the real, verified 250-year </w:t>
      </w:r>
      <w:proofErr w:type="spellStart"/>
      <w:r w:rsidRPr="00B4372C">
        <w:rPr>
          <w:rFonts w:eastAsia="Cardo"/>
          <w:sz w:val="24"/>
          <w:szCs w:val="24"/>
        </w:rPr>
        <w:t>Klementinum</w:t>
      </w:r>
      <w:proofErr w:type="spellEnd"/>
      <w:r w:rsidRPr="00B4372C">
        <w:rPr>
          <w:rFonts w:eastAsia="Cardo"/>
          <w:sz w:val="24"/>
          <w:szCs w:val="24"/>
        </w:rPr>
        <w:t xml:space="preserve"> record, the association disappeared completely, and it has not reappeared under any setup we have tried since. We report this whole sequence openly, rather than simply presenting the final null result by itself, because it is a real, concrete example of two separate safeguards, careful sensitivity </w:t>
      </w:r>
      <w:r w:rsidRPr="00B4372C">
        <w:rPr>
          <w:rFonts w:eastAsia="Cardo"/>
          <w:sz w:val="24"/>
          <w:szCs w:val="24"/>
        </w:rPr>
        <w:lastRenderedPageBreak/>
        <w:t>analysis and checking real data sources before drawing conclusions, pointing to the same answer from two different directions.</w:t>
      </w:r>
    </w:p>
    <w:p w14:paraId="19FEA22B" w14:textId="77777777" w:rsidR="00813834" w:rsidRPr="00B4372C" w:rsidRDefault="00000000">
      <w:pPr>
        <w:spacing w:after="240" w:line="276" w:lineRule="auto"/>
      </w:pPr>
      <w:r w:rsidRPr="00B4372C">
        <w:rPr>
          <w:sz w:val="24"/>
          <w:szCs w:val="24"/>
        </w:rPr>
        <w:t>The multicollinearity results (Section 3.4) are still worth discussing even with a null result. Variance inflation factors for age and both exposure measures stayed high (10 to 17) even with real data, which confirms that the age-period-cohort identification problem described below is a built-in feature of reconstructing childhood exposure from an adult's age and a historical climate record. It does not depend on whether that climate series is real or synthetic, and it does not depend on whether an association is ultimately found. Any future study using this kind of design, even one that does find a significant result, should report this diagnostic, because a significant result found despite this collinearity would still call for the same kind of sensitivity checks we ran here.</w:t>
      </w:r>
    </w:p>
    <w:p w14:paraId="58A01281" w14:textId="77777777" w:rsidR="00813834" w:rsidRPr="00B4372C" w:rsidRDefault="00000000">
      <w:pPr>
        <w:spacing w:after="240" w:line="276" w:lineRule="auto"/>
      </w:pPr>
      <w:r w:rsidRPr="00B4372C">
        <w:rPr>
          <w:sz w:val="24"/>
          <w:szCs w:val="24"/>
        </w:rPr>
        <w:t>We see the main contribution of this study as methodological, rather than as a confirmed neurobiological finding of either sign. Studies that reconstruct childhood climate exposure from adult neuroimaging data are an appealing, low-cost way to reuse existing open datasets to ask questions about environmental exposure. Our results suggest that this kind of design needs, at minimum: confirmation that any climate data used are the real historical record and not a leftover development placeholder; an explicit sensitivity analysis over any assumed reference date; a check of results under an alternative outcome definition; and multiple-comparison correction, in addition to the more familiar checks (age adjustment, robust inference, permutation testing) that we also demonstrate here. As a smaller but still concrete point, we also note that the connectivity matrices used in this and related datasets are not symmetric as generated. Failing to symmetrize them before network analysis can treat reciprocal connections inconsistently in a way that depends on implementation details, and most graph-analysis code (including an early version of our own pipeline) will not flag this as an error.</w:t>
      </w:r>
    </w:p>
    <w:p w14:paraId="0FF2B243" w14:textId="77777777" w:rsidR="00813834" w:rsidRPr="00B4372C" w:rsidRDefault="00000000">
      <w:pPr>
        <w:spacing w:after="240" w:line="276" w:lineRule="auto"/>
      </w:pPr>
      <w:r w:rsidRPr="00B4372C">
        <w:rPr>
          <w:sz w:val="24"/>
          <w:szCs w:val="24"/>
        </w:rPr>
        <w:t>It is also worth separating two different kinds of “multiple testing” in this study. The original comparison, two exposures (heat, cold) against two outcomes (PFC, limbic), is a genuine multiple-comparisons setting, which we handled both by treating it as exploratory and hypothesis-generating and by applying formal Bonferroni/FDR correction across the four resulting p-values (Section 3.9). The seven later analyses (Sections 3.4 through 3.10) were different: they were not an extra search for significance across many candidate associations. They were a structured stress-test, planned in our own analysis pipeline before the real data were obtained (though not formally pre-registered in an outside, time-stamped registry), where each further check could only weaken, never strengthen, our confidence in any association from the main model. We report the full sequence of checks no matter the outcome, rather than only reporting the checks that would have supported a positive finding.</w:t>
      </w:r>
    </w:p>
    <w:p w14:paraId="6CAD6E2F" w14:textId="77777777" w:rsidR="00813834" w:rsidRPr="00B4372C" w:rsidRDefault="00000000">
      <w:pPr>
        <w:spacing w:before="360" w:after="240" w:line="276" w:lineRule="auto"/>
      </w:pPr>
      <w:r w:rsidRPr="00B4372C">
        <w:rPr>
          <w:b/>
          <w:bCs/>
          <w:sz w:val="24"/>
          <w:szCs w:val="24"/>
        </w:rPr>
        <w:t>5. Limitations</w:t>
      </w:r>
    </w:p>
    <w:p w14:paraId="5468E39B" w14:textId="77777777" w:rsidR="00813834" w:rsidRPr="00B4372C" w:rsidRDefault="00000000">
      <w:pPr>
        <w:numPr>
          <w:ilvl w:val="0"/>
          <w:numId w:val="1"/>
        </w:numPr>
        <w:pBdr>
          <w:top w:val="nil"/>
          <w:left w:val="nil"/>
          <w:bottom w:val="nil"/>
          <w:right w:val="nil"/>
          <w:between w:val="nil"/>
        </w:pBdr>
        <w:spacing w:after="160" w:line="276" w:lineRule="auto"/>
      </w:pPr>
      <w:r w:rsidRPr="00B4372C">
        <w:rPr>
          <w:color w:val="000000"/>
          <w:sz w:val="24"/>
          <w:szCs w:val="24"/>
        </w:rPr>
        <w:t xml:space="preserve">Single cross-sectional cohort. All participants were scanned at (an assumed) one point in time, which makes it impossible to fully separate age, birth cohort, and exposure-period effects. The age-period-cohort identification problem discussed above cannot be solved </w:t>
      </w:r>
      <w:r w:rsidRPr="00B4372C">
        <w:rPr>
          <w:color w:val="000000"/>
          <w:sz w:val="24"/>
          <w:szCs w:val="24"/>
        </w:rPr>
        <w:lastRenderedPageBreak/>
        <w:t>by statistical adjustment alone within this design, and it applies even though we did not detect an association.</w:t>
      </w:r>
    </w:p>
    <w:p w14:paraId="56F085C0" w14:textId="77777777" w:rsidR="00813834" w:rsidRPr="00B4372C" w:rsidRDefault="00000000">
      <w:pPr>
        <w:numPr>
          <w:ilvl w:val="0"/>
          <w:numId w:val="1"/>
        </w:numPr>
        <w:pBdr>
          <w:top w:val="nil"/>
          <w:left w:val="nil"/>
          <w:bottom w:val="nil"/>
          <w:right w:val="nil"/>
          <w:between w:val="nil"/>
        </w:pBdr>
        <w:spacing w:after="160" w:line="276" w:lineRule="auto"/>
      </w:pPr>
      <w:r w:rsidRPr="00B4372C">
        <w:rPr>
          <w:color w:val="000000"/>
          <w:sz w:val="24"/>
          <w:szCs w:val="24"/>
        </w:rPr>
        <w:t xml:space="preserve">Exposure reconstruction and measurement. We estimated childhood temperature exposure from a single citywide weather station, not from individual-level measurement, and we assumed participants lived in Prague throughout ages 6–16, which the dataset does not verify. In addition, our “heat/cold stress” measures are cumulative annual-mean temperature anomalies, not a validated measure of physiological thermal stress or a count of extreme-weather days (Section 2.4). Readers should not treat them as equivalent to </w:t>
      </w:r>
      <w:proofErr w:type="gramStart"/>
      <w:r w:rsidRPr="00B4372C">
        <w:rPr>
          <w:color w:val="000000"/>
          <w:sz w:val="24"/>
          <w:szCs w:val="24"/>
        </w:rPr>
        <w:t>heat-wave</w:t>
      </w:r>
      <w:proofErr w:type="gramEnd"/>
      <w:r w:rsidRPr="00B4372C">
        <w:rPr>
          <w:color w:val="000000"/>
          <w:sz w:val="24"/>
          <w:szCs w:val="24"/>
        </w:rPr>
        <w:t xml:space="preserve"> or cold-snap exposure. A null result on these specific measures does not rule out an association with more physiologically precise exposure measures, such as heat-wave day counts or daily temperature extremes, which we could not build from station-level annual records alone.</w:t>
      </w:r>
    </w:p>
    <w:p w14:paraId="64480BC9" w14:textId="77777777" w:rsidR="00813834" w:rsidRPr="00B4372C" w:rsidRDefault="00000000">
      <w:pPr>
        <w:numPr>
          <w:ilvl w:val="0"/>
          <w:numId w:val="1"/>
        </w:numPr>
        <w:pBdr>
          <w:top w:val="nil"/>
          <w:left w:val="nil"/>
          <w:bottom w:val="nil"/>
          <w:right w:val="nil"/>
          <w:between w:val="nil"/>
        </w:pBdr>
        <w:spacing w:after="160" w:line="276" w:lineRule="auto"/>
      </w:pPr>
      <w:r w:rsidRPr="00B4372C">
        <w:rPr>
          <w:color w:val="000000"/>
          <w:sz w:val="24"/>
          <w:szCs w:val="24"/>
        </w:rPr>
        <w:t>Unconfirmed scan timing. Our anchor-year range (2011–2015) is an illustrative range based on two separate ethics-approval dates linked to the parent ESO study, not a confirmed scan-date record for this specific data release (Section 2.5).</w:t>
      </w:r>
    </w:p>
    <w:p w14:paraId="3AF91395" w14:textId="77777777" w:rsidR="00813834" w:rsidRPr="00B4372C" w:rsidRDefault="00000000">
      <w:pPr>
        <w:numPr>
          <w:ilvl w:val="0"/>
          <w:numId w:val="1"/>
        </w:numPr>
        <w:pBdr>
          <w:top w:val="nil"/>
          <w:left w:val="nil"/>
          <w:bottom w:val="nil"/>
          <w:right w:val="nil"/>
          <w:between w:val="nil"/>
        </w:pBdr>
        <w:spacing w:after="160" w:line="276" w:lineRule="auto"/>
      </w:pPr>
      <w:r w:rsidRPr="00B4372C">
        <w:rPr>
          <w:color w:val="000000"/>
          <w:sz w:val="24"/>
          <w:szCs w:val="24"/>
        </w:rPr>
        <w:t>Small sample size (N = 86) limits statistical power. A true small-to-moderate effect could plausibly go undetected at this sample size, and the near-zero adjusted R² values (Section 3.3), while consistent with no effect, do not by themselves prove that one is absent.</w:t>
      </w:r>
    </w:p>
    <w:p w14:paraId="007114BF" w14:textId="77777777" w:rsidR="00813834" w:rsidRPr="00B4372C" w:rsidRDefault="00000000">
      <w:pPr>
        <w:numPr>
          <w:ilvl w:val="0"/>
          <w:numId w:val="1"/>
        </w:numPr>
        <w:pBdr>
          <w:top w:val="nil"/>
          <w:left w:val="nil"/>
          <w:bottom w:val="nil"/>
          <w:right w:val="nil"/>
          <w:between w:val="nil"/>
        </w:pBdr>
        <w:spacing w:after="160" w:line="276" w:lineRule="auto"/>
      </w:pPr>
      <w:r w:rsidRPr="00B4372C">
        <w:rPr>
          <w:color w:val="000000"/>
          <w:sz w:val="24"/>
          <w:szCs w:val="24"/>
        </w:rPr>
        <w:t>The source cohort was originally recruited as the healthy-control arm of a study of early-stage schizophrenia (9). While the participants themselves had no diagnosis, this recruitment background is still worth keeping in mind when generalizing our findings to a broader population.</w:t>
      </w:r>
    </w:p>
    <w:p w14:paraId="0D35A028" w14:textId="77777777" w:rsidR="00813834" w:rsidRPr="00B4372C" w:rsidRDefault="00000000">
      <w:pPr>
        <w:numPr>
          <w:ilvl w:val="0"/>
          <w:numId w:val="1"/>
        </w:numPr>
        <w:pBdr>
          <w:top w:val="nil"/>
          <w:left w:val="nil"/>
          <w:bottom w:val="nil"/>
          <w:right w:val="nil"/>
          <w:between w:val="nil"/>
        </w:pBdr>
        <w:spacing w:after="160" w:line="276" w:lineRule="auto"/>
      </w:pPr>
      <w:r w:rsidRPr="00B4372C">
        <w:rPr>
          <w:color w:val="000000"/>
          <w:sz w:val="24"/>
          <w:szCs w:val="24"/>
        </w:rPr>
        <w:t>Residual non-normality (Section 3.8) means some caution is still warranted even with the robust methods we used here, though the fact that HC3 and permutation-based inference gave the same null result eases this concern.</w:t>
      </w:r>
    </w:p>
    <w:p w14:paraId="5D4DDDEC" w14:textId="77777777" w:rsidR="00813834" w:rsidRPr="00B4372C" w:rsidRDefault="00000000">
      <w:pPr>
        <w:spacing w:before="360" w:after="240" w:line="276" w:lineRule="auto"/>
      </w:pPr>
      <w:r w:rsidRPr="00B4372C">
        <w:rPr>
          <w:b/>
          <w:bCs/>
          <w:sz w:val="24"/>
          <w:szCs w:val="24"/>
        </w:rPr>
        <w:t>6. Conclusion</w:t>
      </w:r>
    </w:p>
    <w:p w14:paraId="0F477F57" w14:textId="77777777" w:rsidR="00813834" w:rsidRPr="00B4372C" w:rsidRDefault="00000000">
      <w:pPr>
        <w:spacing w:after="240" w:line="276" w:lineRule="auto"/>
      </w:pPr>
      <w:r w:rsidRPr="00B4372C">
        <w:rPr>
          <w:sz w:val="24"/>
          <w:szCs w:val="24"/>
        </w:rPr>
        <w:t xml:space="preserve">In an </w:t>
      </w:r>
      <w:proofErr w:type="gramStart"/>
      <w:r w:rsidRPr="00B4372C">
        <w:rPr>
          <w:sz w:val="24"/>
          <w:szCs w:val="24"/>
        </w:rPr>
        <w:t>exploratory</w:t>
      </w:r>
      <w:proofErr w:type="gramEnd"/>
      <w:r w:rsidRPr="00B4372C">
        <w:rPr>
          <w:sz w:val="24"/>
          <w:szCs w:val="24"/>
        </w:rPr>
        <w:t xml:space="preserve"> analysis of 86 adults using a verified 250-year historical temperature record, we found no reliable association between reconstructed childhood heat or cold stress and adult prefrontal cortex or limbic system structural connectivity. This null result held up across three alternative model setups, an age-</w:t>
      </w:r>
      <w:proofErr w:type="spellStart"/>
      <w:r w:rsidRPr="00B4372C">
        <w:rPr>
          <w:sz w:val="24"/>
          <w:szCs w:val="24"/>
        </w:rPr>
        <w:t>residualized</w:t>
      </w:r>
      <w:proofErr w:type="spellEnd"/>
      <w:r w:rsidRPr="00B4372C">
        <w:rPr>
          <w:sz w:val="24"/>
          <w:szCs w:val="24"/>
        </w:rPr>
        <w:t xml:space="preserve"> formulation, heteroskedasticity-robust and permutation-based inference, a zero-inclusive connectivity definition, multiple-comparison correction, and a five-year range of assumed scan dates. Notably, an earlier development version of this pipeline, using a placeholder climate series, had suggested a nominally significant cold-stress association. Our own sensitivity analyses had already flagged that association as fragile, and it did not hold up once we substituted the real historical record. This is a concrete example of why both careful sensitivity analysis and checking real data sources are essential before reporting a finding from a study that reconstructs climate exposure after the fact. We recommend that future studies in this area treat both practices as standard, reportable parts of the analysis pipeline. We also note that our persistently high variance inflation factors (Section 3.4) show that </w:t>
      </w:r>
      <w:r w:rsidRPr="00B4372C">
        <w:rPr>
          <w:sz w:val="24"/>
          <w:szCs w:val="24"/>
        </w:rPr>
        <w:lastRenderedPageBreak/>
        <w:t>the age-period-cohort limitation of this design would apply just as much to a study that did detect a significant association.</w:t>
      </w:r>
    </w:p>
    <w:p w14:paraId="44ECEB3F" w14:textId="77777777" w:rsidR="00813834" w:rsidRPr="00B4372C" w:rsidRDefault="00000000">
      <w:pPr>
        <w:spacing w:before="360" w:after="240" w:line="276" w:lineRule="auto"/>
      </w:pPr>
      <w:r w:rsidRPr="00B4372C">
        <w:rPr>
          <w:b/>
          <w:bCs/>
          <w:sz w:val="24"/>
          <w:szCs w:val="24"/>
        </w:rPr>
        <w:t>Data and Code Availability</w:t>
      </w:r>
    </w:p>
    <w:p w14:paraId="5009A408" w14:textId="77777777" w:rsidR="00813834" w:rsidRPr="00B4372C" w:rsidRDefault="00000000">
      <w:pPr>
        <w:spacing w:after="240" w:line="276" w:lineRule="auto"/>
        <w:rPr>
          <w:sz w:val="24"/>
          <w:szCs w:val="24"/>
        </w:rPr>
      </w:pPr>
      <w:r w:rsidRPr="00B4372C">
        <w:rPr>
          <w:sz w:val="24"/>
          <w:szCs w:val="24"/>
        </w:rPr>
        <w:t>The structural connectivity dataset is publicly available (9). Historical temperature data for the Praha–</w:t>
      </w:r>
      <w:proofErr w:type="spellStart"/>
      <w:r w:rsidRPr="00B4372C">
        <w:rPr>
          <w:sz w:val="24"/>
          <w:szCs w:val="24"/>
        </w:rPr>
        <w:t>Klementinum</w:t>
      </w:r>
      <w:proofErr w:type="spellEnd"/>
      <w:r w:rsidRPr="00B4372C">
        <w:rPr>
          <w:sz w:val="24"/>
          <w:szCs w:val="24"/>
        </w:rPr>
        <w:t xml:space="preserve"> station (STAID 27, blended series) came from the European Climate Assessment &amp; Dataset (11) (https://www.ecad.eu) and were used in their verified, original form throughout every result reported in Section 3. No placeholder or synthetic climate data were used in any result presented in this manuscript. The complete analysis pipeline, including every robustness and sensitivity analysis reported here, is available as a Jupyter notebook at </w:t>
      </w:r>
      <w:hyperlink r:id="rId7">
        <w:r w:rsidRPr="00B4372C">
          <w:rPr>
            <w:color w:val="1155CC"/>
            <w:sz w:val="24"/>
            <w:szCs w:val="24"/>
            <w:u w:val="single"/>
          </w:rPr>
          <w:t>https://github.com/seraertug/neuro-climatology-sensitivity-analysis</w:t>
        </w:r>
      </w:hyperlink>
      <w:r w:rsidRPr="00B4372C">
        <w:rPr>
          <w:sz w:val="24"/>
          <w:szCs w:val="24"/>
        </w:rPr>
        <w:t>.</w:t>
      </w:r>
    </w:p>
    <w:p w14:paraId="1CE6A013" w14:textId="77777777" w:rsidR="00813834" w:rsidRPr="00B4372C" w:rsidRDefault="00000000">
      <w:pPr>
        <w:spacing w:before="360" w:after="240" w:line="276" w:lineRule="auto"/>
      </w:pPr>
      <w:r w:rsidRPr="00B4372C">
        <w:rPr>
          <w:b/>
          <w:bCs/>
          <w:sz w:val="24"/>
          <w:szCs w:val="24"/>
        </w:rPr>
        <w:t>Ethics Statement</w:t>
      </w:r>
    </w:p>
    <w:p w14:paraId="5697B239" w14:textId="77777777" w:rsidR="00813834" w:rsidRPr="00B4372C" w:rsidRDefault="00000000">
      <w:pPr>
        <w:spacing w:after="240" w:line="276" w:lineRule="auto"/>
      </w:pPr>
      <w:r w:rsidRPr="00B4372C">
        <w:rPr>
          <w:sz w:val="24"/>
          <w:szCs w:val="24"/>
        </w:rPr>
        <w:t>This study used only publicly available, de-identified secondary data, in line with the Declaration of Helsinki. The original data collection was approved by the Ethics Committee of the Prague Psychiatric Center (protocol 69/11, approved 29 June 2011). We collected no new human data for this analysis, and no identifying information about any participant is reported here.</w:t>
      </w:r>
    </w:p>
    <w:p w14:paraId="149D0CD3" w14:textId="77777777" w:rsidR="00813834" w:rsidRPr="00B4372C" w:rsidRDefault="00000000">
      <w:pPr>
        <w:spacing w:before="360" w:after="240" w:line="276" w:lineRule="auto"/>
      </w:pPr>
      <w:r w:rsidRPr="00B4372C">
        <w:rPr>
          <w:b/>
          <w:bCs/>
          <w:sz w:val="24"/>
          <w:szCs w:val="24"/>
        </w:rPr>
        <w:t>References</w:t>
      </w:r>
    </w:p>
    <w:p w14:paraId="6801C581" w14:textId="77777777" w:rsidR="00813834" w:rsidRPr="00B4372C" w:rsidRDefault="00000000">
      <w:pPr>
        <w:spacing w:after="200" w:line="276" w:lineRule="auto"/>
      </w:pPr>
      <w:r w:rsidRPr="00B4372C">
        <w:rPr>
          <w:sz w:val="24"/>
          <w:szCs w:val="24"/>
        </w:rPr>
        <w:t>1. IPCC. IPCC Special Report on the Ocean and Cryosphere in a Changing Climate. Cambridge University Press, Cambridge, UK, 2019.</w:t>
      </w:r>
    </w:p>
    <w:p w14:paraId="2702D150" w14:textId="77777777" w:rsidR="00813834" w:rsidRPr="00B4372C" w:rsidRDefault="00000000">
      <w:pPr>
        <w:spacing w:after="200" w:line="276" w:lineRule="auto"/>
      </w:pPr>
      <w:r w:rsidRPr="00B4372C">
        <w:rPr>
          <w:sz w:val="24"/>
          <w:szCs w:val="24"/>
        </w:rPr>
        <w:t>2. Minor K, Bjerre-Nielsen A, Jonasdottir SS, Lehmann S, Obradovich N. Rising temperatures erode human sleep globally. One Earth, 5: 534-549, 2022.</w:t>
      </w:r>
    </w:p>
    <w:p w14:paraId="3224AFAC" w14:textId="77777777" w:rsidR="00813834" w:rsidRPr="00B4372C" w:rsidRDefault="00000000">
      <w:pPr>
        <w:spacing w:after="200" w:line="276" w:lineRule="auto"/>
      </w:pPr>
      <w:r w:rsidRPr="00B4372C">
        <w:rPr>
          <w:sz w:val="24"/>
          <w:szCs w:val="24"/>
        </w:rPr>
        <w:t xml:space="preserve">3. Clayton S. Climate anxiety: Psychological responses to climate change. J Anxiety </w:t>
      </w:r>
      <w:proofErr w:type="spellStart"/>
      <w:r w:rsidRPr="00B4372C">
        <w:rPr>
          <w:sz w:val="24"/>
          <w:szCs w:val="24"/>
        </w:rPr>
        <w:t>Disord</w:t>
      </w:r>
      <w:proofErr w:type="spellEnd"/>
      <w:r w:rsidRPr="00B4372C">
        <w:rPr>
          <w:sz w:val="24"/>
          <w:szCs w:val="24"/>
        </w:rPr>
        <w:t>, 74: 102263, 2020.</w:t>
      </w:r>
    </w:p>
    <w:p w14:paraId="44742982" w14:textId="77777777" w:rsidR="00813834" w:rsidRPr="00B4372C" w:rsidRDefault="00000000">
      <w:pPr>
        <w:spacing w:after="200" w:line="276" w:lineRule="auto"/>
      </w:pPr>
      <w:r w:rsidRPr="00B4372C">
        <w:rPr>
          <w:sz w:val="24"/>
          <w:szCs w:val="24"/>
        </w:rPr>
        <w:t>4. Watts N, Amann M, Arnell N, et al. The 2019 report of The Lancet Countdown on health and climate change: ensuring that the health of a child born today is not defined by a changing climate. Lancet, 394: 1836-1878, 2019.</w:t>
      </w:r>
    </w:p>
    <w:p w14:paraId="376939C4" w14:textId="77777777" w:rsidR="00813834" w:rsidRPr="00B4372C" w:rsidRDefault="00000000">
      <w:pPr>
        <w:spacing w:after="200" w:line="276" w:lineRule="auto"/>
      </w:pPr>
      <w:r w:rsidRPr="00B4372C">
        <w:rPr>
          <w:sz w:val="24"/>
          <w:szCs w:val="24"/>
        </w:rPr>
        <w:t xml:space="preserve">5. </w:t>
      </w:r>
      <w:proofErr w:type="spellStart"/>
      <w:r w:rsidRPr="00B4372C">
        <w:rPr>
          <w:sz w:val="24"/>
          <w:szCs w:val="24"/>
        </w:rPr>
        <w:t>Gogtay</w:t>
      </w:r>
      <w:proofErr w:type="spellEnd"/>
      <w:r w:rsidRPr="00B4372C">
        <w:rPr>
          <w:sz w:val="24"/>
          <w:szCs w:val="24"/>
        </w:rPr>
        <w:t xml:space="preserve"> N, Giedd JN, Lusk L, et al. Dynamic mapping of human cortical development during childhood through early adulthood. Proc Natl Acad Sci USA, 101: 8174-8179, 2004.</w:t>
      </w:r>
    </w:p>
    <w:p w14:paraId="5AD9F05D" w14:textId="77777777" w:rsidR="00813834" w:rsidRPr="00B4372C" w:rsidRDefault="00000000">
      <w:pPr>
        <w:spacing w:after="200" w:line="276" w:lineRule="auto"/>
      </w:pPr>
      <w:r w:rsidRPr="00B4372C">
        <w:rPr>
          <w:sz w:val="24"/>
          <w:szCs w:val="24"/>
        </w:rPr>
        <w:t>6. Huttenlocher PR. Synaptic density in human frontal cortex: developmental changes and effects of aging. Brain Res, 163: 195-205, 1979.</w:t>
      </w:r>
    </w:p>
    <w:p w14:paraId="75E709A8" w14:textId="77777777" w:rsidR="00813834" w:rsidRPr="00B4372C" w:rsidRDefault="00000000">
      <w:pPr>
        <w:spacing w:after="200" w:line="276" w:lineRule="auto"/>
      </w:pPr>
      <w:r w:rsidRPr="00B4372C">
        <w:rPr>
          <w:sz w:val="24"/>
          <w:szCs w:val="24"/>
        </w:rPr>
        <w:t xml:space="preserve">7. Knudsen EI. Sensitive periods in the development of the brain and behavior. J </w:t>
      </w:r>
      <w:proofErr w:type="spellStart"/>
      <w:r w:rsidRPr="00B4372C">
        <w:rPr>
          <w:sz w:val="24"/>
          <w:szCs w:val="24"/>
        </w:rPr>
        <w:t>Cogn</w:t>
      </w:r>
      <w:proofErr w:type="spellEnd"/>
      <w:r w:rsidRPr="00B4372C">
        <w:rPr>
          <w:sz w:val="24"/>
          <w:szCs w:val="24"/>
        </w:rPr>
        <w:t xml:space="preserve"> </w:t>
      </w:r>
      <w:proofErr w:type="spellStart"/>
      <w:r w:rsidRPr="00B4372C">
        <w:rPr>
          <w:sz w:val="24"/>
          <w:szCs w:val="24"/>
        </w:rPr>
        <w:t>Neurosci</w:t>
      </w:r>
      <w:proofErr w:type="spellEnd"/>
      <w:r w:rsidRPr="00B4372C">
        <w:rPr>
          <w:sz w:val="24"/>
          <w:szCs w:val="24"/>
        </w:rPr>
        <w:t>, 16: 1412-1425, 2004.</w:t>
      </w:r>
    </w:p>
    <w:p w14:paraId="3B6A651F" w14:textId="77777777" w:rsidR="00813834" w:rsidRPr="00B4372C" w:rsidRDefault="00000000">
      <w:pPr>
        <w:spacing w:after="200" w:line="276" w:lineRule="auto"/>
      </w:pPr>
      <w:r w:rsidRPr="00B4372C">
        <w:rPr>
          <w:sz w:val="24"/>
          <w:szCs w:val="24"/>
        </w:rPr>
        <w:t xml:space="preserve">8. </w:t>
      </w:r>
      <w:proofErr w:type="spellStart"/>
      <w:r w:rsidRPr="00B4372C">
        <w:rPr>
          <w:sz w:val="24"/>
          <w:szCs w:val="24"/>
        </w:rPr>
        <w:t>Granés</w:t>
      </w:r>
      <w:proofErr w:type="spellEnd"/>
      <w:r w:rsidRPr="00B4372C">
        <w:rPr>
          <w:sz w:val="24"/>
          <w:szCs w:val="24"/>
        </w:rPr>
        <w:t xml:space="preserve"> L, Essers E, Ballester J, et al. Early life cold and heat exposure impacts white matter development in children. Nat Clim Chang, 14: 760-766, 2024.</w:t>
      </w:r>
    </w:p>
    <w:p w14:paraId="7BB63019" w14:textId="77777777" w:rsidR="00813834" w:rsidRPr="00B4372C" w:rsidRDefault="00000000">
      <w:pPr>
        <w:spacing w:after="200" w:line="276" w:lineRule="auto"/>
      </w:pPr>
      <w:r w:rsidRPr="00B4372C">
        <w:rPr>
          <w:sz w:val="24"/>
          <w:szCs w:val="24"/>
        </w:rPr>
        <w:lastRenderedPageBreak/>
        <w:t xml:space="preserve">9. </w:t>
      </w:r>
      <w:proofErr w:type="spellStart"/>
      <w:r w:rsidRPr="00B4372C">
        <w:rPr>
          <w:sz w:val="24"/>
          <w:szCs w:val="24"/>
        </w:rPr>
        <w:t>Škoch</w:t>
      </w:r>
      <w:proofErr w:type="spellEnd"/>
      <w:r w:rsidRPr="00B4372C">
        <w:rPr>
          <w:sz w:val="24"/>
          <w:szCs w:val="24"/>
        </w:rPr>
        <w:t xml:space="preserve"> A, Rehák </w:t>
      </w:r>
      <w:proofErr w:type="spellStart"/>
      <w:r w:rsidRPr="00B4372C">
        <w:rPr>
          <w:sz w:val="24"/>
          <w:szCs w:val="24"/>
        </w:rPr>
        <w:t>Bučková</w:t>
      </w:r>
      <w:proofErr w:type="spellEnd"/>
      <w:r w:rsidRPr="00B4372C">
        <w:rPr>
          <w:sz w:val="24"/>
          <w:szCs w:val="24"/>
        </w:rPr>
        <w:t xml:space="preserve"> B, Mareš J, et al. Human brain structural connectivity matrices: ready for modelling. Sci Data, 9: 486, 2022.</w:t>
      </w:r>
    </w:p>
    <w:p w14:paraId="1760271F" w14:textId="77777777" w:rsidR="00813834" w:rsidRPr="00B4372C" w:rsidRDefault="00000000">
      <w:pPr>
        <w:spacing w:after="200" w:line="276" w:lineRule="auto"/>
      </w:pPr>
      <w:r w:rsidRPr="00B4372C">
        <w:rPr>
          <w:sz w:val="24"/>
          <w:szCs w:val="24"/>
        </w:rPr>
        <w:t>10. Tzourio-</w:t>
      </w:r>
      <w:proofErr w:type="spellStart"/>
      <w:r w:rsidRPr="00B4372C">
        <w:rPr>
          <w:sz w:val="24"/>
          <w:szCs w:val="24"/>
        </w:rPr>
        <w:t>Mazoyer</w:t>
      </w:r>
      <w:proofErr w:type="spellEnd"/>
      <w:r w:rsidRPr="00B4372C">
        <w:rPr>
          <w:sz w:val="24"/>
          <w:szCs w:val="24"/>
        </w:rPr>
        <w:t xml:space="preserve"> N, Landeau B, Papathanassiou D, et al. Automated anatomical labeling of activations in SPM using a macroscopic anatomical parcellation of the MNI MRI single-subject brain. Neuroimage, 15: 273-289, 2002.</w:t>
      </w:r>
    </w:p>
    <w:p w14:paraId="5EC98370" w14:textId="77777777" w:rsidR="00813834" w:rsidRPr="00B4372C" w:rsidRDefault="00000000">
      <w:pPr>
        <w:spacing w:after="200" w:line="276" w:lineRule="auto"/>
      </w:pPr>
      <w:r w:rsidRPr="00B4372C">
        <w:rPr>
          <w:sz w:val="24"/>
          <w:szCs w:val="24"/>
        </w:rPr>
        <w:t xml:space="preserve">11. Klein Tank AMG, Wijngaard JB, </w:t>
      </w:r>
      <w:proofErr w:type="spellStart"/>
      <w:r w:rsidRPr="00B4372C">
        <w:rPr>
          <w:sz w:val="24"/>
          <w:szCs w:val="24"/>
        </w:rPr>
        <w:t>Können</w:t>
      </w:r>
      <w:proofErr w:type="spellEnd"/>
      <w:r w:rsidRPr="00B4372C">
        <w:rPr>
          <w:sz w:val="24"/>
          <w:szCs w:val="24"/>
        </w:rPr>
        <w:t xml:space="preserve"> GP, et al. Daily dataset of 20th-century surface air temperature and precipitation series for the European Climate Assessment. Int J </w:t>
      </w:r>
      <w:proofErr w:type="spellStart"/>
      <w:r w:rsidRPr="00B4372C">
        <w:rPr>
          <w:sz w:val="24"/>
          <w:szCs w:val="24"/>
        </w:rPr>
        <w:t>Climatol</w:t>
      </w:r>
      <w:proofErr w:type="spellEnd"/>
      <w:r w:rsidRPr="00B4372C">
        <w:rPr>
          <w:sz w:val="24"/>
          <w:szCs w:val="24"/>
        </w:rPr>
        <w:t>, 22: 1441-1453, 2002.</w:t>
      </w:r>
    </w:p>
    <w:sectPr w:rsidR="00813834" w:rsidRPr="00B4372C">
      <w:footerReference w:type="default" r:id="rId8"/>
      <w:pgSz w:w="12240" w:h="15840"/>
      <w:pgMar w:top="720" w:right="1440" w:bottom="72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D5DD6" w14:textId="77777777" w:rsidR="00BB76DC" w:rsidRDefault="00BB76DC">
      <w:r>
        <w:separator/>
      </w:r>
    </w:p>
  </w:endnote>
  <w:endnote w:type="continuationSeparator" w:id="0">
    <w:p w14:paraId="1DC56CB9" w14:textId="77777777" w:rsidR="00BB76DC" w:rsidRDefault="00BB76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325889F-024F-41B3-AD69-4D3C97BA0E6D}"/>
  </w:font>
  <w:font w:name="Cardo">
    <w:charset w:val="00"/>
    <w:family w:val="auto"/>
    <w:pitch w:val="default"/>
    <w:embedRegular r:id="rId2" w:fontKey="{539E2DA2-23EB-4A01-B112-A90FB0BCFFB5}"/>
  </w:font>
  <w:font w:name="Gungsuh">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embedRegular r:id="rId3" w:fontKey="{917C02C5-8876-45FC-92D9-F18ACE4667CF}"/>
  </w:font>
  <w:font w:name="Cambria">
    <w:panose1 w:val="02040503050406030204"/>
    <w:charset w:val="00"/>
    <w:family w:val="roman"/>
    <w:pitch w:val="variable"/>
    <w:sig w:usb0="E00006FF" w:usb1="420024FF" w:usb2="02000000" w:usb3="00000000" w:csb0="0000019F" w:csb1="00000000"/>
    <w:embedRegular r:id="rId4" w:fontKey="{8E1FB035-64E4-40CB-ACA8-2C9B42A41BB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EE0BE" w14:textId="77777777" w:rsidR="00813834" w:rsidRDefault="00000000">
    <w:pPr>
      <w:jc w:val="center"/>
    </w:pPr>
    <w:r>
      <w:fldChar w:fldCharType="begin"/>
    </w:r>
    <w:r>
      <w:instrText>PAGE</w:instrText>
    </w:r>
    <w:r>
      <w:fldChar w:fldCharType="separate"/>
    </w:r>
    <w:r w:rsidR="00B4372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3EBB9" w14:textId="77777777" w:rsidR="00BB76DC" w:rsidRDefault="00BB76DC">
      <w:r>
        <w:separator/>
      </w:r>
    </w:p>
  </w:footnote>
  <w:footnote w:type="continuationSeparator" w:id="0">
    <w:p w14:paraId="63110028" w14:textId="77777777" w:rsidR="00BB76DC" w:rsidRDefault="00BB76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837E6"/>
    <w:multiLevelType w:val="multilevel"/>
    <w:tmpl w:val="5EF6697A"/>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2105420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834"/>
    <w:rsid w:val="007750E0"/>
    <w:rsid w:val="00813834"/>
    <w:rsid w:val="00B4372C"/>
    <w:rsid w:val="00BB76DC"/>
    <w:rsid w:val="00FF32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7636C"/>
  <w15:docId w15:val="{289D084C-C46B-42A8-BA3E-5A841F80C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seraertug/neuro-climatology-sensitivity-analysi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4992</Words>
  <Characters>28459</Characters>
  <Application>Microsoft Office Word</Application>
  <DocSecurity>0</DocSecurity>
  <Lines>237</Lines>
  <Paragraphs>66</Paragraphs>
  <ScaleCrop>false</ScaleCrop>
  <Company/>
  <LinksUpToDate>false</LinksUpToDate>
  <CharactersWithSpaces>33385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 E</cp:lastModifiedBy>
  <cp:revision>2</cp:revision>
  <dcterms:created xsi:type="dcterms:W3CDTF">2026-09-10T11:52:00Z</dcterms:created>
  <dcterms:modified xsi:type="dcterms:W3CDTF">2026-09-10T11:52:00Z</dcterms:modified>
</cp:coreProperties>
</file>