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caps/>
          <w:color w:val="888888"/>
          <w:sz w:val="20"/>
          <w:szCs w:val="20"/>
        </w:rPr>
        <w:t xml:space="preserve">PHASE 1 PORTFOLIO REFERENCE</w:t>
      </w:r>
    </w:p>
    <w:p>
      <w:pPr>
        <w:spacing w:before="0" w:after="120"/>
      </w:pPr>
      <w:r>
        <w:rPr>
          <w:rFonts w:ascii="Arial" w:cs="Arial" w:eastAsia="Arial" w:hAnsi="Arial"/>
          <w:b/>
          <w:bCs/>
          <w:color w:val="1F4E79"/>
          <w:sz w:val="52"/>
          <w:szCs w:val="52"/>
        </w:rPr>
        <w:t xml:space="preserve">Quantifying Aesthetic Outcomes in Breast Augmentation</w:t>
      </w:r>
    </w:p>
    <w:p>
      <w:pPr>
        <w:spacing w:before="0" w:after="400"/>
      </w:pPr>
      <w:r>
        <w:rPr>
          <w:rFonts w:ascii="Arial" w:cs="Arial" w:eastAsia="Arial" w:hAnsi="Arial"/>
          <w:color w:val="2E75B6"/>
          <w:sz w:val="28"/>
          <w:szCs w:val="28"/>
        </w:rPr>
        <w:t xml:space="preserve">A Data-Driven Approach to Modeling Vertical Implant Positioning</w:t>
      </w:r>
    </w:p>
    <w:p>
      <w:pPr>
        <w:pBdr>
          <w:bottom w:val="single" w:color="2E75B6" w:sz="6" w:space="1"/>
        </w:pBdr>
        <w:spacing w:before="0" w:after="320"/>
      </w:pPr>
      <w:r>
        <w:t xml:space="preserve"/>
      </w:r>
    </w:p>
    <w:p>
      <w:pPr>
        <w:spacing w:before="0" w:after="640"/>
      </w:pPr>
      <w:r>
        <w:rPr>
          <w:rFonts w:ascii="Arial" w:cs="Arial" w:eastAsia="Arial" w:hAnsi="Arial"/>
          <w:color w:val="404040"/>
          <w:sz w:val="20"/>
          <w:szCs w:val="20"/>
        </w:rPr>
        <w:t xml:space="preserve">GitHub Repository Setup  •  README Strategy  •  Pipeline Architecture  •  Design Rationale</w:t>
      </w:r>
    </w:p>
    <w:p>
      <w:pPr>
        <w:pStyle w:val="Heading1"/>
        <w:pBdr>
          <w:bottom w:val="single" w:color="2E75B6" w:sz="6" w:space="1"/>
        </w:pBdr>
        <w:spacing w:before="360" w:after="160"/>
      </w:pPr>
      <w:r>
        <w:rPr>
          <w:rFonts w:ascii="Arial" w:cs="Arial" w:eastAsia="Arial" w:hAnsi="Arial"/>
          <w:b/>
          <w:bCs/>
          <w:color w:val="1F4E79"/>
          <w:sz w:val="32"/>
          <w:szCs w:val="32"/>
        </w:rPr>
        <w:t xml:space="preserve">1. README Strategy</w:t>
      </w:r>
    </w:p>
    <w:p>
      <w:pPr>
        <w:spacing w:before="80" w:after="80"/>
      </w:pPr>
      <w:r>
        <w:rPr>
          <w:rFonts w:ascii="Arial" w:cs="Arial" w:eastAsia="Arial" w:hAnsi="Arial"/>
          <w:color w:val="222222"/>
          <w:sz w:val="20"/>
          <w:szCs w:val="20"/>
        </w:rPr>
        <w:t xml:space="preserve">The README is the first thing a pharma/biotech hiring manager sees when they click your repo. It should answer three questions in the first screen of reading: What clinical problem does this solve? What did you do? What did you find?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Narrative Arc</w:t>
      </w:r>
    </w:p>
    <w:p>
      <w:pPr>
        <w:spacing w:before="80" w:after="80"/>
      </w:pPr>
      <w:r>
        <w:rPr>
          <w:rFonts w:ascii="Arial" w:cs="Arial" w:eastAsia="Arial" w:hAnsi="Arial"/>
          <w:color w:val="222222"/>
          <w:sz w:val="20"/>
          <w:szCs w:val="20"/>
        </w:rPr>
        <w:t xml:space="preserve">The README is structured as a problem-first narrative — not a methods-first one. This is deliberate.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Section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Purpose</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Audience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Clinical Background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Establish the unmet need (no validated ratio metric)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Shows you understand the clinical context, not just the stats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Research Objectives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Translate the clinical question into testable hypotheses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Shows you can bridge domains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Key Findings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Lead with the result, including the null finding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Shows scientific maturity — not hiding inconvenient results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Statistical Methods table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Methods at a glance for technical reviewers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Signals cross-classified models, ICC, ordinal regression fluency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Reproduce the Analysis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One-command reproducibility via renv</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Signals good software engineering practice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SAS Reproduction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Explicit cross-platform note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Direct signal for clinical/regulatory environments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On the Null Finding</w:t>
      </w:r>
    </w:p>
    <w:p>
      <w:pPr>
        <w:spacing w:before="80" w:after="80"/>
      </w:pPr>
      <w:r>
        <w:rPr>
          <w:rFonts w:ascii="Arial" w:cs="Arial" w:eastAsia="Arial" w:hAnsi="Arial"/>
          <w:color w:val="222222"/>
          <w:sz w:val="20"/>
          <w:szCs w:val="20"/>
        </w:rPr>
        <w:t xml:space="preserve">Do not bury or soften the null finding in your README. A well-executed null result is a feature, not a flaw. It demonstrates:</w:t>
      </w:r>
    </w:p>
    <w:p>
      <w:pPr>
        <w:pStyle w:val="ListParagraph"/>
        <w:numPr>
          <w:ilvl w:val="0"/>
          <w:numId w:val="2"/>
        </w:numPr>
        <w:spacing w:before="40" w:after="40"/>
      </w:pPr>
      <w:r>
        <w:rPr>
          <w:rFonts w:ascii="Arial" w:cs="Arial" w:eastAsia="Arial" w:hAnsi="Arial"/>
          <w:b w:val="false"/>
          <w:bCs w:val="false"/>
          <w:color w:val="222222"/>
          <w:sz w:val="20"/>
          <w:szCs w:val="20"/>
        </w:rPr>
        <w:t xml:space="preserve">You designed a study capable of detecting an effect if one existed</w:t>
      </w:r>
    </w:p>
    <w:p>
      <w:pPr>
        <w:pStyle w:val="ListParagraph"/>
        <w:numPr>
          <w:ilvl w:val="0"/>
          <w:numId w:val="2"/>
        </w:numPr>
        <w:spacing w:before="40" w:after="40"/>
      </w:pPr>
      <w:r>
        <w:rPr>
          <w:rFonts w:ascii="Arial" w:cs="Arial" w:eastAsia="Arial" w:hAnsi="Arial"/>
          <w:b w:val="false"/>
          <w:bCs w:val="false"/>
          <w:color w:val="222222"/>
          <w:sz w:val="20"/>
          <w:szCs w:val="20"/>
        </w:rPr>
        <w:t xml:space="preserve">You understand that science sometimes rules things out, which is equally valuable</w:t>
      </w:r>
    </w:p>
    <w:p>
      <w:pPr>
        <w:pStyle w:val="ListParagraph"/>
        <w:numPr>
          <w:ilvl w:val="0"/>
          <w:numId w:val="2"/>
        </w:numPr>
        <w:spacing w:before="40" w:after="40"/>
      </w:pPr>
      <w:r>
        <w:rPr>
          <w:rFonts w:ascii="Arial" w:cs="Arial" w:eastAsia="Arial" w:hAnsi="Arial"/>
          <w:b w:val="false"/>
          <w:bCs w:val="false"/>
          <w:color w:val="222222"/>
          <w:sz w:val="20"/>
          <w:szCs w:val="20"/>
        </w:rPr>
        <w:t xml:space="preserve">You can communicate a nuanced result without overclaiming</w:t>
      </w:r>
    </w:p>
    <w:p>
      <w:pPr>
        <w:spacing w:before="80" w:after="80"/>
      </w:pPr>
      <w:r>
        <w:rPr>
          <w:rFonts w:ascii="Arial" w:cs="Arial" w:eastAsia="Arial" w:hAnsi="Arial"/>
          <w:color w:val="222222"/>
          <w:sz w:val="20"/>
          <w:szCs w:val="20"/>
        </w:rPr>
        <w:t xml:space="preserve">The ICC pattern (structured surgeon agreement vs. diffuse lay variability) is the most clinically interesting finding and should be foregrounded.</w:t>
      </w:r>
    </w:p>
    <w:p>
      <w:pPr>
        <w:spacing w:before="60" w:after="60"/>
      </w:pPr>
      <w:r>
        <w:t xml:space="preserve"/>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2. Repository Structure</w:t>
      </w:r>
    </w:p>
    <w:p>
      <w:pPr>
        <w:spacing w:before="80" w:after="80"/>
      </w:pPr>
      <w:r>
        <w:rPr>
          <w:rFonts w:ascii="Arial" w:cs="Arial" w:eastAsia="Arial" w:hAnsi="Arial"/>
          <w:color w:val="222222"/>
          <w:sz w:val="20"/>
          <w:szCs w:val="20"/>
        </w:rPr>
        <w:t xml:space="preserve">A well-organized repo communicates that you think in systems, not just scripts. The folder structure below signals reproducibility, modularity, and cross-platform awareness to any technical reviewer.</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Recommended Structure</w:t>
      </w:r>
    </w:p>
    <w:p>
      <w:pPr>
        <w:shd w:fill="EBF3FB" w:val="clear"/>
        <w:spacing w:before="40" w:after="40"/>
        <w:ind w:left="720"/>
      </w:pPr>
      <w:r>
        <w:rPr>
          <w:rFonts w:ascii="Courier New" w:cs="Courier New" w:eastAsia="Courier New" w:hAnsi="Courier New"/>
          <w:color w:val="1F4E79"/>
          <w:sz w:val="18"/>
          <w:szCs w:val="18"/>
        </w:rPr>
        <w:t xml:space="preserve">breast-augmentation-ratio-analysis/</w:t>
      </w:r>
    </w:p>
    <w:p>
      <w:pPr>
        <w:shd w:fill="EBF3FB" w:val="clear"/>
        <w:spacing w:before="40" w:after="40"/>
        <w:ind w:left="720"/>
      </w:pPr>
      <w:r>
        <w:rPr>
          <w:rFonts w:ascii="Courier New" w:cs="Courier New" w:eastAsia="Courier New" w:hAnsi="Courier New"/>
          <w:color w:val="1F4E79"/>
          <w:sz w:val="18"/>
          <w:szCs w:val="18"/>
        </w:rPr>
        <w:t xml:space="preserve">├── R/</w:t>
      </w:r>
    </w:p>
    <w:p>
      <w:pPr>
        <w:shd w:fill="EBF3FB" w:val="clear"/>
        <w:spacing w:before="40" w:after="40"/>
        <w:ind w:left="720"/>
      </w:pPr>
      <w:r>
        <w:rPr>
          <w:rFonts w:ascii="Courier New" w:cs="Courier New" w:eastAsia="Courier New" w:hAnsi="Courier New"/>
          <w:color w:val="1F4E79"/>
          <w:sz w:val="18"/>
          <w:szCs w:val="18"/>
        </w:rPr>
        <w:t xml:space="preserve">│   ├── 01_build_analysis_dataset.R</w:t>
      </w:r>
    </w:p>
    <w:p>
      <w:pPr>
        <w:shd w:fill="EBF3FB" w:val="clear"/>
        <w:spacing w:before="40" w:after="40"/>
        <w:ind w:left="720"/>
      </w:pPr>
      <w:r>
        <w:rPr>
          <w:rFonts w:ascii="Courier New" w:cs="Courier New" w:eastAsia="Courier New" w:hAnsi="Courier New"/>
          <w:color w:val="1F4E79"/>
          <w:sz w:val="18"/>
          <w:szCs w:val="18"/>
        </w:rPr>
        <w:t xml:space="preserve">│   ├── 02_fit_models.R</w:t>
      </w:r>
    </w:p>
    <w:p>
      <w:pPr>
        <w:shd w:fill="EBF3FB" w:val="clear"/>
        <w:spacing w:before="40" w:after="40"/>
        <w:ind w:left="720"/>
      </w:pPr>
      <w:r>
        <w:rPr>
          <w:rFonts w:ascii="Courier New" w:cs="Courier New" w:eastAsia="Courier New" w:hAnsi="Courier New"/>
          <w:color w:val="1F4E79"/>
          <w:sz w:val="18"/>
          <w:szCs w:val="18"/>
        </w:rPr>
        <w:t xml:space="preserve">│   ├── 03_predicted_probabilities.R</w:t>
      </w:r>
    </w:p>
    <w:p>
      <w:pPr>
        <w:shd w:fill="EBF3FB" w:val="clear"/>
        <w:spacing w:before="40" w:after="40"/>
        <w:ind w:left="720"/>
      </w:pPr>
      <w:r>
        <w:rPr>
          <w:rFonts w:ascii="Courier New" w:cs="Courier New" w:eastAsia="Courier New" w:hAnsi="Courier New"/>
          <w:color w:val="1F4E79"/>
          <w:sz w:val="18"/>
          <w:szCs w:val="18"/>
        </w:rPr>
        <w:t xml:space="preserve">│   └── 04_tables_figures.R</w:t>
      </w:r>
    </w:p>
    <w:p>
      <w:pPr>
        <w:shd w:fill="EBF3FB" w:val="clear"/>
        <w:spacing w:before="40" w:after="40"/>
        <w:ind w:left="720"/>
      </w:pPr>
      <w:r>
        <w:rPr>
          <w:rFonts w:ascii="Courier New" w:cs="Courier New" w:eastAsia="Courier New" w:hAnsi="Courier New"/>
          <w:color w:val="1F4E79"/>
          <w:sz w:val="18"/>
          <w:szCs w:val="18"/>
        </w:rPr>
        <w:t xml:space="preserve">├── outputs/</w:t>
      </w:r>
    </w:p>
    <w:p>
      <w:pPr>
        <w:shd w:fill="EBF3FB" w:val="clear"/>
        <w:spacing w:before="40" w:after="40"/>
        <w:ind w:left="720"/>
      </w:pPr>
      <w:r>
        <w:rPr>
          <w:rFonts w:ascii="Courier New" w:cs="Courier New" w:eastAsia="Courier New" w:hAnsi="Courier New"/>
          <w:color w:val="1F4E79"/>
          <w:sz w:val="18"/>
          <w:szCs w:val="18"/>
        </w:rPr>
        <w:t xml:space="preserve">│   ├── tables/</w:t>
      </w:r>
    </w:p>
    <w:p>
      <w:pPr>
        <w:shd w:fill="EBF3FB" w:val="clear"/>
        <w:spacing w:before="40" w:after="40"/>
        <w:ind w:left="720"/>
      </w:pPr>
      <w:r>
        <w:rPr>
          <w:rFonts w:ascii="Courier New" w:cs="Courier New" w:eastAsia="Courier New" w:hAnsi="Courier New"/>
          <w:color w:val="1F4E79"/>
          <w:sz w:val="18"/>
          <w:szCs w:val="18"/>
        </w:rPr>
        <w:t xml:space="preserve">│   └── figures/</w:t>
      </w:r>
    </w:p>
    <w:p>
      <w:pPr>
        <w:shd w:fill="EBF3FB" w:val="clear"/>
        <w:spacing w:before="40" w:after="40"/>
        <w:ind w:left="720"/>
      </w:pPr>
      <w:r>
        <w:rPr>
          <w:rFonts w:ascii="Courier New" w:cs="Courier New" w:eastAsia="Courier New" w:hAnsi="Courier New"/>
          <w:color w:val="1F4E79"/>
          <w:sz w:val="18"/>
          <w:szCs w:val="18"/>
        </w:rPr>
        <w:t xml:space="preserve">├── shiny/</w:t>
      </w:r>
    </w:p>
    <w:p>
      <w:pPr>
        <w:shd w:fill="EBF3FB" w:val="clear"/>
        <w:spacing w:before="40" w:after="40"/>
        <w:ind w:left="720"/>
      </w:pPr>
      <w:r>
        <w:rPr>
          <w:rFonts w:ascii="Courier New" w:cs="Courier New" w:eastAsia="Courier New" w:hAnsi="Courier New"/>
          <w:color w:val="1F4E79"/>
          <w:sz w:val="18"/>
          <w:szCs w:val="18"/>
        </w:rPr>
        <w:t xml:space="preserve">│   └── app.R</w:t>
      </w:r>
    </w:p>
    <w:p>
      <w:pPr>
        <w:shd w:fill="EBF3FB" w:val="clear"/>
        <w:spacing w:before="40" w:after="40"/>
        <w:ind w:left="720"/>
      </w:pPr>
      <w:r>
        <w:rPr>
          <w:rFonts w:ascii="Courier New" w:cs="Courier New" w:eastAsia="Courier New" w:hAnsi="Courier New"/>
          <w:color w:val="1F4E79"/>
          <w:sz w:val="18"/>
          <w:szCs w:val="18"/>
        </w:rPr>
        <w:t xml:space="preserve">├── sas/</w:t>
      </w:r>
    </w:p>
    <w:p>
      <w:pPr>
        <w:shd w:fill="EBF3FB" w:val="clear"/>
        <w:spacing w:before="40" w:after="40"/>
        <w:ind w:left="720"/>
      </w:pPr>
      <w:r>
        <w:rPr>
          <w:rFonts w:ascii="Courier New" w:cs="Courier New" w:eastAsia="Courier New" w:hAnsi="Courier New"/>
          <w:color w:val="1F4E79"/>
          <w:sz w:val="18"/>
          <w:szCs w:val="18"/>
        </w:rPr>
        <w:t xml:space="preserve">│   ├── 01_data_prep.sas</w:t>
      </w:r>
    </w:p>
    <w:p>
      <w:pPr>
        <w:shd w:fill="EBF3FB" w:val="clear"/>
        <w:spacing w:before="40" w:after="40"/>
        <w:ind w:left="720"/>
      </w:pPr>
      <w:r>
        <w:rPr>
          <w:rFonts w:ascii="Courier New" w:cs="Courier New" w:eastAsia="Courier New" w:hAnsi="Courier New"/>
          <w:color w:val="1F4E79"/>
          <w:sz w:val="18"/>
          <w:szCs w:val="18"/>
        </w:rPr>
        <w:t xml:space="preserve">│   └── 02_models.sas</w:t>
      </w:r>
    </w:p>
    <w:p>
      <w:pPr>
        <w:shd w:fill="EBF3FB" w:val="clear"/>
        <w:spacing w:before="40" w:after="40"/>
        <w:ind w:left="720"/>
      </w:pPr>
      <w:r>
        <w:rPr>
          <w:rFonts w:ascii="Courier New" w:cs="Courier New" w:eastAsia="Courier New" w:hAnsi="Courier New"/>
          <w:color w:val="1F4E79"/>
          <w:sz w:val="18"/>
          <w:szCs w:val="18"/>
        </w:rPr>
        <w:t xml:space="preserve">├── docs/</w:t>
      </w:r>
    </w:p>
    <w:p>
      <w:pPr>
        <w:shd w:fill="EBF3FB" w:val="clear"/>
        <w:spacing w:before="40" w:after="40"/>
        <w:ind w:left="720"/>
      </w:pPr>
      <w:r>
        <w:rPr>
          <w:rFonts w:ascii="Courier New" w:cs="Courier New" w:eastAsia="Courier New" w:hAnsi="Courier New"/>
          <w:color w:val="1F4E79"/>
          <w:sz w:val="18"/>
          <w:szCs w:val="18"/>
        </w:rPr>
        <w:t xml:space="preserve">│   ├── design-rationale.md</w:t>
      </w:r>
    </w:p>
    <w:p>
      <w:pPr>
        <w:shd w:fill="EBF3FB" w:val="clear"/>
        <w:spacing w:before="40" w:after="40"/>
        <w:ind w:left="720"/>
      </w:pPr>
      <w:r>
        <w:rPr>
          <w:rFonts w:ascii="Courier New" w:cs="Courier New" w:eastAsia="Courier New" w:hAnsi="Courier New"/>
          <w:color w:val="1F4E79"/>
          <w:sz w:val="18"/>
          <w:szCs w:val="18"/>
        </w:rPr>
        <w:t xml:space="preserve">│   └── pipeline-guide.md</w:t>
      </w:r>
    </w:p>
    <w:p>
      <w:pPr>
        <w:shd w:fill="EBF3FB" w:val="clear"/>
        <w:spacing w:before="40" w:after="40"/>
        <w:ind w:left="720"/>
      </w:pPr>
      <w:r>
        <w:rPr>
          <w:rFonts w:ascii="Courier New" w:cs="Courier New" w:eastAsia="Courier New" w:hAnsi="Courier New"/>
          <w:color w:val="1F4E79"/>
          <w:sz w:val="18"/>
          <w:szCs w:val="18"/>
        </w:rPr>
        <w:t xml:space="preserve">├── data/</w:t>
      </w:r>
    </w:p>
    <w:p>
      <w:pPr>
        <w:shd w:fill="EBF3FB" w:val="clear"/>
        <w:spacing w:before="40" w:after="40"/>
        <w:ind w:left="720"/>
      </w:pPr>
      <w:r>
        <w:rPr>
          <w:rFonts w:ascii="Courier New" w:cs="Courier New" w:eastAsia="Courier New" w:hAnsi="Courier New"/>
          <w:color w:val="1F4E79"/>
          <w:sz w:val="18"/>
          <w:szCs w:val="18"/>
        </w:rPr>
        <w:t xml:space="preserve">│   ├── raw/          [not included — PHI]</w:t>
      </w:r>
    </w:p>
    <w:p>
      <w:pPr>
        <w:shd w:fill="EBF3FB" w:val="clear"/>
        <w:spacing w:before="40" w:after="40"/>
        <w:ind w:left="720"/>
      </w:pPr>
      <w:r>
        <w:rPr>
          <w:rFonts w:ascii="Courier New" w:cs="Courier New" w:eastAsia="Courier New" w:hAnsi="Courier New"/>
          <w:color w:val="1F4E79"/>
          <w:sz w:val="18"/>
          <w:szCs w:val="18"/>
        </w:rPr>
        <w:t xml:space="preserve">│   └── processed/    [not included — PHI]</w:t>
      </w:r>
    </w:p>
    <w:p>
      <w:pPr>
        <w:shd w:fill="EBF3FB" w:val="clear"/>
        <w:spacing w:before="40" w:after="40"/>
        <w:ind w:left="720"/>
      </w:pPr>
      <w:r>
        <w:rPr>
          <w:rFonts w:ascii="Courier New" w:cs="Courier New" w:eastAsia="Courier New" w:hAnsi="Courier New"/>
          <w:color w:val="1F4E79"/>
          <w:sz w:val="18"/>
          <w:szCs w:val="18"/>
        </w:rPr>
        <w:t xml:space="preserve">├── renv.lock</w:t>
      </w:r>
    </w:p>
    <w:p>
      <w:pPr>
        <w:shd w:fill="EBF3FB" w:val="clear"/>
        <w:spacing w:before="40" w:after="40"/>
        <w:ind w:left="720"/>
      </w:pPr>
      <w:r>
        <w:rPr>
          <w:rFonts w:ascii="Courier New" w:cs="Courier New" w:eastAsia="Courier New" w:hAnsi="Courier New"/>
          <w:color w:val="1F4E79"/>
          <w:sz w:val="18"/>
          <w:szCs w:val="18"/>
        </w:rPr>
        <w:t xml:space="preserve">└── README.md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What Each Folder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Folder</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What it signals to a reviewer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 with numbered scripts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Pipeline thinking, not exploratory scripting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 committed (empty)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Separation of code from results — reproducibility mindset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shiny/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Communication skills — you built something for non-statisticians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sas/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Cross-platform fluency; awareness of regulatory/clinical environments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docs/design-rationale.md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Leadership signal — you document WHY, not just WHAT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renv.lock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Software engineering discipline; collaborators can reproduce your environment</w:t>
            </w:r>
          </w:p>
        </w:tc>
      </w:tr>
    </w:tbl>
    <w:p>
      <w:pPr>
        <w:spacing w:before="60" w:after="60"/>
      </w:pPr>
      <w:r>
        <w:t xml:space="preserve"/>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3. R Pipeline — Script Responsibilities</w:t>
      </w:r>
    </w:p>
    <w:p>
      <w:pPr>
        <w:spacing w:before="80" w:after="80"/>
      </w:pPr>
      <w:r>
        <w:rPr>
          <w:rFonts w:ascii="Arial" w:cs="Arial" w:eastAsia="Arial" w:hAnsi="Arial"/>
          <w:color w:val="222222"/>
          <w:sz w:val="20"/>
          <w:szCs w:val="20"/>
        </w:rPr>
        <w:t xml:space="preserve">The current single script (build_analysis_dataset.R) should be split into four numbered scripts. Each script reads from a defined input and writes to a defined output, making the pipeline auditable and reproducible.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Script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Reads</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Writes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Key packages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01_build_analysis_dataset.R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data/raw/*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data/processed/analysis_dataset.rds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dplyr, tidyr, readr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02_fit_models.R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data/processed/analysis_dataset.rds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outputs/models/*.rds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lme4, ordinal, 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03_predicted_probabilities.R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outputs/models/*.rds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outputs/figures/pred_*.png, pred_probs.csv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ggplot2, tidyr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04_tables_figures.R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outputs/models/*.rds + pred data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outputs/tables/*.html, figures/*.pdf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gtsummary, broom.mixed, ggplot2</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Script 02 — Key Modeling Note</w:t>
      </w:r>
    </w:p>
    <w:p>
      <w:pPr>
        <w:spacing w:before="80" w:after="80"/>
      </w:pPr>
      <w:r>
        <w:rPr>
          <w:rFonts w:ascii="Arial" w:cs="Arial" w:eastAsia="Arial" w:hAnsi="Arial"/>
          <w:color w:val="222222"/>
          <w:sz w:val="20"/>
          <w:szCs w:val="20"/>
        </w:rPr>
        <w:t xml:space="preserve">Use clmm() from the ordinal package for cross-classified ordinal models. For binary outcomes, use glmer(..., family = binomial) from lme4. Do not use lmer() for non-Gaussian outcomes.</w:t>
      </w:r>
    </w:p>
    <w:p>
      <w:pPr>
        <w:shd w:fill="EBF3FB" w:val="clear"/>
        <w:spacing w:before="40" w:after="40"/>
        <w:ind w:left="720"/>
      </w:pPr>
      <w:r>
        <w:rPr>
          <w:rFonts w:ascii="Courier New" w:cs="Courier New" w:eastAsia="Courier New" w:hAnsi="Courier New"/>
          <w:color w:val="1F4E79"/>
          <w:sz w:val="18"/>
          <w:szCs w:val="18"/>
        </w:rPr>
        <w:t xml:space="preserve"># Cross-classified ordinal model</w:t>
      </w:r>
    </w:p>
    <w:p>
      <w:pPr>
        <w:shd w:fill="EBF3FB" w:val="clear"/>
        <w:spacing w:before="40" w:after="40"/>
        <w:ind w:left="720"/>
      </w:pPr>
      <w:r>
        <w:rPr>
          <w:rFonts w:ascii="Courier New" w:cs="Courier New" w:eastAsia="Courier New" w:hAnsi="Courier New"/>
          <w:color w:val="1F4E79"/>
          <w:sz w:val="18"/>
          <w:szCs w:val="18"/>
        </w:rPr>
        <w:t xml:space="preserve">mod_aesthetic &lt;- clmm(</w:t>
      </w:r>
    </w:p>
    <w:p>
      <w:pPr>
        <w:shd w:fill="EBF3FB" w:val="clear"/>
        <w:spacing w:before="40" w:after="40"/>
        <w:ind w:left="720"/>
      </w:pPr>
      <w:r>
        <w:rPr>
          <w:rFonts w:ascii="Courier New" w:cs="Courier New" w:eastAsia="Courier New" w:hAnsi="Courier New"/>
          <w:color w:val="1F4E79"/>
          <w:sz w:val="18"/>
          <w:szCs w:val="18"/>
        </w:rPr>
        <w:t xml:space="preserve">  aesthetic_ordered ~ upper_prop + upper_prop_sq +</w:t>
      </w:r>
    </w:p>
    <w:p>
      <w:pPr>
        <w:shd w:fill="EBF3FB" w:val="clear"/>
        <w:spacing w:before="40" w:after="40"/>
        <w:ind w:left="720"/>
      </w:pPr>
      <w:r>
        <w:rPr>
          <w:rFonts w:ascii="Courier New" w:cs="Courier New" w:eastAsia="Courier New" w:hAnsi="Courier New"/>
          <w:color w:val="1F4E79"/>
          <w:sz w:val="18"/>
          <w:szCs w:val="18"/>
        </w:rPr>
        <w:t xml:space="preserve">    implant_method + months_post_op +</w:t>
      </w:r>
    </w:p>
    <w:p>
      <w:pPr>
        <w:shd w:fill="EBF3FB" w:val="clear"/>
        <w:spacing w:before="40" w:after="40"/>
        <w:ind w:left="720"/>
      </w:pPr>
      <w:r>
        <w:rPr>
          <w:rFonts w:ascii="Courier New" w:cs="Courier New" w:eastAsia="Courier New" w:hAnsi="Courier New"/>
          <w:color w:val="1F4E79"/>
          <w:sz w:val="18"/>
          <w:szCs w:val="18"/>
        </w:rPr>
        <w:t xml:space="preserve">    (1 | rater_id) + (1 | image_id),</w:t>
      </w:r>
    </w:p>
    <w:p>
      <w:pPr>
        <w:shd w:fill="EBF3FB" w:val="clear"/>
        <w:spacing w:before="40" w:after="40"/>
        <w:ind w:left="720"/>
      </w:pPr>
      <w:r>
        <w:rPr>
          <w:rFonts w:ascii="Courier New" w:cs="Courier New" w:eastAsia="Courier New" w:hAnsi="Courier New"/>
          <w:color w:val="1F4E79"/>
          <w:sz w:val="18"/>
          <w:szCs w:val="18"/>
        </w:rPr>
        <w:t xml:space="preserve">  data = analysis_df, link = 'logit'</w:t>
      </w:r>
    </w:p>
    <w:p>
      <w:pPr>
        <w:shd w:fill="EBF3FB" w:val="clear"/>
        <w:spacing w:before="40" w:after="40"/>
        <w:ind w:left="720"/>
      </w:pPr>
      <w:r>
        <w:rPr>
          <w:rFonts w:ascii="Courier New" w:cs="Courier New" w:eastAsia="Courier New" w:hAnsi="Courier New"/>
          <w:color w:val="1F4E79"/>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Reproducibility — renv Setup</w:t>
      </w:r>
    </w:p>
    <w:p>
      <w:pPr>
        <w:shd w:fill="EBF3FB" w:val="clear"/>
        <w:spacing w:before="40" w:after="40"/>
        <w:ind w:left="720"/>
      </w:pPr>
      <w:r>
        <w:rPr>
          <w:rFonts w:ascii="Courier New" w:cs="Courier New" w:eastAsia="Courier New" w:hAnsi="Courier New"/>
          <w:color w:val="1F4E79"/>
          <w:sz w:val="18"/>
          <w:szCs w:val="18"/>
        </w:rPr>
        <w:t xml:space="preserve">renv::init()        # initialize</w:t>
      </w:r>
    </w:p>
    <w:p>
      <w:pPr>
        <w:shd w:fill="EBF3FB" w:val="clear"/>
        <w:spacing w:before="40" w:after="40"/>
        <w:ind w:left="720"/>
      </w:pPr>
      <w:r>
        <w:rPr>
          <w:rFonts w:ascii="Courier New" w:cs="Courier New" w:eastAsia="Courier New" w:hAnsi="Courier New"/>
          <w:color w:val="1F4E79"/>
          <w:sz w:val="18"/>
          <w:szCs w:val="18"/>
        </w:rPr>
        <w:t xml:space="preserve">renv::snapshot()    # after installing packages</w:t>
      </w:r>
    </w:p>
    <w:p>
      <w:pPr>
        <w:shd w:fill="EBF3FB" w:val="clear"/>
        <w:spacing w:before="40" w:after="40"/>
        <w:ind w:left="720"/>
      </w:pPr>
      <w:r>
        <w:rPr>
          <w:rFonts w:ascii="Courier New" w:cs="Courier New" w:eastAsia="Courier New" w:hAnsi="Courier New"/>
          <w:color w:val="1F4E79"/>
          <w:sz w:val="18"/>
          <w:szCs w:val="18"/>
        </w:rPr>
        <w:t xml:space="preserve">renv::restore()     # collaborators run this</w:t>
      </w:r>
    </w:p>
    <w:p>
      <w:pPr>
        <w:spacing w:before="60" w:after="60"/>
      </w:pPr>
      <w:r>
        <w:t xml:space="preserve"/>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4. Statistical Design Rationale</w:t>
      </w:r>
    </w:p>
    <w:p>
      <w:pPr>
        <w:spacing w:before="80" w:after="80"/>
      </w:pPr>
      <w:r>
        <w:rPr>
          <w:rFonts w:ascii="Arial" w:cs="Arial" w:eastAsia="Arial" w:hAnsi="Arial"/>
          <w:color w:val="222222"/>
          <w:sz w:val="20"/>
          <w:szCs w:val="20"/>
        </w:rPr>
        <w:t xml:space="preserve">The design-rationale.md document in docs/ is the most important leadership artifact in this repository. It records why you made each statistical decision, not just what you did. Below is a summary of the six key decisions and the clinical or analytical reasoning behind each.</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1 — Cross-Classified Random Effects</w:t>
      </w:r>
    </w:p>
    <w:p>
      <w:pPr>
        <w:spacing w:before="80" w:after="80"/>
      </w:pPr>
      <w:r>
        <w:rPr>
          <w:rFonts w:ascii="Arial" w:cs="Arial" w:eastAsia="Arial" w:hAnsi="Arial"/>
          <w:color w:val="222222"/>
          <w:sz w:val="20"/>
          <w:szCs w:val="20"/>
        </w:rPr>
        <w:t xml:space="preserve">Each rater evaluated every image. This is a cross-classified structure (not nested). Using a nested model would have misrepresented the dependency structure and biased standard errors, potentially producing spuriously significant ratio associations.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2 — Separate Aesthetic and Naturalness Models</w:t>
      </w:r>
    </w:p>
    <w:p>
      <w:pPr>
        <w:spacing w:before="80" w:after="80"/>
      </w:pPr>
      <w:r>
        <w:rPr>
          <w:rFonts w:ascii="Arial" w:cs="Arial" w:eastAsia="Arial" w:hAnsi="Arial"/>
          <w:color w:val="222222"/>
          <w:sz w:val="20"/>
          <w:szCs w:val="20"/>
        </w:rPr>
        <w:t xml:space="preserve">Prior literature treats these as interchangeable. This analysis tested that assumption rather than assuming it. The result — OR 11.84 for surgeons vs. OR 3.04 for laypersons — confirmed they are distinct constructs, particularly for non-expert raters. This distinction became a primary finding.</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3 — Quadratic Terms</w:t>
      </w:r>
    </w:p>
    <w:p>
      <w:pPr>
        <w:spacing w:before="80" w:after="80"/>
      </w:pPr>
      <w:r>
        <w:rPr>
          <w:rFonts w:ascii="Arial" w:cs="Arial" w:eastAsia="Arial" w:hAnsi="Arial"/>
          <w:color w:val="222222"/>
          <w:sz w:val="20"/>
          <w:szCs w:val="20"/>
        </w:rPr>
        <w:t xml:space="preserve">A linear model for ratio effects assumes monotonic association. Clinically implausible: there should be a zone of optimal proportions with falling-off on either side. Pre-specifying quadratic terms guards against a Type II error in which a curved relationship averages to a near-zero linear slope.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4 — Sensitivity Analyses with Preoperative Ratios</w:t>
      </w:r>
    </w:p>
    <w:p>
      <w:pPr>
        <w:spacing w:before="80" w:after="80"/>
      </w:pPr>
      <w:r>
        <w:rPr>
          <w:rFonts w:ascii="Arial" w:cs="Arial" w:eastAsia="Arial" w:hAnsi="Arial"/>
          <w:color w:val="222222"/>
          <w:sz w:val="20"/>
          <w:szCs w:val="20"/>
        </w:rPr>
        <w:t xml:space="preserve">Postoperative ratios reflect both baseline anatomy and surgical intervention. Sensitivity analyses with preoperative ratios test whether the associations observed are driven by where the surgeon placed the implant or by which patients started with favorable proportions.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5 — ICCs as a Primary Result</w:t>
      </w:r>
    </w:p>
    <w:p>
      <w:pPr>
        <w:spacing w:before="80" w:after="80"/>
      </w:pPr>
      <w:r>
        <w:rPr>
          <w:rFonts w:ascii="Arial" w:cs="Arial" w:eastAsia="Arial" w:hAnsi="Arial"/>
          <w:color w:val="222222"/>
          <w:sz w:val="20"/>
          <w:szCs w:val="20"/>
        </w:rPr>
        <w:t xml:space="preserve">ICC values are typically reported as model diagnostics. Here, the ICC pattern is substantively informative: surgeon ratings cluster moderately at the image level (shared perceptual framework); lay ratings cluster at the rater level (individual perceptual tendencies). This directly answers the secondary aim.</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Decision 6 — Reporting the Null</w:t>
      </w:r>
    </w:p>
    <w:p>
      <w:pPr>
        <w:spacing w:before="80" w:after="80"/>
      </w:pPr>
      <w:r>
        <w:rPr>
          <w:rFonts w:ascii="Arial" w:cs="Arial" w:eastAsia="Arial" w:hAnsi="Arial"/>
          <w:color w:val="222222"/>
          <w:sz w:val="20"/>
          <w:szCs w:val="20"/>
        </w:rPr>
        <w:t xml:space="preserve">The null finding rules out a simple, linear, universally applicable ratio standard. In a field actively searching for such a standard, a well-powered null result is a meaningful contribution that redirects clinical attention appropriately.</w:t>
      </w:r>
    </w:p>
    <w:p>
      <w:pPr>
        <w:spacing w:before="60" w:after="60"/>
      </w:pPr>
      <w:r>
        <w:t xml:space="preserve"/>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5. What This Portfolio Piece Signals</w:t>
      </w:r>
    </w:p>
    <w:p>
      <w:pPr>
        <w:spacing w:before="80" w:after="80"/>
      </w:pPr>
      <w:r>
        <w:rPr>
          <w:rFonts w:ascii="Arial" w:cs="Arial" w:eastAsia="Arial" w:hAnsi="Arial"/>
          <w:color w:val="222222"/>
          <w:sz w:val="20"/>
          <w:szCs w:val="20"/>
        </w:rPr>
        <w:t xml:space="preserve">For pharma/biotech hiring managers evaluating you for statistical programmer, biostatistician, research scientist, or technical manager roles, this project demonstrates: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Competency</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22222"/>
                <w:sz w:val="18"/>
                <w:szCs w:val="18"/>
              </w:rPr>
              <w:t xml:space="preserve">Evidence in this project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Mixed-effects modeling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Cross-classified GLMM, ordinal and binary outcomes, ICC reporting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Clinical collaboration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Statistical design informed by direct surgeon input; translated clinical protocol into model 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Decision-making under uncertainty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Pre-specified quadratic terms, sensitivity analyses, null result reported with appropriate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Cross-platform fluency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R primary analysis + SAS/SQL reproduction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Reproducibility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renv, numbered pipeline, documented outputs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Communication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18"/>
                <w:szCs w:val="18"/>
              </w:rPr>
              <w:t xml:space="preserve">Shiny dashboard for non-statistician audience; design rationale for scientific reviewers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Leadership trajectory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Design rationale document demonstrates you own the analytical strategy, not just the execution</w:t>
            </w:r>
          </w:p>
        </w:tc>
      </w:tr>
    </w:tbl>
    <w:p>
      <w:pPr>
        <w:spacing w:before="60" w:after="60"/>
      </w:pPr>
      <w:r>
        <w:t xml:space="preserve"/>
      </w:r>
    </w:p>
    <w:p>
      <w:pPr>
        <w:pBdr>
          <w:top w:val="single" w:color="2E75B6" w:sz="4" w:space="4"/>
        </w:pBdr>
        <w:spacing w:before="240" w:after="0"/>
        <w:jc w:val="center"/>
      </w:pPr>
      <w:r>
        <w:rPr>
          <w:rFonts w:ascii="Arial" w:cs="Arial" w:eastAsia="Arial" w:hAnsi="Arial"/>
          <w:i/>
          <w:iCs/>
          <w:color w:val="888888"/>
          <w:sz w:val="18"/>
          <w:szCs w:val="18"/>
        </w:rPr>
        <w:t xml:space="preserve">Phase 2 (Shiny Dashboard) and Phase 3 (SAS/SQL Reproduction) to follow.</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Breast Augmentation Ratio Analysis  |  Portfolio Reference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2026-03-18T18:29:34.074Z</dcterms:created>
  <dcterms:modified xsi:type="dcterms:W3CDTF">2026-03-18T18:29:34.075Z</dcterms:modified>
</cp:coreProperties>
</file>

<file path=docProps/custom.xml><?xml version="1.0" encoding="utf-8"?>
<Properties xmlns="http://schemas.openxmlformats.org/officeDocument/2006/custom-properties" xmlns:vt="http://schemas.openxmlformats.org/officeDocument/2006/docPropsVTypes"/>
</file>