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Quantifying Aesthetic Outcomes in Breast Augmentation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Manuscript Tables</w:t>
      </w:r>
    </w:p>
    <w:p>
      <w:pPr>
        <w:pStyle w:val="Body"/>
        <w:bidi w:val="0"/>
      </w:pPr>
      <w:r>
        <w:rPr>
          <w:rFonts w:ascii="Times New Roman" w:hAnsi="Times New Roman"/>
          <w:sz w:val="20"/>
          <w:szCs w:val="20"/>
          <w:rtl w:val="0"/>
          <w:lang w:val="it-IT"/>
        </w:rPr>
        <w:t>Casandra Serafin, M.S. Biostatistics Candidate</w:t>
      </w:r>
    </w:p>
    <w:p>
      <w:pPr>
        <w:pStyle w:val="Body"/>
        <w:bidi w:val="0"/>
      </w:pPr>
      <w:r>
        <w:rPr>
          <w:rFonts w:ascii="Times New Roman" w:hAnsi="Times New Roman"/>
          <w:sz w:val="20"/>
          <w:szCs w:val="20"/>
          <w:rtl w:val="0"/>
          <w:lang w:val="en-US"/>
        </w:rPr>
        <w:t>Keck School of Medicine, University of Southern California</w:t>
      </w:r>
    </w:p>
    <w:p>
      <w:pPr>
        <w:pStyle w:val="Body"/>
        <w:bidi w:val="0"/>
      </w:pPr>
      <w:r>
        <w:rPr>
          <w:rFonts w:ascii="Times New Roman" w:hAnsi="Times New Roman"/>
          <w:i w:val="1"/>
          <w:iCs w:val="1"/>
          <w:sz w:val="20"/>
          <w:szCs w:val="20"/>
          <w:rtl w:val="0"/>
          <w:lang w:val="en-US"/>
        </w:rPr>
        <w:t>Generated: April 18, 2026</w:t>
      </w:r>
    </w:p>
    <w:p>
      <w:pPr>
        <w:pStyle w:val="Body"/>
        <w:bidi w:val="0"/>
      </w:pPr>
      <w:r>
        <w:br w:type="textWrapping"/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Table 1. Rater Characteristics by Cohort</w:t>
      </w:r>
    </w:p>
    <w:p>
      <w:pPr>
        <w:pStyle w:val="Body"/>
        <w:bidi w:val="0"/>
      </w:pPr>
      <w:r>
        <w:rPr>
          <w:rFonts w:ascii="Times New Roman" w:hAnsi="Times New Roman"/>
          <w:i w:val="1"/>
          <w:iCs w:val="1"/>
          <w:sz w:val="20"/>
          <w:szCs w:val="20"/>
          <w:rtl w:val="0"/>
          <w:lang w:val="it-IT"/>
        </w:rPr>
        <w:t xml:space="preserve">Note.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Data shown as n (%).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en-US"/>
        </w:rPr>
        <w:t>indicates item not collected for that cohort. CI = confidence interval; ICC = intraclass correlation coefficient.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Surgeon Cohort (N = 78)</w:t>
      </w:r>
    </w:p>
    <w:tbl>
      <w:tblPr>
        <w:tblW w:w="7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3600"/>
        <w:gridCol w:w="180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Variable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Category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n (%)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18-24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 (1.3%)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25-34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15 (19.2%)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34-44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40 (51.3%)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45-54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15 (19.2%)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65+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 (6.4%)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 (2.6%)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Gender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Female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26 (33.3%)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Gender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Male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52 (66.7%)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Continent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Africa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 (2.6%)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Continent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Americas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28 (35.9%)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Continent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Asia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 (1.3%)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Continent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Europe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 (9.0%)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Continent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Oceania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33 (42.3%)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Continent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Other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 (9.0%)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Practice Setting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Academic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 (6.4%)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Practice Setting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Hospital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20 (25.6%)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Practice Setting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Other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 (6.4%)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Practice Setting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Private Practice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48 (61.5%)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Years in Practice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1 year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22 (28.2%)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Years in Practice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2 years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12 (15.4%)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Years in Practice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3 years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 (14.1%)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Years in Practice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4 years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19 (24.4%)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Years in Practice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5 years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9 (11.5%)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Years in Practice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 (6.4%)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Lay Person Cohort (N = 243)</w:t>
      </w:r>
    </w:p>
    <w:tbl>
      <w:tblPr>
        <w:tblW w:w="7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3600"/>
        <w:gridCol w:w="180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Variable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Category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n (%)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18-24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 (4.1%)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25-34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157 (64.6%)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34-44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66 (27.2%)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45-54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 (2.5%)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65+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 (1.2%)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Age (years)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 (0.4%)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Gender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Female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143 (58.8%)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Gender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Male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100 (41.2%)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Country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Other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26 (10.7%)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Country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USA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217 (89.3%)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Racial Identity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African/Black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 (1.2%)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Racial Identity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Asian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41 (16.9%)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Racial Identity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Caucasian/White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196 (80.7%)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Racial Identity</w:t>
            </w:r>
          </w:p>
        </w:tc>
        <w:tc>
          <w:tcPr>
            <w:tcW w:type="dxa" w:w="36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Native American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 (1.2%)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br w:type="textWrapping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Table 2A. Distribution of Aesthetic Ratings by Cohort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i w:val="1"/>
          <w:iCs w:val="1"/>
          <w:sz w:val="20"/>
          <w:szCs w:val="20"/>
          <w:rtl w:val="0"/>
          <w:lang w:val="it-IT"/>
        </w:rPr>
        <w:t xml:space="preserve">Note.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OR = odds ratio. Ratings: 1 = Very Unattractive, 2 = Unattractive, 3 = Neutral, 4 = Attractive, 5 = Very Attractive. Binary outcome: high aesthetic = rating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≥ </w:t>
      </w:r>
      <w:r>
        <w:rPr>
          <w:rFonts w:ascii="Times New Roman" w:hAnsi="Times New Roman"/>
          <w:sz w:val="20"/>
          <w:szCs w:val="20"/>
          <w:rtl w:val="0"/>
        </w:rPr>
        <w:t>4.</w:t>
      </w:r>
    </w:p>
    <w:tbl>
      <w:tblPr>
        <w:tblW w:w="89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2880"/>
        <w:gridCol w:w="288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Aesthetic Rating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Surgeon, n (%)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Lay Person, n (%)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Very Unattractive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51 (3.0%)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139 (1.7%)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Unattractive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313 (18.5%)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508 (6.4%)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Neutral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325 (19.3%)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2033 (25.5%)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Attractive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756 (44.8%)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4078 (51.1%)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Very Attractive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243 (14.4%)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1230 (15.4%)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Table 2B. Distribution of Naturalness Ratings by Cohort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i w:val="1"/>
          <w:iCs w:val="1"/>
          <w:sz w:val="20"/>
          <w:szCs w:val="20"/>
          <w:rtl w:val="0"/>
          <w:lang w:val="it-IT"/>
        </w:rPr>
        <w:t xml:space="preserve">Note.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Ratings: 1 = Very Unnatural, 2 = Unnatural, 3 = Neutral, 4 = Natural, 5 = Very Natural. Binary outcome: high naturalness = rating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≥ </w:t>
      </w:r>
      <w:r>
        <w:rPr>
          <w:rFonts w:ascii="Times New Roman" w:hAnsi="Times New Roman"/>
          <w:sz w:val="20"/>
          <w:szCs w:val="20"/>
          <w:rtl w:val="0"/>
        </w:rPr>
        <w:t>4.</w:t>
      </w:r>
    </w:p>
    <w:tbl>
      <w:tblPr>
        <w:tblW w:w="89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2880"/>
        <w:gridCol w:w="288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Naturalness Rating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Surgeon, n (%)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Lay Person, n (%)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Very Unnatural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104 (6.2%)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158 (2.0%)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Unnatural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521 (30.9%)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721 (9.0%)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Neutral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383 (22.7%)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2414 (30.2%)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Natural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527 (31.2%)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3476 (43.5%)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Very Natural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153 (9.1%)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1219 (15.3%)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br w:type="textWrapping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Table 3A. Univariate Upper Proportion Models for Aesthetic Ratings by Cohort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i w:val="1"/>
          <w:iCs w:val="1"/>
          <w:sz w:val="20"/>
          <w:szCs w:val="20"/>
          <w:rtl w:val="0"/>
          <w:lang w:val="it-IT"/>
        </w:rPr>
        <w:t xml:space="preserve">Note. </w:t>
      </w:r>
      <w:r>
        <w:rPr>
          <w:rFonts w:ascii="Times New Roman" w:hAnsi="Times New Roman"/>
          <w:sz w:val="20"/>
          <w:szCs w:val="20"/>
          <w:rtl w:val="0"/>
          <w:lang w:val="en-US"/>
        </w:rPr>
        <w:t>OR = odds ratio; CI = confidence interval. Models fitted using binary logistic mixed effects regression with cross-classified random intercepts for image (PatientID) and rater. All predictors standardized prior to modeling. Bold p-values indicate statistical significance (p &lt; 0.05). Cumulative odds ratios reported for ordinal models.</w:t>
      </w:r>
    </w:p>
    <w:tbl>
      <w:tblPr>
        <w:tblW w:w="94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2160"/>
        <w:gridCol w:w="960"/>
        <w:gridCol w:w="2160"/>
        <w:gridCol w:w="960"/>
      </w:tblGrid>
      <w:tr>
        <w:tblPrEx>
          <w:shd w:val="clear" w:color="auto" w:fill="4f81bd"/>
        </w:tblPrEx>
        <w:trPr>
          <w:trHeight w:val="484" w:hRule="atLeast"/>
          <w:tblHeader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Characteristic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Lay Person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Upper Proportion (standardized)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0.88 (0.62, 1.23)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0.439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0.96 (0.88, 1.04)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0.306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Upper Proportion (standardized, squared)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0.74 (0.59, 0.93)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0.011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1.02 (0.96, 1.08)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0.492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Table 3B. Univariate Upper Proportion Models for Naturalness Ratings by Cohort</w:t>
      </w:r>
    </w:p>
    <w:tbl>
      <w:tblPr>
        <w:tblW w:w="94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2160"/>
        <w:gridCol w:w="960"/>
        <w:gridCol w:w="2160"/>
        <w:gridCol w:w="960"/>
      </w:tblGrid>
      <w:tr>
        <w:tblPrEx>
          <w:shd w:val="clear" w:color="auto" w:fill="4f81bd"/>
        </w:tblPrEx>
        <w:trPr>
          <w:trHeight w:val="484" w:hRule="atLeast"/>
          <w:tblHeader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Characteristic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Lay Person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Upper Proportion (standardized)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1.06 (0.68, 1.65)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0.809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0.95 (0.89, 1.02)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0.198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Upper Proportion (standardized, squared)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0.73 (0.54, 0.99)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0.043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1.00 (0.95, 1.05)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0.984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Table 3C. Univariate Post-Operative Ratio Models for Aesthetic Ratings by Cohort</w:t>
      </w:r>
    </w:p>
    <w:tbl>
      <w:tblPr>
        <w:tblW w:w="94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2160"/>
        <w:gridCol w:w="960"/>
        <w:gridCol w:w="2160"/>
        <w:gridCol w:w="960"/>
      </w:tblGrid>
      <w:tr>
        <w:tblPrEx>
          <w:shd w:val="clear" w:color="auto" w:fill="4f81bd"/>
        </w:tblPrEx>
        <w:trPr>
          <w:trHeight w:val="484" w:hRule="atLeast"/>
          <w:tblHeader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Characteristic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Lay Person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Post-Op Ratio (standardized)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0.98 (0.93, 1.04)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0.503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Post-Op Ratio (standardized, squared)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0.99 (0.99, 1.00)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0.158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Table 3D. Univariate Post-Operative Ratio Models for Naturalness Ratings by Cohort</w:t>
      </w:r>
    </w:p>
    <w:tbl>
      <w:tblPr>
        <w:tblW w:w="94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2160"/>
        <w:gridCol w:w="960"/>
        <w:gridCol w:w="2160"/>
        <w:gridCol w:w="960"/>
      </w:tblGrid>
      <w:tr>
        <w:tblPrEx>
          <w:shd w:val="clear" w:color="auto" w:fill="4f81bd"/>
        </w:tblPrEx>
        <w:trPr>
          <w:trHeight w:val="484" w:hRule="atLeast"/>
          <w:tblHeader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Characteristic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Lay Person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Post-Op Ratio (standardized)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1.05 (0.97, 1.12)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0.210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Post-Op Ratio (standardized, squared)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1.00 (0.99, 1.01)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0.910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Table 3E. Univariate Ratio Difference Models for Aesthetic Ratings by Cohort</w:t>
      </w:r>
    </w:p>
    <w:tbl>
      <w:tblPr>
        <w:tblW w:w="94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2160"/>
        <w:gridCol w:w="960"/>
        <w:gridCol w:w="2160"/>
        <w:gridCol w:w="960"/>
      </w:tblGrid>
      <w:tr>
        <w:tblPrEx>
          <w:shd w:val="clear" w:color="auto" w:fill="4f81bd"/>
        </w:tblPrEx>
        <w:trPr>
          <w:trHeight w:val="484" w:hRule="atLeast"/>
          <w:tblHeader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Characteristic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Lay Person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Ratio Difference (standardized)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1.02 (0.93, 1.11)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0.721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Ratio Difference (standardized, squared)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0.99 (0.99, 1.00)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0.257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Table 3F. Univariate Ratio Difference Models for Naturalness Ratings by Cohort</w:t>
      </w:r>
    </w:p>
    <w:tbl>
      <w:tblPr>
        <w:tblW w:w="94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2160"/>
        <w:gridCol w:w="960"/>
        <w:gridCol w:w="2160"/>
        <w:gridCol w:w="960"/>
      </w:tblGrid>
      <w:tr>
        <w:tblPrEx>
          <w:shd w:val="clear" w:color="auto" w:fill="4f81bd"/>
        </w:tblPrEx>
        <w:trPr>
          <w:trHeight w:val="484" w:hRule="atLeast"/>
          <w:tblHeader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Characteristic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Lay Person OR (95% CI)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Ratio Difference (standardized)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0.95 (0.85, 1.05)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0.302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Ratio Difference (standardized, squared)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0.99 (0.98, 1.00)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0.180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  <w:tc>
          <w:tcPr>
            <w:tcW w:type="dxa" w:w="9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br w:type="textWrapping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Table 4. Intraclass Correlation Coefficients (ICC) by Outcome, Type, and Cohort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i w:val="1"/>
          <w:iCs w:val="1"/>
          <w:sz w:val="20"/>
          <w:szCs w:val="20"/>
          <w:rtl w:val="0"/>
          <w:lang w:val="it-IT"/>
        </w:rPr>
        <w:t xml:space="preserve">Note.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ICC computed from null intercept binary logistic mixed models using the latent-variable formula: ICC = </w:t>
      </w:r>
      <w:r>
        <w:rPr>
          <w:rFonts w:ascii="Times New Roman" w:hAnsi="Times New Roman" w:hint="default"/>
          <w:sz w:val="20"/>
          <w:szCs w:val="20"/>
          <w:rtl w:val="0"/>
        </w:rPr>
        <w:t>σ²</w:t>
      </w:r>
      <w:r>
        <w:rPr>
          <w:rFonts w:ascii="Times New Roman" w:hAnsi="Times New Roman"/>
          <w:sz w:val="20"/>
          <w:szCs w:val="20"/>
          <w:rtl w:val="0"/>
          <w:lang w:val="en-US"/>
        </w:rPr>
        <w:t>_RE / (</w:t>
      </w:r>
      <w:r>
        <w:rPr>
          <w:rFonts w:ascii="Times New Roman" w:hAnsi="Times New Roman" w:hint="default"/>
          <w:sz w:val="20"/>
          <w:szCs w:val="20"/>
          <w:rtl w:val="0"/>
        </w:rPr>
        <w:t>σ²</w:t>
      </w:r>
      <w:r>
        <w:rPr>
          <w:rFonts w:ascii="Times New Roman" w:hAnsi="Times New Roman"/>
          <w:sz w:val="20"/>
          <w:szCs w:val="20"/>
          <w:rtl w:val="0"/>
        </w:rPr>
        <w:t xml:space="preserve">_RE + </w:t>
      </w:r>
      <w:r>
        <w:rPr>
          <w:rFonts w:ascii="Times New Roman" w:hAnsi="Times New Roman" w:hint="default"/>
          <w:sz w:val="20"/>
          <w:szCs w:val="20"/>
          <w:rtl w:val="0"/>
        </w:rPr>
        <w:t>π²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/3), where </w:t>
      </w:r>
      <w:r>
        <w:rPr>
          <w:rFonts w:ascii="Times New Roman" w:hAnsi="Times New Roman" w:hint="default"/>
          <w:sz w:val="20"/>
          <w:szCs w:val="20"/>
          <w:rtl w:val="0"/>
        </w:rPr>
        <w:t>π²</w:t>
      </w:r>
      <w:r>
        <w:rPr>
          <w:rFonts w:ascii="Times New Roman" w:hAnsi="Times New Roman"/>
          <w:sz w:val="20"/>
          <w:szCs w:val="20"/>
          <w:rtl w:val="0"/>
        </w:rPr>
        <w:t xml:space="preserve">/3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≈ </w:t>
      </w:r>
      <w:r>
        <w:rPr>
          <w:rFonts w:ascii="Times New Roman" w:hAnsi="Times New Roman"/>
          <w:sz w:val="20"/>
          <w:szCs w:val="20"/>
          <w:rtl w:val="0"/>
          <w:lang w:val="en-US"/>
        </w:rPr>
        <w:t>3.29 is the logistic residual variance. Image ICC reflects agreement on which images look better; Rater ICC reflects consistency of individual raters across images.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520"/>
        <w:gridCol w:w="252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ICC Type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Outcome</w:t>
            </w:r>
          </w:p>
        </w:tc>
        <w:tc>
          <w:tcPr>
            <w:tcW w:type="dxa" w:w="252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 ICC</w:t>
            </w:r>
          </w:p>
        </w:tc>
        <w:tc>
          <w:tcPr>
            <w:tcW w:type="dxa" w:w="252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Lay ICC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Image-level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Aesthetic</w:t>
            </w:r>
          </w:p>
        </w:tc>
        <w:tc>
          <w:tcPr>
            <w:tcW w:type="dxa" w:w="252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0.28</w:t>
            </w:r>
          </w:p>
        </w:tc>
        <w:tc>
          <w:tcPr>
            <w:tcW w:type="dxa" w:w="252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0.01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Image-level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Naturalness</w:t>
            </w:r>
          </w:p>
        </w:tc>
        <w:tc>
          <w:tcPr>
            <w:tcW w:type="dxa" w:w="252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0.34</w:t>
            </w:r>
          </w:p>
        </w:tc>
        <w:tc>
          <w:tcPr>
            <w:tcW w:type="dxa" w:w="252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0.00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Rater-level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Aesthetic</w:t>
            </w:r>
          </w:p>
        </w:tc>
        <w:tc>
          <w:tcPr>
            <w:tcW w:type="dxa" w:w="252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0.27</w:t>
            </w:r>
          </w:p>
        </w:tc>
        <w:tc>
          <w:tcPr>
            <w:tcW w:type="dxa" w:w="252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0.53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Rater-level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Naturalness</w:t>
            </w:r>
          </w:p>
        </w:tc>
        <w:tc>
          <w:tcPr>
            <w:tcW w:type="dxa" w:w="252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0.28</w:t>
            </w:r>
          </w:p>
        </w:tc>
        <w:tc>
          <w:tcPr>
            <w:tcW w:type="dxa" w:w="252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0.48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br w:type="textWrapping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Table 5. Concordance Between Aesthetic and Naturalness Ratings by Cohort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i w:val="1"/>
          <w:iCs w:val="1"/>
          <w:sz w:val="20"/>
          <w:szCs w:val="20"/>
          <w:rtl w:val="0"/>
          <w:lang w:val="it-IT"/>
        </w:rPr>
        <w:t xml:space="preserve">Note.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OR = odds ratio; CI = confidence interval. High aesthetic = rating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≥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4; High naturalness = rating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≥ </w:t>
      </w:r>
      <w:r>
        <w:rPr>
          <w:rFonts w:ascii="Times New Roman" w:hAnsi="Times New Roman"/>
          <w:sz w:val="20"/>
          <w:szCs w:val="20"/>
          <w:rtl w:val="0"/>
          <w:lang w:val="en-US"/>
        </w:rPr>
        <w:t>4. OR represents the odds of a high naturalness rating given a high aesthetic rating compared to a low aesthetic rating.</w:t>
      </w:r>
    </w:p>
    <w:tbl>
      <w:tblPr>
        <w:tblW w:w="110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"/>
        <w:gridCol w:w="2160"/>
        <w:gridCol w:w="1440"/>
        <w:gridCol w:w="1440"/>
        <w:gridCol w:w="1080"/>
        <w:gridCol w:w="1200"/>
        <w:gridCol w:w="1800"/>
        <w:gridCol w:w="840"/>
      </w:tblGrid>
      <w:tr>
        <w:tblPrEx>
          <w:shd w:val="clear" w:color="auto" w:fill="4f81bd"/>
        </w:tblPrEx>
        <w:trPr>
          <w:trHeight w:val="484" w:hRule="atLeast"/>
          <w:tblHeader/>
        </w:trPr>
        <w:tc>
          <w:tcPr>
            <w:tcW w:type="dxa" w:w="10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Cohort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Aesthetic Category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Low Naturalness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High Naturalness</w:t>
            </w:r>
          </w:p>
        </w:tc>
        <w:tc>
          <w:tcPr>
            <w:tcW w:type="dxa" w:w="10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Row Total</w:t>
            </w:r>
          </w:p>
        </w:tc>
        <w:tc>
          <w:tcPr>
            <w:tcW w:type="dxa" w:w="1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% High Naturalness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OR (95% CI)</w:t>
            </w:r>
          </w:p>
        </w:tc>
        <w:tc>
          <w:tcPr>
            <w:tcW w:type="dxa" w:w="8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p-value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0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Low Aesthetic (&lt;4)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611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78</w:t>
            </w:r>
          </w:p>
        </w:tc>
        <w:tc>
          <w:tcPr>
            <w:tcW w:type="dxa" w:w="10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689</w:t>
            </w:r>
          </w:p>
        </w:tc>
        <w:tc>
          <w:tcPr>
            <w:tcW w:type="dxa" w:w="1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11.3%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11.84 (9.11, 15.57)</w:t>
            </w:r>
          </w:p>
        </w:tc>
        <w:tc>
          <w:tcPr>
            <w:tcW w:type="dxa" w:w="8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&lt; 0.001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0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High Aesthetic (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</w:rPr>
              <w:t>≥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4)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397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602</w:t>
            </w:r>
          </w:p>
        </w:tc>
        <w:tc>
          <w:tcPr>
            <w:tcW w:type="dxa" w:w="10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999</w:t>
            </w:r>
          </w:p>
        </w:tc>
        <w:tc>
          <w:tcPr>
            <w:tcW w:type="dxa" w:w="1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60.3%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0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Lay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Low Aesthetic (&lt;4)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1583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1097</w:t>
            </w:r>
          </w:p>
        </w:tc>
        <w:tc>
          <w:tcPr>
            <w:tcW w:type="dxa" w:w="10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2680</w:t>
            </w:r>
          </w:p>
        </w:tc>
        <w:tc>
          <w:tcPr>
            <w:tcW w:type="dxa" w:w="1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40.9%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3.04 (2.76, 3.34)</w:t>
            </w:r>
          </w:p>
        </w:tc>
        <w:tc>
          <w:tcPr>
            <w:tcW w:type="dxa" w:w="8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&lt; 0.001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0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Lay</w:t>
            </w:r>
          </w:p>
        </w:tc>
        <w:tc>
          <w:tcPr>
            <w:tcW w:type="dxa" w:w="216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High Aesthetic (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</w:rPr>
              <w:t>≥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4)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1710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3598</w:t>
            </w:r>
          </w:p>
        </w:tc>
        <w:tc>
          <w:tcPr>
            <w:tcW w:type="dxa" w:w="10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5308</w:t>
            </w:r>
          </w:p>
        </w:tc>
        <w:tc>
          <w:tcPr>
            <w:tcW w:type="dxa" w:w="12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67.8%</w:t>
            </w:r>
          </w:p>
        </w:tc>
        <w:tc>
          <w:tcPr>
            <w:tcW w:type="dxa" w:w="180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br w:type="textWrapping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Supplemental Table S1. Estimated Turning Points from Significant Quadratic Models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i w:val="1"/>
          <w:iCs w:val="1"/>
          <w:sz w:val="20"/>
          <w:szCs w:val="20"/>
          <w:rtl w:val="0"/>
          <w:lang w:val="it-IT"/>
        </w:rPr>
        <w:t xml:space="preserve">Note.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Turning point = x = </w:t>
      </w:r>
      <w:r>
        <w:rPr>
          <w:rFonts w:ascii="Times New Roman" w:hAnsi="Times New Roman" w:hint="default"/>
          <w:sz w:val="20"/>
          <w:szCs w:val="20"/>
          <w:rtl w:val="0"/>
        </w:rPr>
        <w:t>−</w:t>
      </w:r>
      <w:r>
        <w:rPr>
          <w:rFonts w:ascii="Times New Roman" w:hAnsi="Times New Roman"/>
          <w:sz w:val="20"/>
          <w:szCs w:val="20"/>
          <w:rtl w:val="0"/>
          <w:lang w:val="en-US"/>
        </w:rPr>
        <w:t>b/(2a) where b is the linear coefficient and a is the quadratic coefficient from the unadjusted binary logistic mixed model. Only shown for models where the quadratic term reached statistical significance (p &lt; 0.05). Upper proportion was standardized prior to modeling; turning points are back-transformed to the original ratio scale. The observed range of upper proportion in this sample was approximately 0.46 to 0.73.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0"/>
        <w:gridCol w:w="1440"/>
        <w:gridCol w:w="2880"/>
        <w:gridCol w:w="1440"/>
        <w:gridCol w:w="1440"/>
        <w:gridCol w:w="1440"/>
      </w:tblGrid>
      <w:tr>
        <w:tblPrEx>
          <w:shd w:val="clear" w:color="auto" w:fill="4f81bd"/>
        </w:tblPrEx>
        <w:trPr>
          <w:trHeight w:val="484" w:hRule="atLeast"/>
          <w:tblHeader/>
        </w:trPr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Rater Group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Outcome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Curve Shape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Turning Point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Within Range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Quadratic p-value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Aesthetic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Concave down (maximum)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0.546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0.006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Surgeon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Naturalness</w:t>
            </w:r>
          </w:p>
        </w:tc>
        <w:tc>
          <w:tcPr>
            <w:tcW w:type="dxa" w:w="288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Concave down (maximum)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0.565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440"/>
            <w:tcBorders>
              <w:top w:val="single" w:color="aaaaaa" w:sz="4" w:space="0" w:shadow="0" w:frame="0"/>
              <w:left w:val="single" w:color="aaaaaa" w:sz="4" w:space="0" w:shadow="0" w:frame="0"/>
              <w:bottom w:val="single" w:color="aaaaaa" w:sz="4" w:space="0" w:shadow="0" w:frame="0"/>
              <w:right w:val="single" w:color="aaaaaa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0.011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/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Times New Roman" w:hAnsi="Times New Roman"/>
        <w:sz w:val="18"/>
        <w:szCs w:val="18"/>
        <w:rtl w:val="0"/>
        <w:lang w:val="it-IT"/>
      </w:rPr>
      <w:t xml:space="preserve">Serafin </w:t>
    </w:r>
    <w:r>
      <w:rPr>
        <w:rFonts w:ascii="Times New Roman" w:hAnsi="Times New Roman" w:hint="default"/>
        <w:sz w:val="18"/>
        <w:szCs w:val="18"/>
        <w:rtl w:val="0"/>
        <w:lang w:val="en-US"/>
      </w:rPr>
      <w:t xml:space="preserve">— </w:t>
    </w:r>
    <w:r>
      <w:rPr>
        <w:rFonts w:ascii="Times New Roman" w:hAnsi="Times New Roman"/>
        <w:sz w:val="18"/>
        <w:szCs w:val="18"/>
        <w:rtl w:val="0"/>
        <w:lang w:val="en-US"/>
      </w:rPr>
      <w:t xml:space="preserve">Breast Augmentation Outcomes </w:t>
    </w:r>
    <w:r>
      <w:rPr>
        <w:rFonts w:ascii="Times New Roman" w:hAnsi="Times New Roman" w:hint="default"/>
        <w:sz w:val="18"/>
        <w:szCs w:val="18"/>
        <w:rtl w:val="0"/>
        <w:lang w:val="en-US"/>
      </w:rPr>
      <w:t xml:space="preserve">— </w:t>
    </w:r>
    <w:r>
      <w:rPr>
        <w:rFonts w:ascii="Times New Roman" w:hAnsi="Times New Roman"/>
        <w:sz w:val="18"/>
        <w:szCs w:val="18"/>
        <w:rtl w:val="0"/>
        <w:lang w:val="da-DK"/>
      </w:rPr>
      <w:t xml:space="preserve">Page </w:t>
    </w:r>
    <w:r>
      <w:rPr>
        <w:rFonts w:ascii="Times New Roman" w:cs="Times New Roman" w:hAnsi="Times New Roman" w:eastAsia="Times New Roman"/>
        <w:sz w:val="18"/>
        <w:szCs w:val="18"/>
      </w:rPr>
      <w:fldChar w:fldCharType="begin" w:fldLock="0"/>
    </w:r>
    <w:r>
      <w:rPr>
        <w:rFonts w:ascii="Times New Roman" w:cs="Times New Roman" w:hAnsi="Times New Roman" w:eastAsia="Times New Roman"/>
        <w:sz w:val="18"/>
        <w:szCs w:val="18"/>
      </w:rPr>
      <w:instrText xml:space="preserve"> PAGE </w:instrText>
    </w:r>
    <w:r>
      <w:rPr>
        <w:rFonts w:ascii="Times New Roman" w:cs="Times New Roman" w:hAnsi="Times New Roman" w:eastAsia="Times New Roman"/>
        <w:sz w:val="18"/>
        <w:szCs w:val="18"/>
      </w:rPr>
      <w:fldChar w:fldCharType="separate" w:fldLock="0"/>
    </w:r>
    <w:r>
      <w:rPr>
        <w:rFonts w:ascii="Times New Roman" w:cs="Times New Roman" w:hAnsi="Times New Roman" w:eastAsia="Times New Roman"/>
        <w:sz w:val="18"/>
        <w:szCs w:val="18"/>
      </w:rPr>
    </w:r>
    <w:r>
      <w:rPr>
        <w:rFonts w:ascii="Times New Roman" w:cs="Times New Roman" w:hAnsi="Times New Roman" w:eastAsia="Times New Roman"/>
        <w:sz w:val="18"/>
        <w:szCs w:val="1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